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1C7D" w14:textId="77777777" w:rsidR="009B2F22" w:rsidRDefault="00516106">
      <w:pPr>
        <w:pStyle w:val="aa"/>
      </w:pPr>
      <w:r>
        <w:t>第二轮：连续缺失条件下的受约束预测集成实验</w:t>
      </w:r>
    </w:p>
    <w:p w14:paraId="6E92DB2C" w14:textId="77777777" w:rsidR="009B2F22" w:rsidRDefault="00516106">
      <w:r>
        <w:t>负责人：</w:t>
      </w:r>
      <w:r>
        <w:t>C</w:t>
      </w:r>
      <w:r>
        <w:t>。实验完成日期：</w:t>
      </w:r>
      <w:r>
        <w:t>2026-09-26</w:t>
      </w:r>
      <w:r>
        <w:t>。状态：</w:t>
      </w:r>
      <w:r>
        <w:rPr>
          <w:b/>
        </w:rPr>
        <w:t>临时论文片段，含可直接用于统稿的图表与图注</w:t>
      </w:r>
      <w:r>
        <w:t>；尚未合并到</w:t>
      </w:r>
      <w:r>
        <w:t>A</w:t>
      </w:r>
      <w:r>
        <w:t>统稿。本文是第二轮的</w:t>
      </w:r>
      <w:r>
        <w:t>Markdown</w:t>
      </w:r>
      <w:r>
        <w:t>编辑源，第一轮论文及本轮已锁定实验结果继续保留。</w:t>
      </w:r>
    </w:p>
    <w:p w14:paraId="12EF1941" w14:textId="77777777" w:rsidR="009B2F22" w:rsidRDefault="00516106">
      <w:r>
        <w:rPr>
          <w:b/>
        </w:rPr>
        <w:t>片段摘要。</w:t>
      </w:r>
      <w:r>
        <w:t xml:space="preserve"> </w:t>
      </w:r>
      <w:r>
        <w:t>在固定模型库和输入一致性缺失协议下，对等权、贪心、随机搜索、</w:t>
      </w:r>
      <w:r>
        <w:t>DE</w:t>
      </w:r>
      <w:r>
        <w:t>及其正则化变体进行等预算比较。两套模型库共训练</w:t>
      </w:r>
      <w:r>
        <w:t>216</w:t>
      </w:r>
      <w:r>
        <w:t>轮，集成层执行</w:t>
      </w:r>
      <w:r>
        <w:t>27000</w:t>
      </w:r>
      <w:r>
        <w:t>次搜索请求。正则</w:t>
      </w:r>
      <w:r>
        <w:t>DE</w:t>
      </w:r>
      <w:r>
        <w:t>按预设内部验证规则获选，但</w:t>
      </w:r>
      <w:r>
        <w:t>test</w:t>
      </w:r>
      <w:r>
        <w:t>上未稳定超过等权集成，且</w:t>
      </w:r>
      <w:r>
        <w:t>clean</w:t>
      </w:r>
      <w:r>
        <w:t>准确率下降。实验支持普通集成具有收益，尚不支持复杂搜索带来全面泛化提升。</w:t>
      </w:r>
    </w:p>
    <w:p w14:paraId="79A8863C" w14:textId="77777777" w:rsidR="009B2F22" w:rsidRDefault="00516106">
      <w:r>
        <w:t>复现、逐类指标、搜索种子波动和统计区间见完整实验记录；预设规则及实施前修订见实验设计。本节不是首次提出</w:t>
      </w:r>
      <w:r>
        <w:t>DE</w:t>
      </w:r>
      <w:r>
        <w:t>或集成选择，而是在统一输入协议和同请求预算下检验其适用性。</w:t>
      </w:r>
    </w:p>
    <w:p w14:paraId="5132B1C5" w14:textId="77777777" w:rsidR="009B2F22" w:rsidRDefault="00516106">
      <w:pPr>
        <w:pStyle w:val="1"/>
      </w:pPr>
      <w:r>
        <w:t xml:space="preserve">1. </w:t>
      </w:r>
      <w:r>
        <w:t>动机与方法</w:t>
      </w:r>
    </w:p>
    <w:p w14:paraId="20DAA3B7" w14:textId="77777777" w:rsidR="009B2F22" w:rsidRDefault="00516106">
      <w:r>
        <w:t>第一轮实验中，短训练搜索收益没有稳定转化为完整训练收益，基于代理指标的特征选择也未表现出稳定优势。第二轮将基础模型训练与优化器比较分离：先训练固定模型库，再缓存分类概率和强度预测，在同一模型库上比较集成权重搜索，避免每个候选权重重复训练网络。</w:t>
      </w:r>
    </w:p>
    <w:p w14:paraId="7EC77274" w14:textId="77777777" w:rsidR="009B2F22" w:rsidRDefault="00516106">
      <w:r>
        <w:t>基础网络继续复用</w:t>
      </w:r>
      <w:r>
        <w:t>B</w:t>
      </w:r>
      <w:r>
        <w:t>的</w:t>
      </w:r>
      <w:r>
        <w:t>Fusion</w:t>
      </w:r>
      <w:r>
        <w:t>门控模型，采用</w:t>
      </w:r>
      <w:r>
        <w:t>384</w:t>
      </w:r>
      <w:r>
        <w:t>维</w:t>
      </w:r>
      <w:r>
        <w:t>MiniLM</w:t>
      </w:r>
      <w:r>
        <w:t>文本、</w:t>
      </w:r>
      <w:r>
        <w:t>74</w:t>
      </w:r>
      <w:r>
        <w:t>维声学和</w:t>
      </w:r>
      <w:r>
        <w:t>35</w:t>
      </w:r>
      <w:r>
        <w:t>维视觉输入。新增文本缺失先将词元替换为</w:t>
      </w:r>
      <w:r>
        <w:t>[UNK]</w:t>
      </w:r>
      <w:r>
        <w:t>，再由冻结的</w:t>
      </w:r>
      <w:r>
        <w:t>int8 ONNX</w:t>
      </w:r>
      <w:r>
        <w:t>编码器逐条编码；音视频在原位置施加连续缺失掩码。本轮不更换编码器、融合结构或特征子集，不能将结果与</w:t>
      </w:r>
      <w:r>
        <w:t>A</w:t>
      </w:r>
      <w:r>
        <w:t>的</w:t>
      </w:r>
      <w:r>
        <w:t>768</w:t>
      </w:r>
      <w:r>
        <w:t>维预计算文本路线直接作优化器因果比较。</w:t>
      </w:r>
    </w:p>
    <w:p w14:paraId="447EB737" w14:textId="77777777" w:rsidR="009B2F22" w:rsidRDefault="00516106">
      <w:r>
        <w:t>每个库包含六个模型，即三个学习率（</w:t>
      </w:r>
      <w:r>
        <w:t>0.0004</w:t>
      </w:r>
      <w:r>
        <w:t>、</w:t>
      </w:r>
      <w:r>
        <w:t>0.0008</w:t>
      </w:r>
      <w:r>
        <w:t>、</w:t>
      </w:r>
      <w:r>
        <w:t>0.0016</w:t>
      </w:r>
      <w:r>
        <w:t>）各配两个训练种子。库</w:t>
      </w:r>
      <w:r>
        <w:t>A</w:t>
      </w:r>
      <w:r>
        <w:t>使用</w:t>
      </w:r>
      <w:r>
        <w:t>20261001/20261002</w:t>
      </w:r>
      <w:r>
        <w:t>，库</w:t>
      </w:r>
      <w:r>
        <w:t>B</w:t>
      </w:r>
      <w:r>
        <w:t>使用</w:t>
      </w:r>
      <w:r>
        <w:t>20261003/20261004</w:t>
      </w:r>
      <w:r>
        <w:t>。每个模型固定训练</w:t>
      </w:r>
      <w:r>
        <w:t>18</w:t>
      </w:r>
      <w:r>
        <w:t>轮，</w:t>
      </w:r>
      <w:r>
        <w:t>batch</w:t>
      </w:r>
      <w:r>
        <w:t>为</w:t>
      </w:r>
      <w:r>
        <w:t>64</w:t>
      </w:r>
      <w:r>
        <w:t>，</w:t>
      </w:r>
      <w:r>
        <w:t>weight decay</w:t>
      </w:r>
      <w:r>
        <w:t>为</w:t>
      </w:r>
      <w:r>
        <w:t>0.01</w:t>
      </w:r>
      <w:r>
        <w:t>，</w:t>
      </w:r>
      <w:r>
        <w:t>dropout</w:t>
      </w:r>
      <w:r>
        <w:t>为</w:t>
      </w:r>
      <w:r>
        <w:t>0.25</w:t>
      </w:r>
      <w:r>
        <w:t>，回归损失权重为</w:t>
      </w:r>
      <w:r>
        <w:t>0.8</w:t>
      </w:r>
      <w:r>
        <w:t>；损失为类别加权交叉熵与</w:t>
      </w:r>
      <w:r>
        <w:t>SmoothL1</w:t>
      </w:r>
      <w:r>
        <w:t>之和。共享八组缺失训练视图，缺失概率为</w:t>
      </w:r>
      <w:r>
        <w:t>0.8</w:t>
      </w:r>
      <w:r>
        <w:t>。</w:t>
      </w:r>
    </w:p>
    <w:p w14:paraId="4C47822F" w14:textId="77777777" w:rsidR="009B2F22" w:rsidRDefault="00516106">
      <w:r>
        <w:t>模型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在场景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、样本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上的分类概率与回归预测分别为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msi</m:t>
        </m:r>
      </m:oMath>
      <w:r>
        <w:t xml:space="preserve">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msi</m:t>
        </m:r>
      </m:oMath>
      <w:r>
        <w:t>。非负权重满足</w:t>
      </w:r>
      <w:r>
        <w:t xml:space="preserve"> </w:t>
      </w:r>
      <m:oMath>
        <m:r>
          <w:rPr>
            <w:rFonts w:ascii="Cambria Math" w:hAnsi="Cambria Math"/>
          </w:rPr>
          <m:t xml:space="preserve">∑ₘ 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=1</m:t>
        </m:r>
      </m:oMath>
      <w:r>
        <w:t>，两头使用同一权重：</w:t>
      </w:r>
    </w:p>
    <w:p w14:paraId="6E5A30AB" w14:textId="77777777" w:rsidR="009B2F22" w:rsidRDefault="00516106">
      <w:pPr>
        <w:keepLines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si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msi</m:t>
                  </m:r>
                </m:sub>
              </m:sSub>
            </m:e>
          </m:nary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si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msi</m:t>
                  </m:r>
                </m:sub>
              </m:sSub>
            </m:e>
          </m:nary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≥ 0</m:t>
          </m:r>
        </m:oMath>
      </m:oMathPara>
    </w:p>
    <w:p w14:paraId="150A0A08" w14:textId="77777777" w:rsidR="009B2F22" w:rsidRDefault="00516106">
      <w:r>
        <w:t>四个选型场景为完整输入，以及文本、音频、视觉分别中段</w:t>
      </w:r>
      <w:r>
        <w:t>30%</w:t>
      </w:r>
      <w:r>
        <w:t>缺失。综合目标为：</w:t>
      </w:r>
    </w:p>
    <w:p w14:paraId="3D2F9CC3" w14:textId="77777777" w:rsidR="009B2F22" w:rsidRDefault="00516106">
      <w:pPr>
        <w:keepLines/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S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MacroF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 xml:space="preserve"> - 0.15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MAE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 xml:space="preserve"> + 0.05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Pearson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669DC618" w14:textId="77777777" w:rsidR="009B2F22" w:rsidRDefault="00516106">
      <w:r>
        <w:t>S</w:t>
      </w:r>
      <w:r>
        <w:t>是本项目预设选择指标，不是准确率或官方评分公式。</w:t>
      </w:r>
      <w:r>
        <w:t>Macro-F1</w:t>
      </w:r>
      <w:r>
        <w:t>固定按负、中、正三类计算；</w:t>
      </w:r>
      <w:r>
        <w:t>Pearson</w:t>
      </w:r>
      <w:r>
        <w:t>遇常量预测回退为</w:t>
      </w:r>
      <w:r>
        <w:t>0</w:t>
      </w:r>
      <w:r>
        <w:t>并记录标志。</w:t>
      </w:r>
      <w:r>
        <w:t>R6</w:t>
      </w:r>
      <w:r>
        <w:t>最大化</w:t>
      </w:r>
      <w:r>
        <w:t>S − 0.01 C(w)</w:t>
      </w:r>
      <w:r>
        <w:t>，其中</w:t>
      </w:r>
      <w:r>
        <w:t>C(w) = (6Σ_m w_m² − 1)/5</w:t>
      </w:r>
      <w:r>
        <w:t>，以轻度惩罚权重过度集中。</w:t>
      </w:r>
    </w:p>
    <w:p w14:paraId="4DC57E14" w14:textId="77777777" w:rsidR="009B2F22" w:rsidRDefault="00516106">
      <w:pPr>
        <w:keepLines/>
      </w:pPr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) - 0.01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 xml:space="preserve"> - 1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2C82ACAB" w14:textId="77777777" w:rsidR="009B2F22" w:rsidRDefault="00516106">
      <w:pPr>
        <w:pStyle w:val="1"/>
      </w:pPr>
      <w:r>
        <w:lastRenderedPageBreak/>
        <w:t xml:space="preserve">2. </w:t>
      </w:r>
      <w:r>
        <w:t>数据隔离与比较设置</w:t>
      </w:r>
    </w:p>
    <w:p w14:paraId="2C26E913" w14:textId="77777777" w:rsidR="009B2F22" w:rsidRDefault="00516106">
      <w:r>
        <w:t>附件</w:t>
      </w:r>
      <w:r>
        <w:t>2</w:t>
      </w:r>
      <w:r>
        <w:t>官方</w:t>
      </w:r>
      <w:r>
        <w:t>train/valid/test</w:t>
      </w:r>
      <w:r>
        <w:t>分别含</w:t>
      </w:r>
      <w:r>
        <w:t>3395/728/727</w:t>
      </w:r>
      <w:r>
        <w:t>条样本。原始片段</w:t>
      </w:r>
      <w:r>
        <w:t>ID</w:t>
      </w:r>
      <w:r>
        <w:t>含视频前缀；按视频分组将</w:t>
      </w:r>
      <w:r>
        <w:t>train</w:t>
      </w:r>
      <w:r>
        <w:t>划为</w:t>
      </w:r>
      <w:r>
        <w:t>3004</w:t>
      </w:r>
      <w:r>
        <w:t>条</w:t>
      </w:r>
      <w:r>
        <w:t>fit</w:t>
      </w:r>
      <w:r>
        <w:t>与</w:t>
      </w:r>
      <w:r>
        <w:t>391</w:t>
      </w:r>
      <w:r>
        <w:t>条</w:t>
      </w:r>
      <w:r>
        <w:t>stop</w:t>
      </w:r>
      <w:r>
        <w:t>，同一视频不跨两区。标准化与类别权重仅在</w:t>
      </w:r>
      <w:r>
        <w:t>fit</w:t>
      </w:r>
      <w:r>
        <w:t>拟合，每轮仅在</w:t>
      </w:r>
      <w:r>
        <w:t>stop</w:t>
      </w:r>
      <w:r>
        <w:t>四场景按</w:t>
      </w:r>
      <w:r>
        <w:t>S</w:t>
      </w:r>
      <w:r>
        <w:t>选择检查点。</w:t>
      </w:r>
      <w:r>
        <w:t>valid</w:t>
      </w:r>
      <w:r>
        <w:t>的三折也按视频分组，同一样本的四个场景保持同折。这里的隔离是视频级，不保证主体级隔离。</w:t>
      </w:r>
    </w:p>
    <w:p w14:paraId="6BC84648" w14:textId="77777777" w:rsidR="009B2F22" w:rsidRDefault="00516106">
      <w:r>
        <w:t>库</w:t>
      </w:r>
      <w:r>
        <w:t>A</w:t>
      </w:r>
      <w:r>
        <w:t>预先指定为最终候选库，库</w:t>
      </w:r>
      <w:r>
        <w:t>B</w:t>
      </w:r>
      <w:r>
        <w:t>只检查重复性。对</w:t>
      </w:r>
      <w:r>
        <w:t>valid</w:t>
      </w:r>
      <w:r>
        <w:t>，在两折拟合集成层并预测剩余一折，最后拼接全部</w:t>
      </w:r>
      <w:r>
        <w:t>728</w:t>
      </w:r>
      <w:r>
        <w:t>条折外预测计算指标。折外结果仍参与方法选型，因此属于内部验证，不是全流程无偏估计。第一轮已经查看</w:t>
      </w:r>
      <w:r>
        <w:t>test</w:t>
      </w:r>
      <w:r>
        <w:t>，本轮只能称锁定后复评。</w:t>
      </w:r>
    </w:p>
    <w:p w14:paraId="7D3D23D3" w14:textId="77777777" w:rsidR="009B2F22" w:rsidRDefault="00516106">
      <w:r>
        <w:t>R0</w:t>
      </w:r>
      <w:r>
        <w:t>为默认学习率的首个种子模型；</w:t>
      </w:r>
      <w:r>
        <w:t>R1</w:t>
      </w:r>
      <w:r>
        <w:t>在折内选择单最佳；</w:t>
      </w:r>
      <w:r>
        <w:t>R2</w:t>
      </w:r>
      <w:r>
        <w:t>为六模型等权；</w:t>
      </w:r>
      <w:r>
        <w:t>R3</w:t>
      </w:r>
      <w:r>
        <w:t>为有放回贪心集成；</w:t>
      </w:r>
      <w:r>
        <w:t>R4</w:t>
      </w:r>
      <w:r>
        <w:t>为随机权重搜索；</w:t>
      </w:r>
      <w:r>
        <w:t>R5</w:t>
      </w:r>
      <w:r>
        <w:t>为</w:t>
      </w:r>
      <w:r>
        <w:t>DE</w:t>
      </w:r>
      <w:r>
        <w:t>；</w:t>
      </w:r>
      <w:r>
        <w:t>R6</w:t>
      </w:r>
      <w:r>
        <w:t>为正则</w:t>
      </w:r>
      <w:r>
        <w:t>DE</w:t>
      </w:r>
      <w:r>
        <w:t>；</w:t>
      </w:r>
      <w:r>
        <w:t>R7</w:t>
      </w:r>
      <w:r>
        <w:t>进一步加入类别偏置。</w:t>
      </w:r>
      <w:r>
        <w:t>R3—R7</w:t>
      </w:r>
      <w:r>
        <w:t>每次</w:t>
      </w:r>
      <w:r>
        <w:t>300</w:t>
      </w:r>
      <w:r>
        <w:t>次请求，各运行三个优化种子</w:t>
      </w:r>
      <w:r>
        <w:t>11/23/37</w:t>
      </w:r>
      <w:r>
        <w:t>，按预测平均，不选最好种子。完整预算为两库</w:t>
      </w:r>
      <w:r>
        <w:t>×</w:t>
      </w:r>
      <w:r>
        <w:t>三折</w:t>
      </w:r>
      <w:r>
        <w:t>×</w:t>
      </w:r>
      <w:r>
        <w:t>五方法</w:t>
      </w:r>
      <w:r>
        <w:t>×</w:t>
      </w:r>
      <w:r>
        <w:t>三种子</w:t>
      </w:r>
      <w:r>
        <w:t>×300</w:t>
      </w:r>
      <w:r>
        <w:t>＝</w:t>
      </w:r>
      <w:r>
        <w:t>27000</w:t>
      </w:r>
      <w:r>
        <w:t>次请求。</w:t>
      </w:r>
    </w:p>
    <w:p w14:paraId="2D94569B" w14:textId="77777777" w:rsidR="009B2F22" w:rsidRDefault="00516106">
      <w:r>
        <w:t>DE</w:t>
      </w:r>
      <w:r>
        <w:t>采用</w:t>
      </w:r>
      <w:r>
        <w:t>12</w:t>
      </w:r>
      <w:r>
        <w:t>个初始点和</w:t>
      </w:r>
      <w:r>
        <w:t>24</w:t>
      </w:r>
      <w:r>
        <w:t>代，</w:t>
      </w:r>
      <w:r>
        <w:t>F=CR=0.5</w:t>
      </w:r>
      <w:r>
        <w:t>，按上一代快照更新。实施前发现全零偏置初始种群会使</w:t>
      </w:r>
      <w:r>
        <w:t>R7</w:t>
      </w:r>
      <w:r>
        <w:t>的偏置坐标无法变化，因此在未训练、未评分前修订为：七个锚点偏置为</w:t>
      </w:r>
      <w:r>
        <w:t>0</w:t>
      </w:r>
      <w:r>
        <w:t>，五个随机初始点的偏置在</w:t>
      </w:r>
      <w:r>
        <w:t>[-0.15,0.15]</w:t>
      </w:r>
      <w:r>
        <w:t>独立采样，保持共同权重初始化和总预算不变。</w:t>
      </w:r>
    </w:p>
    <w:p w14:paraId="2ECB4303" w14:textId="77777777" w:rsidR="009B2F22" w:rsidRDefault="00516106">
      <w:pPr>
        <w:pStyle w:val="1"/>
      </w:pPr>
      <w:r>
        <w:t xml:space="preserve">3. </w:t>
      </w:r>
      <w:r>
        <w:t>折外结果与选型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B2F22" w14:paraId="5B0E1F28" w14:textId="77777777">
        <w:trPr>
          <w:cantSplit/>
          <w:tblHeader/>
        </w:trPr>
        <w:tc>
          <w:tcPr>
            <w:tcW w:w="2409" w:type="dxa"/>
          </w:tcPr>
          <w:p w14:paraId="46D6A79A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2409" w:type="dxa"/>
          </w:tcPr>
          <w:p w14:paraId="33E88CCC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库</w:t>
            </w:r>
            <w:r>
              <w:rPr>
                <w:b/>
                <w:sz w:val="18"/>
              </w:rPr>
              <w:t>A</w:t>
            </w:r>
            <w:r>
              <w:rPr>
                <w:b/>
                <w:sz w:val="18"/>
              </w:rPr>
              <w:t>折外</w:t>
            </w:r>
            <w:r>
              <w:rPr>
                <w:b/>
                <w:sz w:val="18"/>
              </w:rPr>
              <w:t>S</w:t>
            </w:r>
          </w:p>
        </w:tc>
        <w:tc>
          <w:tcPr>
            <w:tcW w:w="2409" w:type="dxa"/>
          </w:tcPr>
          <w:p w14:paraId="7B6E3D61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库</w:t>
            </w: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折外</w:t>
            </w:r>
            <w:r>
              <w:rPr>
                <w:b/>
                <w:sz w:val="18"/>
              </w:rPr>
              <w:t>S</w:t>
            </w:r>
          </w:p>
        </w:tc>
        <w:tc>
          <w:tcPr>
            <w:tcW w:w="2409" w:type="dxa"/>
          </w:tcPr>
          <w:p w14:paraId="4F35B92F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两库平均</w:t>
            </w:r>
            <w:r>
              <w:rPr>
                <w:b/>
                <w:sz w:val="18"/>
              </w:rPr>
              <w:t>S</w:t>
            </w:r>
          </w:p>
        </w:tc>
      </w:tr>
      <w:tr w:rsidR="009B2F22" w14:paraId="57741616" w14:textId="77777777">
        <w:trPr>
          <w:cantSplit/>
        </w:trPr>
        <w:tc>
          <w:tcPr>
            <w:tcW w:w="2409" w:type="dxa"/>
          </w:tcPr>
          <w:p w14:paraId="47CE2EA0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 xml:space="preserve">R0 </w:t>
            </w:r>
            <w:r>
              <w:rPr>
                <w:sz w:val="18"/>
              </w:rPr>
              <w:t>固定默认</w:t>
            </w:r>
          </w:p>
        </w:tc>
        <w:tc>
          <w:tcPr>
            <w:tcW w:w="2409" w:type="dxa"/>
          </w:tcPr>
          <w:p w14:paraId="4BDF9BF2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0.485417</w:t>
            </w:r>
          </w:p>
        </w:tc>
        <w:tc>
          <w:tcPr>
            <w:tcW w:w="2409" w:type="dxa"/>
          </w:tcPr>
          <w:p w14:paraId="5C6E7B5D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0.461390</w:t>
            </w:r>
          </w:p>
        </w:tc>
        <w:tc>
          <w:tcPr>
            <w:tcW w:w="2409" w:type="dxa"/>
          </w:tcPr>
          <w:p w14:paraId="157F8092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0.473403</w:t>
            </w:r>
          </w:p>
        </w:tc>
      </w:tr>
      <w:tr w:rsidR="009B2F22" w14:paraId="78FF603D" w14:textId="77777777">
        <w:trPr>
          <w:cantSplit/>
        </w:trPr>
        <w:tc>
          <w:tcPr>
            <w:tcW w:w="2409" w:type="dxa"/>
          </w:tcPr>
          <w:p w14:paraId="1B803AE9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 xml:space="preserve">R1 </w:t>
            </w:r>
            <w:r>
              <w:rPr>
                <w:sz w:val="18"/>
              </w:rPr>
              <w:t>选单最佳</w:t>
            </w:r>
          </w:p>
        </w:tc>
        <w:tc>
          <w:tcPr>
            <w:tcW w:w="2409" w:type="dxa"/>
          </w:tcPr>
          <w:p w14:paraId="2160CC38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0.513595</w:t>
            </w:r>
          </w:p>
        </w:tc>
        <w:tc>
          <w:tcPr>
            <w:tcW w:w="2409" w:type="dxa"/>
          </w:tcPr>
          <w:p w14:paraId="19875670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0.485611</w:t>
            </w:r>
          </w:p>
        </w:tc>
        <w:tc>
          <w:tcPr>
            <w:tcW w:w="2409" w:type="dxa"/>
          </w:tcPr>
          <w:p w14:paraId="780BD536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0.499603</w:t>
            </w:r>
          </w:p>
        </w:tc>
      </w:tr>
      <w:tr w:rsidR="009B2F22" w14:paraId="2482DFB8" w14:textId="77777777">
        <w:trPr>
          <w:cantSplit/>
        </w:trPr>
        <w:tc>
          <w:tcPr>
            <w:tcW w:w="2409" w:type="dxa"/>
          </w:tcPr>
          <w:p w14:paraId="781C0C74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 xml:space="preserve">R2 </w:t>
            </w:r>
            <w:r>
              <w:rPr>
                <w:sz w:val="18"/>
              </w:rPr>
              <w:t>等权</w:t>
            </w:r>
          </w:p>
        </w:tc>
        <w:tc>
          <w:tcPr>
            <w:tcW w:w="2409" w:type="dxa"/>
          </w:tcPr>
          <w:p w14:paraId="6716A790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0.505963</w:t>
            </w:r>
          </w:p>
        </w:tc>
        <w:tc>
          <w:tcPr>
            <w:tcW w:w="2409" w:type="dxa"/>
          </w:tcPr>
          <w:p w14:paraId="6B272F07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0.490777</w:t>
            </w:r>
          </w:p>
        </w:tc>
        <w:tc>
          <w:tcPr>
            <w:tcW w:w="2409" w:type="dxa"/>
          </w:tcPr>
          <w:p w14:paraId="59441913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0.498370</w:t>
            </w:r>
          </w:p>
        </w:tc>
      </w:tr>
      <w:tr w:rsidR="009B2F22" w14:paraId="361609F7" w14:textId="77777777">
        <w:trPr>
          <w:cantSplit/>
        </w:trPr>
        <w:tc>
          <w:tcPr>
            <w:tcW w:w="2409" w:type="dxa"/>
          </w:tcPr>
          <w:p w14:paraId="4BCD6C50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 xml:space="preserve">R3 </w:t>
            </w:r>
            <w:r>
              <w:rPr>
                <w:sz w:val="18"/>
              </w:rPr>
              <w:t>贪心</w:t>
            </w:r>
          </w:p>
        </w:tc>
        <w:tc>
          <w:tcPr>
            <w:tcW w:w="2409" w:type="dxa"/>
          </w:tcPr>
          <w:p w14:paraId="22C10411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0.503244</w:t>
            </w:r>
          </w:p>
        </w:tc>
        <w:tc>
          <w:tcPr>
            <w:tcW w:w="2409" w:type="dxa"/>
          </w:tcPr>
          <w:p w14:paraId="61C5D332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0.504336</w:t>
            </w:r>
          </w:p>
        </w:tc>
        <w:tc>
          <w:tcPr>
            <w:tcW w:w="2409" w:type="dxa"/>
          </w:tcPr>
          <w:p w14:paraId="7D4408E4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0.503790</w:t>
            </w:r>
          </w:p>
        </w:tc>
      </w:tr>
      <w:tr w:rsidR="009B2F22" w14:paraId="72218278" w14:textId="77777777">
        <w:trPr>
          <w:cantSplit/>
        </w:trPr>
        <w:tc>
          <w:tcPr>
            <w:tcW w:w="2409" w:type="dxa"/>
          </w:tcPr>
          <w:p w14:paraId="06891B61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 xml:space="preserve">R4 </w:t>
            </w:r>
            <w:r>
              <w:rPr>
                <w:sz w:val="18"/>
              </w:rPr>
              <w:t>随机</w:t>
            </w:r>
          </w:p>
        </w:tc>
        <w:tc>
          <w:tcPr>
            <w:tcW w:w="2409" w:type="dxa"/>
          </w:tcPr>
          <w:p w14:paraId="54EC1920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0.506674</w:t>
            </w:r>
          </w:p>
        </w:tc>
        <w:tc>
          <w:tcPr>
            <w:tcW w:w="2409" w:type="dxa"/>
          </w:tcPr>
          <w:p w14:paraId="008CC602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0.502429</w:t>
            </w:r>
          </w:p>
        </w:tc>
        <w:tc>
          <w:tcPr>
            <w:tcW w:w="2409" w:type="dxa"/>
          </w:tcPr>
          <w:p w14:paraId="3394E4FD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0.504552</w:t>
            </w:r>
          </w:p>
        </w:tc>
      </w:tr>
      <w:tr w:rsidR="009B2F22" w14:paraId="000B8392" w14:textId="77777777">
        <w:trPr>
          <w:cantSplit/>
        </w:trPr>
        <w:tc>
          <w:tcPr>
            <w:tcW w:w="2409" w:type="dxa"/>
          </w:tcPr>
          <w:p w14:paraId="0A9722A8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R5 DE</w:t>
            </w:r>
          </w:p>
        </w:tc>
        <w:tc>
          <w:tcPr>
            <w:tcW w:w="2409" w:type="dxa"/>
          </w:tcPr>
          <w:p w14:paraId="631935DC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0.504982</w:t>
            </w:r>
          </w:p>
        </w:tc>
        <w:tc>
          <w:tcPr>
            <w:tcW w:w="2409" w:type="dxa"/>
          </w:tcPr>
          <w:p w14:paraId="593426EA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0.503343</w:t>
            </w:r>
          </w:p>
        </w:tc>
        <w:tc>
          <w:tcPr>
            <w:tcW w:w="2409" w:type="dxa"/>
          </w:tcPr>
          <w:p w14:paraId="40C5D1B9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0.504163</w:t>
            </w:r>
          </w:p>
        </w:tc>
      </w:tr>
      <w:tr w:rsidR="009B2F22" w14:paraId="1F07E0D2" w14:textId="77777777">
        <w:trPr>
          <w:cantSplit/>
        </w:trPr>
        <w:tc>
          <w:tcPr>
            <w:tcW w:w="2409" w:type="dxa"/>
          </w:tcPr>
          <w:p w14:paraId="54C337F4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 xml:space="preserve">R6 </w:t>
            </w:r>
            <w:r>
              <w:rPr>
                <w:sz w:val="18"/>
              </w:rPr>
              <w:t>正则</w:t>
            </w:r>
            <w:r>
              <w:rPr>
                <w:sz w:val="18"/>
              </w:rPr>
              <w:t>DE</w:t>
            </w:r>
          </w:p>
        </w:tc>
        <w:tc>
          <w:tcPr>
            <w:tcW w:w="2409" w:type="dxa"/>
          </w:tcPr>
          <w:p w14:paraId="60466328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0.505861</w:t>
            </w:r>
          </w:p>
        </w:tc>
        <w:tc>
          <w:tcPr>
            <w:tcW w:w="2409" w:type="dxa"/>
          </w:tcPr>
          <w:p w14:paraId="0756E301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0.508315</w:t>
            </w:r>
          </w:p>
        </w:tc>
        <w:tc>
          <w:tcPr>
            <w:tcW w:w="2409" w:type="dxa"/>
          </w:tcPr>
          <w:p w14:paraId="2B4F5F4D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0.507088</w:t>
            </w:r>
          </w:p>
        </w:tc>
      </w:tr>
      <w:tr w:rsidR="009B2F22" w14:paraId="76987B0D" w14:textId="77777777">
        <w:trPr>
          <w:cantSplit/>
        </w:trPr>
        <w:tc>
          <w:tcPr>
            <w:tcW w:w="2409" w:type="dxa"/>
          </w:tcPr>
          <w:p w14:paraId="0C489595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 xml:space="preserve">R7 </w:t>
            </w:r>
            <w:r>
              <w:rPr>
                <w:sz w:val="18"/>
              </w:rPr>
              <w:t>正则</w:t>
            </w:r>
            <w:r>
              <w:rPr>
                <w:sz w:val="18"/>
              </w:rPr>
              <w:t>DE</w:t>
            </w:r>
            <w:r>
              <w:rPr>
                <w:sz w:val="18"/>
              </w:rPr>
              <w:t>加偏置</w:t>
            </w:r>
          </w:p>
        </w:tc>
        <w:tc>
          <w:tcPr>
            <w:tcW w:w="2409" w:type="dxa"/>
          </w:tcPr>
          <w:p w14:paraId="579F3EEF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0.505994</w:t>
            </w:r>
          </w:p>
        </w:tc>
        <w:tc>
          <w:tcPr>
            <w:tcW w:w="2409" w:type="dxa"/>
          </w:tcPr>
          <w:p w14:paraId="133E2D72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0.509841</w:t>
            </w:r>
          </w:p>
        </w:tc>
        <w:tc>
          <w:tcPr>
            <w:tcW w:w="2409" w:type="dxa"/>
          </w:tcPr>
          <w:p w14:paraId="536220FD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0.507917</w:t>
            </w:r>
          </w:p>
        </w:tc>
      </w:tr>
    </w:tbl>
    <w:p w14:paraId="52B58633" w14:textId="77777777" w:rsidR="009B2F22" w:rsidRDefault="009B2F22">
      <w:pPr>
        <w:spacing w:after="0"/>
      </w:pPr>
    </w:p>
    <w:p w14:paraId="18EA42B3" w14:textId="77777777" w:rsidR="009B2F22" w:rsidRDefault="0051610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7D8383" wp14:editId="382B08C4">
            <wp:extent cx="6120000" cy="2403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oof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7D47" w14:textId="77777777" w:rsidR="009B2F22" w:rsidRDefault="00516106">
      <w:pPr>
        <w:pStyle w:val="af7"/>
        <w:keepLines/>
      </w:pPr>
      <w:r>
        <w:t>图</w:t>
      </w:r>
      <w:r>
        <w:t xml:space="preserve">C2-1 </w:t>
      </w:r>
      <w:r>
        <w:t>两套模型库的折外表现及相对固定单模型的增益。</w:t>
      </w:r>
      <w:r>
        <w:t xml:space="preserve"> </w:t>
      </w:r>
      <w:r>
        <w:t>左图为三折拼接</w:t>
      </w:r>
      <w:r>
        <w:t>728</w:t>
      </w:r>
      <w:r>
        <w:t>条验证样本后计算的四场景</w:t>
      </w:r>
      <w:r>
        <w:t>S</w:t>
      </w:r>
      <w:r>
        <w:t>，点图采用标明的局部刻度；右图为相对各库</w:t>
      </w:r>
      <w:r>
        <w:t>R0</w:t>
      </w:r>
      <w:r>
        <w:t>的</w:t>
      </w:r>
      <w:r>
        <w:t>ΔS</w:t>
      </w:r>
      <w:r>
        <w:t>及</w:t>
      </w:r>
      <w:r>
        <w:t>2000</w:t>
      </w:r>
      <w:r>
        <w:t>次视频簇配对</w:t>
      </w:r>
      <w:r>
        <w:t>bootstrap</w:t>
      </w:r>
      <w:r>
        <w:t>的</w:t>
      </w:r>
      <w:r>
        <w:t>95%</w:t>
      </w:r>
      <w:r>
        <w:t>百分位区间。圆点</w:t>
      </w:r>
      <w:r>
        <w:t>/</w:t>
      </w:r>
      <w:r>
        <w:t>蓝色代表库</w:t>
      </w:r>
      <w:r>
        <w:t>A</w:t>
      </w:r>
      <w:r>
        <w:t>，方点</w:t>
      </w:r>
      <w:r>
        <w:t>/</w:t>
      </w:r>
      <w:r>
        <w:t>绿色代表库</w:t>
      </w:r>
      <w:r>
        <w:t>B</w:t>
      </w:r>
      <w:r>
        <w:t>。区间不覆盖重新训练、搜索与方法选型的不确定性。数据源：已保存的</w:t>
      </w:r>
      <w:r>
        <w:t>crossfit_summary.json</w:t>
      </w:r>
      <w:r>
        <w:t>和</w:t>
      </w:r>
      <w:r>
        <w:t>bootstrap.json</w:t>
      </w:r>
      <w:r>
        <w:t>。</w:t>
      </w:r>
    </w:p>
    <w:p w14:paraId="168C0C19" w14:textId="77777777" w:rsidR="009B2F22" w:rsidRDefault="00516106">
      <w:r>
        <w:t>等权集成相对固定单模型在两库均改善。普通</w:t>
      </w:r>
      <w:r>
        <w:t>DE</w:t>
      </w:r>
      <w:r>
        <w:t>的平均</w:t>
      </w:r>
      <w:r>
        <w:t>S</w:t>
      </w:r>
      <w:r>
        <w:t>略低于随机搜索，且没有在两个库同时超过贪心，因此本轮不支持</w:t>
      </w:r>
      <w:r>
        <w:t>“DE</w:t>
      </w:r>
      <w:r>
        <w:t>本身优于简单搜索</w:t>
      </w:r>
      <w:r>
        <w:t>”</w:t>
      </w:r>
      <w:r>
        <w:t>的结论。</w:t>
      </w:r>
      <w:r>
        <w:t>R6</w:t>
      </w:r>
      <w:r>
        <w:t>相对</w:t>
      </w:r>
      <w:r>
        <w:t>R5</w:t>
      </w:r>
      <w:r>
        <w:t>在两库的增益分别为</w:t>
      </w:r>
      <w:r>
        <w:t>0.000879</w:t>
      </w:r>
      <w:r>
        <w:t>和</w:t>
      </w:r>
      <w:r>
        <w:t>0.004972</w:t>
      </w:r>
      <w:r>
        <w:t>，平均约</w:t>
      </w:r>
      <w:r>
        <w:t>0.002925</w:t>
      </w:r>
      <w:r>
        <w:t>，支持正则化可能有益的初步观察，但增益有限。</w:t>
      </w:r>
    </w:p>
    <w:p w14:paraId="15B8E5F0" w14:textId="77777777" w:rsidR="009B2F22" w:rsidRDefault="00516106">
      <w:r>
        <w:t>R7</w:t>
      </w:r>
      <w:r>
        <w:t>与</w:t>
      </w:r>
      <w:r>
        <w:t>R6</w:t>
      </w:r>
      <w:r>
        <w:t>的平均</w:t>
      </w:r>
      <w:r>
        <w:t>S</w:t>
      </w:r>
      <w:r>
        <w:t>差约</w:t>
      </w:r>
      <w:r>
        <w:t>0.000829</w:t>
      </w:r>
      <w:r>
        <w:t>，位于预设</w:t>
      </w:r>
      <w:r>
        <w:t>0.002</w:t>
      </w:r>
      <w:r>
        <w:t>平局范围内。按折外解的实际非零模型数均值优先规则（</w:t>
      </w:r>
      <w:r>
        <w:t>R6</w:t>
      </w:r>
      <w:r>
        <w:t>为</w:t>
      </w:r>
      <w:r>
        <w:t>5.5</w:t>
      </w:r>
      <w:r>
        <w:t>，</w:t>
      </w:r>
      <w:r>
        <w:t>R7</w:t>
      </w:r>
      <w:r>
        <w:t>为</w:t>
      </w:r>
      <w:r>
        <w:t>6</w:t>
      </w:r>
      <w:r>
        <w:t>），锁定</w:t>
      </w:r>
      <w:r>
        <w:t>R6</w:t>
      </w:r>
      <w:r>
        <w:t>，再仅在库</w:t>
      </w:r>
      <w:r>
        <w:t>A</w:t>
      </w:r>
      <w:r>
        <w:t>全部</w:t>
      </w:r>
      <w:r>
        <w:t>valid</w:t>
      </w:r>
      <w:r>
        <w:t>上重拟合集成层。这个折外复杂度比较不等于最终推理模型数：最终</w:t>
      </w:r>
      <w:r>
        <w:t>R6</w:t>
      </w:r>
      <w:r>
        <w:t>平均权重均非零，仍需六个基模型。</w:t>
      </w:r>
    </w:p>
    <w:p w14:paraId="7159ED45" w14:textId="77777777" w:rsidR="009B2F22" w:rsidRDefault="00516106">
      <w:r>
        <w:t>按视频簇进行</w:t>
      </w:r>
      <w:r>
        <w:t>2000</w:t>
      </w:r>
      <w:r>
        <w:t>次配对</w:t>
      </w:r>
      <w:r>
        <w:t>bootstrap</w:t>
      </w:r>
      <w:r>
        <w:t>，</w:t>
      </w:r>
      <w:r>
        <w:t>R6</w:t>
      </w:r>
      <w:r>
        <w:t>相对</w:t>
      </w:r>
      <w:r>
        <w:t>R0</w:t>
      </w:r>
      <w:r>
        <w:t>的</w:t>
      </w:r>
      <w:r>
        <w:t>ΔS</w:t>
      </w:r>
      <w:r>
        <w:t>的</w:t>
      </w:r>
      <w:r>
        <w:t>95%</w:t>
      </w:r>
      <w:r>
        <w:t>百分位区间，库</w:t>
      </w:r>
      <w:r>
        <w:t>A</w:t>
      </w:r>
      <w:r>
        <w:t>为</w:t>
      </w:r>
      <w:r>
        <w:t>[0.001818,0.040434]</w:t>
      </w:r>
      <w:r>
        <w:t>，库</w:t>
      </w:r>
      <w:r>
        <w:t>B</w:t>
      </w:r>
      <w:r>
        <w:t>为</w:t>
      </w:r>
      <w:r>
        <w:t>[0.015596,0.076847]</w:t>
      </w:r>
      <w:r>
        <w:t>。这些区间只描述固定折外预测的样本不确定性，不覆盖重新训练、搜索和方法选择，不能据此宣称全流程统计显著优势。</w:t>
      </w:r>
    </w:p>
    <w:p w14:paraId="21F05C0A" w14:textId="77777777" w:rsidR="009B2F22" w:rsidRDefault="00516106">
      <w:pPr>
        <w:pStyle w:val="1"/>
      </w:pPr>
      <w:r>
        <w:t xml:space="preserve">4. </w:t>
      </w:r>
      <w:r>
        <w:t>锁定后复评与局限</w:t>
      </w:r>
    </w:p>
    <w:p w14:paraId="1D07BBBC" w14:textId="77777777" w:rsidR="009B2F22" w:rsidRDefault="00516106">
      <w:r>
        <w:t>下面的</w:t>
      </w:r>
      <w:r>
        <w:t>64</w:t>
      </w:r>
      <w:r>
        <w:t>条件为</w:t>
      </w:r>
      <w:r>
        <w:t>clean</w:t>
      </w:r>
      <w:r>
        <w:t>加七种非空模态组合、三个缺失率、三个位置。</w:t>
      </w:r>
      <w:r>
        <w:t>raw</w:t>
      </w:r>
      <w:r>
        <w:t>回归为主报告，</w:t>
      </w:r>
      <w:r>
        <w:t>coherent</w:t>
      </w:r>
      <w:r>
        <w:t>解码作为固定附表，均未用于重新选择方法。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9B2F22" w14:paraId="555B0CFB" w14:textId="77777777">
        <w:trPr>
          <w:cantSplit/>
          <w:tblHeader/>
        </w:trPr>
        <w:tc>
          <w:tcPr>
            <w:tcW w:w="1928" w:type="dxa"/>
          </w:tcPr>
          <w:p w14:paraId="4CB9D571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test</w:t>
            </w:r>
            <w:r>
              <w:rPr>
                <w:b/>
                <w:sz w:val="18"/>
              </w:rPr>
              <w:t>方法</w:t>
            </w:r>
          </w:p>
        </w:tc>
        <w:tc>
          <w:tcPr>
            <w:tcW w:w="1928" w:type="dxa"/>
          </w:tcPr>
          <w:p w14:paraId="103E2818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64</w:t>
            </w:r>
            <w:r>
              <w:rPr>
                <w:b/>
                <w:sz w:val="18"/>
              </w:rPr>
              <w:t>条件平均</w:t>
            </w:r>
            <w:r>
              <w:rPr>
                <w:b/>
                <w:sz w:val="18"/>
              </w:rPr>
              <w:t>S(raw)</w:t>
            </w:r>
          </w:p>
        </w:tc>
        <w:tc>
          <w:tcPr>
            <w:tcW w:w="1928" w:type="dxa"/>
          </w:tcPr>
          <w:p w14:paraId="3B94E49B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clean ACC</w:t>
            </w:r>
          </w:p>
        </w:tc>
        <w:tc>
          <w:tcPr>
            <w:tcW w:w="1928" w:type="dxa"/>
          </w:tcPr>
          <w:p w14:paraId="5A12D783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clean Macro-F1</w:t>
            </w:r>
          </w:p>
        </w:tc>
        <w:tc>
          <w:tcPr>
            <w:tcW w:w="1928" w:type="dxa"/>
          </w:tcPr>
          <w:p w14:paraId="1FE2A830" w14:textId="77777777" w:rsidR="009B2F22" w:rsidRDefault="00516106">
            <w:pPr>
              <w:spacing w:after="60" w:line="240" w:lineRule="auto"/>
            </w:pPr>
            <w:r>
              <w:rPr>
                <w:b/>
                <w:sz w:val="18"/>
              </w:rPr>
              <w:t>clean MAE</w:t>
            </w:r>
          </w:p>
        </w:tc>
      </w:tr>
      <w:tr w:rsidR="009B2F22" w14:paraId="36758D5B" w14:textId="77777777">
        <w:trPr>
          <w:cantSplit/>
        </w:trPr>
        <w:tc>
          <w:tcPr>
            <w:tcW w:w="1928" w:type="dxa"/>
          </w:tcPr>
          <w:p w14:paraId="210DE755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R0</w:t>
            </w:r>
          </w:p>
        </w:tc>
        <w:tc>
          <w:tcPr>
            <w:tcW w:w="1928" w:type="dxa"/>
          </w:tcPr>
          <w:p w14:paraId="2D705BCE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0.500909</w:t>
            </w:r>
          </w:p>
        </w:tc>
        <w:tc>
          <w:tcPr>
            <w:tcW w:w="1928" w:type="dxa"/>
          </w:tcPr>
          <w:p w14:paraId="4A7EC2F4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0.651994</w:t>
            </w:r>
          </w:p>
        </w:tc>
        <w:tc>
          <w:tcPr>
            <w:tcW w:w="1928" w:type="dxa"/>
          </w:tcPr>
          <w:p w14:paraId="7C09F1AA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0.600701</w:t>
            </w:r>
          </w:p>
        </w:tc>
        <w:tc>
          <w:tcPr>
            <w:tcW w:w="1928" w:type="dxa"/>
          </w:tcPr>
          <w:p w14:paraId="2488FD99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0.667568</w:t>
            </w:r>
          </w:p>
        </w:tc>
      </w:tr>
      <w:tr w:rsidR="009B2F22" w14:paraId="52D5BA81" w14:textId="77777777">
        <w:trPr>
          <w:cantSplit/>
        </w:trPr>
        <w:tc>
          <w:tcPr>
            <w:tcW w:w="1928" w:type="dxa"/>
          </w:tcPr>
          <w:p w14:paraId="56BCAD6E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R2</w:t>
            </w:r>
          </w:p>
        </w:tc>
        <w:tc>
          <w:tcPr>
            <w:tcW w:w="1928" w:type="dxa"/>
          </w:tcPr>
          <w:p w14:paraId="1F5638D8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0.508448</w:t>
            </w:r>
          </w:p>
        </w:tc>
        <w:tc>
          <w:tcPr>
            <w:tcW w:w="1928" w:type="dxa"/>
          </w:tcPr>
          <w:p w14:paraId="49CF6ED1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0.649243</w:t>
            </w:r>
          </w:p>
        </w:tc>
        <w:tc>
          <w:tcPr>
            <w:tcW w:w="1928" w:type="dxa"/>
          </w:tcPr>
          <w:p w14:paraId="35DB122E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0.601057</w:t>
            </w:r>
          </w:p>
        </w:tc>
        <w:tc>
          <w:tcPr>
            <w:tcW w:w="1928" w:type="dxa"/>
          </w:tcPr>
          <w:p w14:paraId="305548C7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0.662937</w:t>
            </w:r>
          </w:p>
        </w:tc>
      </w:tr>
      <w:tr w:rsidR="009B2F22" w14:paraId="624DFAF1" w14:textId="77777777">
        <w:trPr>
          <w:cantSplit/>
        </w:trPr>
        <w:tc>
          <w:tcPr>
            <w:tcW w:w="1928" w:type="dxa"/>
          </w:tcPr>
          <w:p w14:paraId="6C60DA40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R6</w:t>
            </w:r>
          </w:p>
        </w:tc>
        <w:tc>
          <w:tcPr>
            <w:tcW w:w="1928" w:type="dxa"/>
          </w:tcPr>
          <w:p w14:paraId="5AA1BEF6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0.505467</w:t>
            </w:r>
          </w:p>
        </w:tc>
        <w:tc>
          <w:tcPr>
            <w:tcW w:w="1928" w:type="dxa"/>
          </w:tcPr>
          <w:p w14:paraId="0A27CAFF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0.640990</w:t>
            </w:r>
          </w:p>
        </w:tc>
        <w:tc>
          <w:tcPr>
            <w:tcW w:w="1928" w:type="dxa"/>
          </w:tcPr>
          <w:p w14:paraId="33A35422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0.594152</w:t>
            </w:r>
          </w:p>
        </w:tc>
        <w:tc>
          <w:tcPr>
            <w:tcW w:w="1928" w:type="dxa"/>
          </w:tcPr>
          <w:p w14:paraId="1BDF585F" w14:textId="77777777" w:rsidR="009B2F22" w:rsidRDefault="00516106">
            <w:pPr>
              <w:spacing w:after="60" w:line="240" w:lineRule="auto"/>
            </w:pPr>
            <w:r>
              <w:rPr>
                <w:sz w:val="18"/>
              </w:rPr>
              <w:t>0.668903</w:t>
            </w:r>
          </w:p>
        </w:tc>
      </w:tr>
    </w:tbl>
    <w:p w14:paraId="64A0E5DC" w14:textId="77777777" w:rsidR="009B2F22" w:rsidRDefault="009B2F22">
      <w:pPr>
        <w:spacing w:after="0"/>
      </w:pPr>
    </w:p>
    <w:p w14:paraId="0B9F21DC" w14:textId="77777777" w:rsidR="009B2F22" w:rsidRDefault="0051610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5FC0850" wp14:editId="10D7DF59">
            <wp:extent cx="6120000" cy="2062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test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AED7" w14:textId="77777777" w:rsidR="009B2F22" w:rsidRDefault="00516106">
      <w:pPr>
        <w:pStyle w:val="af7"/>
        <w:keepLines/>
      </w:pPr>
      <w:r>
        <w:t>图</w:t>
      </w:r>
      <w:r>
        <w:t xml:space="preserve">C2-2 </w:t>
      </w:r>
      <w:r>
        <w:t>锁定后</w:t>
      </w:r>
      <w:r>
        <w:t>test</w:t>
      </w:r>
      <w:r>
        <w:t>复评的收益与退化。</w:t>
      </w:r>
      <w:r>
        <w:t xml:space="preserve"> </w:t>
      </w:r>
      <w:r>
        <w:t>左图为</w:t>
      </w:r>
      <w:r>
        <w:t>64</w:t>
      </w:r>
      <w:r>
        <w:t>个条件等权平均的</w:t>
      </w:r>
      <w:r>
        <w:t>raw S</w:t>
      </w:r>
      <w:r>
        <w:t>，右图为同一</w:t>
      </w:r>
      <w:r>
        <w:t>727</w:t>
      </w:r>
      <w:r>
        <w:t>条</w:t>
      </w:r>
      <w:r>
        <w:t>test</w:t>
      </w:r>
      <w:r>
        <w:t>样本在</w:t>
      </w:r>
      <w:r>
        <w:t>clean</w:t>
      </w:r>
      <w:r>
        <w:t>条件下的准确率。两者是不同统计口径，分别绘制；点图局部刻度已标明。固定单模型、等权集成和正则</w:t>
      </w:r>
      <w:r>
        <w:t>DE</w:t>
      </w:r>
      <w:r>
        <w:t>统一使用蓝、绿、橙。</w:t>
      </w:r>
      <w:r>
        <w:t>R6</w:t>
      </w:r>
      <w:r>
        <w:t>并未在这两个指标上超过</w:t>
      </w:r>
      <w:r>
        <w:t>R2</w:t>
      </w:r>
      <w:r>
        <w:t>。数据源：</w:t>
      </w:r>
      <w:r>
        <w:t>test_grid.json</w:t>
      </w:r>
      <w:r>
        <w:t>，没有据此重选方法。</w:t>
      </w:r>
    </w:p>
    <w:p w14:paraId="7D5A579A" w14:textId="77777777" w:rsidR="009B2F22" w:rsidRDefault="00516106">
      <w:r>
        <w:t>R6</w:t>
      </w:r>
      <w:r>
        <w:t>相对</w:t>
      </w:r>
      <w:r>
        <w:t>R0</w:t>
      </w:r>
      <w:r>
        <w:t>的</w:t>
      </w:r>
      <w:r>
        <w:t>64</w:t>
      </w:r>
      <w:r>
        <w:t>条件平均</w:t>
      </w:r>
      <w:r>
        <w:t>S</w:t>
      </w:r>
      <w:r>
        <w:t>增加</w:t>
      </w:r>
      <w:r>
        <w:t>0.004558</w:t>
      </w:r>
      <w:r>
        <w:t>，但低于等权集成</w:t>
      </w:r>
      <w:r>
        <w:t>R2</w:t>
      </w:r>
      <w:r>
        <w:t>；</w:t>
      </w:r>
      <w:r>
        <w:t>clean ACC</w:t>
      </w:r>
      <w:r>
        <w:t>从</w:t>
      </w:r>
      <w:r>
        <w:t>65.20%</w:t>
      </w:r>
      <w:r>
        <w:t>下降到</w:t>
      </w:r>
      <w:r>
        <w:t>64.10%</w:t>
      </w:r>
      <w:r>
        <w:t>，</w:t>
      </w:r>
      <w:r>
        <w:t>Macro-F1</w:t>
      </w:r>
      <w:r>
        <w:t>也下降。内部验证收益未形成对简单集成的稳定复评优势，不能写为全面性能提升。可能原因包括集成权重对有限</w:t>
      </w:r>
      <w:r>
        <w:t>valid</w:t>
      </w:r>
      <w:r>
        <w:t>的适配、基模型误差相关性和场景权衡，但本轮没有因果消融证实这些解释。没有依据</w:t>
      </w:r>
      <w:r>
        <w:t>test</w:t>
      </w:r>
      <w:r>
        <w:t>改选</w:t>
      </w:r>
      <w:r>
        <w:t>R2</w:t>
      </w:r>
      <w:r>
        <w:t>或重新调整</w:t>
      </w:r>
      <w:r>
        <w:t>R6</w:t>
      </w:r>
      <w:r>
        <w:t>。</w:t>
      </w:r>
    </w:p>
    <w:p w14:paraId="0DDFA58F" w14:textId="77777777" w:rsidR="009B2F22" w:rsidRDefault="00516106">
      <w:pPr>
        <w:pStyle w:val="21"/>
      </w:pPr>
      <w:r>
        <w:t xml:space="preserve">4.1 </w:t>
      </w:r>
      <w:r>
        <w:t>缺失组合与比例的影响</w:t>
      </w:r>
    </w:p>
    <w:p w14:paraId="57DF271B" w14:textId="77777777" w:rsidR="009B2F22" w:rsidRDefault="00516106">
      <w:pPr>
        <w:keepNext/>
        <w:jc w:val="center"/>
      </w:pPr>
      <w:r>
        <w:rPr>
          <w:noProof/>
        </w:rPr>
        <w:drawing>
          <wp:inline distT="0" distB="0" distL="0" distR="0" wp14:anchorId="44A01D97" wp14:editId="4D9C15E7">
            <wp:extent cx="6120000" cy="2989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missing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0D94" w14:textId="77777777" w:rsidR="009B2F22" w:rsidRDefault="00516106">
      <w:pPr>
        <w:pStyle w:val="af7"/>
        <w:keepLines/>
      </w:pPr>
      <w:r>
        <w:t>图</w:t>
      </w:r>
      <w:r>
        <w:t xml:space="preserve">C2-3 </w:t>
      </w:r>
      <w:r>
        <w:t>七种模态组合下的缺失比例与</w:t>
      </w:r>
      <w:r>
        <w:t>Macro-F1</w:t>
      </w:r>
      <w:r>
        <w:t>。</w:t>
      </w:r>
      <w:r>
        <w:t xml:space="preserve"> T</w:t>
      </w:r>
      <w:r>
        <w:t>、</w:t>
      </w:r>
      <w:r>
        <w:t>A</w:t>
      </w:r>
      <w:r>
        <w:t>、</w:t>
      </w:r>
      <w:r>
        <w:t>V</w:t>
      </w:r>
      <w:r>
        <w:t>分别表示文本、音频、视觉；非零比例处的点为</w:t>
      </w:r>
      <w:r>
        <w:t>start/middle/end</w:t>
      </w:r>
      <w:r>
        <w:t>三个位置的</w:t>
      </w:r>
      <w:r>
        <w:t>Macro-F1</w:t>
      </w:r>
      <w:r>
        <w:t>算术平均，曲线连接预设离散条件，未平滑或插值补造观测。比例</w:t>
      </w:r>
      <w:r>
        <w:t>0</w:t>
      </w:r>
      <w:r>
        <w:t>为各方法共同重复展示的</w:t>
      </w:r>
      <w:r>
        <w:t>clean</w:t>
      </w:r>
      <w:r>
        <w:t>条件，不是额外七组样本。七个面板使用相同纵轴范围；不将三个位置当作随机种子或置信区间。数据源：完整</w:t>
      </w:r>
      <w:r>
        <w:t>63</w:t>
      </w:r>
      <w:r>
        <w:t>种缺失条件的已保存</w:t>
      </w:r>
      <w:r>
        <w:t>test</w:t>
      </w:r>
      <w:r>
        <w:t>结果。</w:t>
      </w:r>
    </w:p>
    <w:p w14:paraId="48D1A747" w14:textId="77777777" w:rsidR="009B2F22" w:rsidRDefault="00516106">
      <w:r>
        <w:t>涉及文本的较大比例缺失通常伴随更明显的性能下降。在本次</w:t>
      </w:r>
      <w:r>
        <w:t>50%</w:t>
      </w:r>
      <w:r>
        <w:t>文本相关缺失的四个组合中，</w:t>
      </w:r>
      <w:r>
        <w:t>R6</w:t>
      </w:r>
      <w:r>
        <w:t>的平均</w:t>
      </w:r>
      <w:r>
        <w:t>Macro-F1</w:t>
      </w:r>
      <w:r>
        <w:t>均高于</w:t>
      </w:r>
      <w:r>
        <w:t>R0/R2</w:t>
      </w:r>
      <w:r>
        <w:t>；但音频或视觉单独缺失时并无统一优势，且部分条件的分数高于</w:t>
      </w:r>
      <w:r>
        <w:t>clean</w:t>
      </w:r>
      <w:r>
        <w:t>。此处只描述固定条件下的观察，不能推断缺失天然有益，也不能据此修改选型目标。局部鲁棒收益与整体复评排序并不等价。</w:t>
      </w:r>
    </w:p>
    <w:p w14:paraId="2E0B37B2" w14:textId="77777777" w:rsidR="009B2F22" w:rsidRDefault="00516106">
      <w:pPr>
        <w:pStyle w:val="21"/>
      </w:pPr>
      <w:r>
        <w:lastRenderedPageBreak/>
        <w:t xml:space="preserve">4.2 </w:t>
      </w:r>
      <w:r>
        <w:t>类别错误的变化</w:t>
      </w:r>
    </w:p>
    <w:p w14:paraId="7F646686" w14:textId="77777777" w:rsidR="009B2F22" w:rsidRDefault="00516106">
      <w:pPr>
        <w:keepNext/>
        <w:jc w:val="center"/>
      </w:pPr>
      <w:r>
        <w:rPr>
          <w:noProof/>
        </w:rPr>
        <w:drawing>
          <wp:inline distT="0" distB="0" distL="0" distR="0" wp14:anchorId="780115E8" wp14:editId="5CB26110">
            <wp:extent cx="6120000" cy="20883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est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3218" w14:textId="77777777" w:rsidR="009B2F22" w:rsidRDefault="00516106">
      <w:pPr>
        <w:pStyle w:val="af7"/>
        <w:keepLines/>
      </w:pPr>
      <w:r>
        <w:t>图</w:t>
      </w:r>
      <w:r>
        <w:t>C2-4 clean test</w:t>
      </w:r>
      <w:r>
        <w:t>的分类错误对照。</w:t>
      </w:r>
      <w:r>
        <w:t xml:space="preserve"> </w:t>
      </w:r>
      <w:r>
        <w:t>行为真实类别、列为预测类别；每格上行为样本数，下行为该真实类别内部的行百分比。三幅图均含相同</w:t>
      </w:r>
      <w:r>
        <w:t>727</w:t>
      </w:r>
      <w:r>
        <w:t>条样本并共享色标。图中计数从锁定后保存的逐样本概率取</w:t>
      </w:r>
      <w:r>
        <w:t>argmax</w:t>
      </w:r>
      <w:r>
        <w:t>重新汇总，准确率与原实验表一致；绘图没有重新执行模型推理。</w:t>
      </w:r>
    </w:p>
    <w:p w14:paraId="20948FAC" w14:textId="77777777" w:rsidR="009B2F22" w:rsidRDefault="00516106">
      <w:r>
        <w:t>R6</w:t>
      </w:r>
      <w:r>
        <w:t>相对</w:t>
      </w:r>
      <w:r>
        <w:t>R0</w:t>
      </w:r>
      <w:r>
        <w:t>将中性正确数从</w:t>
      </w:r>
      <w:r>
        <w:t>56</w:t>
      </w:r>
      <w:r>
        <w:t>提高到</w:t>
      </w:r>
      <w:r>
        <w:t>59</w:t>
      </w:r>
      <w:r>
        <w:t>，但负向正确数由</w:t>
      </w:r>
      <w:r>
        <w:t>142</w:t>
      </w:r>
      <w:r>
        <w:t>降到</w:t>
      </w:r>
      <w:r>
        <w:t>136</w:t>
      </w:r>
      <w:r>
        <w:t>、正向由</w:t>
      </w:r>
      <w:r>
        <w:t>276</w:t>
      </w:r>
      <w:r>
        <w:t>降到</w:t>
      </w:r>
      <w:r>
        <w:t>271</w:t>
      </w:r>
      <w:r>
        <w:t>，合计少判对</w:t>
      </w:r>
      <w:r>
        <w:t>8</w:t>
      </w:r>
      <w:r>
        <w:t>条。中性召回的小幅改善未抵消其他类别损失，也不能等同于中性</w:t>
      </w:r>
      <w:r>
        <w:t>F1</w:t>
      </w:r>
      <w:r>
        <w:t>改善。这使</w:t>
      </w:r>
      <w:r>
        <w:t>clean</w:t>
      </w:r>
      <w:r>
        <w:t>准确率下降的来源能够定位到类别层面，仍不构成对训练原因的因果解释。</w:t>
      </w:r>
    </w:p>
    <w:p w14:paraId="7E5881DD" w14:textId="77777777" w:rsidR="009B2F22" w:rsidRDefault="00516106">
      <w:r>
        <w:t>本轮说明，将训练与预测层搜索分离后，可以低成本完成有对照的优化器比较；但搜索更充分并不保证泛化收益。对本数据与模型库而言，普通集成收益较清晰，复杂搜索相对简单集成的附加收益仍不稳定。</w:t>
      </w:r>
    </w:p>
    <w:p w14:paraId="247AE6F6" w14:textId="77777777" w:rsidR="009B2F22" w:rsidRDefault="00516106">
      <w:pPr>
        <w:pStyle w:val="1"/>
      </w:pPr>
      <w:r>
        <w:t xml:space="preserve">5. </w:t>
      </w:r>
      <w:r>
        <w:t>成本与复现</w:t>
      </w:r>
    </w:p>
    <w:p w14:paraId="19FB1F98" w14:textId="77777777" w:rsidR="009B2F22" w:rsidRDefault="00516106">
      <w:pPr>
        <w:keepNext/>
        <w:jc w:val="center"/>
      </w:pPr>
      <w:r>
        <w:rPr>
          <w:noProof/>
        </w:rPr>
        <w:drawing>
          <wp:inline distT="0" distB="0" distL="0" distR="0" wp14:anchorId="42427F59" wp14:editId="0C1C5FB0">
            <wp:extent cx="6120000" cy="27805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ensemble_weigh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D4D9" w14:textId="77777777" w:rsidR="009B2F22" w:rsidRDefault="00516106">
      <w:pPr>
        <w:pStyle w:val="af7"/>
        <w:keepLines/>
      </w:pPr>
      <w:r>
        <w:t>图</w:t>
      </w:r>
      <w:r>
        <w:t xml:space="preserve">C2-5 </w:t>
      </w:r>
      <w:r>
        <w:t>锁定</w:t>
      </w:r>
      <w:r>
        <w:t>R6</w:t>
      </w:r>
      <w:r>
        <w:t>在库</w:t>
      </w:r>
      <w:r>
        <w:t>A</w:t>
      </w:r>
      <w:r>
        <w:t>全部</w:t>
      </w:r>
      <w:r>
        <w:t>valid</w:t>
      </w:r>
      <w:r>
        <w:t>重拟合后的平均权重。</w:t>
      </w:r>
      <w:r>
        <w:t xml:space="preserve"> L/D/H</w:t>
      </w:r>
      <w:r>
        <w:t>学习率分别为</w:t>
      </w:r>
      <w:r>
        <w:t>0.0004/0.0008/0.0016</w:t>
      </w:r>
      <w:r>
        <w:t>，种子</w:t>
      </w:r>
      <w:r>
        <w:t>1/2</w:t>
      </w:r>
      <w:r>
        <w:t>分别为</w:t>
      </w:r>
      <w:r>
        <w:t>20261001/20261002</w:t>
      </w:r>
      <w:r>
        <w:t>。柱高为三个优化种子得到的权重平均；</w:t>
      </w:r>
      <w:r>
        <w:t>R6</w:t>
      </w:r>
      <w:r>
        <w:t>没有类别偏置，因此等价于平均其预测。虚线为六模型等权的</w:t>
      </w:r>
      <w:r>
        <w:t>1/6</w:t>
      </w:r>
      <w:r>
        <w:t>参考线。权重表示基模型的集成系数，不是文本</w:t>
      </w:r>
      <w:r>
        <w:t>/</w:t>
      </w:r>
      <w:r>
        <w:t>音频</w:t>
      </w:r>
      <w:r>
        <w:t>/</w:t>
      </w:r>
      <w:r>
        <w:t>视觉的模态贡献。</w:t>
      </w:r>
    </w:p>
    <w:p w14:paraId="2BAD5F60" w14:textId="77777777" w:rsidR="009B2F22" w:rsidRDefault="00516106">
      <w:r>
        <w:t>H</w:t>
      </w:r>
      <w:r>
        <w:t>族种子</w:t>
      </w:r>
      <w:r>
        <w:t>1</w:t>
      </w:r>
      <w:r>
        <w:t>模型权重约</w:t>
      </w:r>
      <w:r>
        <w:t>0.5839</w:t>
      </w:r>
      <w:r>
        <w:t>，而最小权重仍约</w:t>
      </w:r>
      <w:r>
        <w:t>0.0070</w:t>
      </w:r>
      <w:r>
        <w:t>，六个基模型全部保留。正则化没有强制等权，也没有实现模型剪枝；不能把权重集中程度的下降等同于推理加速。</w:t>
      </w:r>
    </w:p>
    <w:p w14:paraId="3530B7D9" w14:textId="77777777" w:rsidR="009B2F22" w:rsidRDefault="00516106">
      <w:r>
        <w:lastRenderedPageBreak/>
        <w:t>RTX 4070 Laptop GPU</w:t>
      </w:r>
      <w:r>
        <w:t>、</w:t>
      </w:r>
      <w:r>
        <w:t>myenv</w:t>
      </w:r>
      <w:r>
        <w:t>环境下，</w:t>
      </w:r>
      <w:r>
        <w:t>12</w:t>
      </w:r>
      <w:r>
        <w:t>模型建库阶段约</w:t>
      </w:r>
      <w:r>
        <w:t>330</w:t>
      </w:r>
      <w:r>
        <w:t>秒，完整</w:t>
      </w:r>
      <w:r>
        <w:t>27000</w:t>
      </w:r>
      <w:r>
        <w:t>次搜索约</w:t>
      </w:r>
      <w:r>
        <w:t>12</w:t>
      </w:r>
      <w:r>
        <w:t>秒。成功主流程约</w:t>
      </w:r>
      <w:r>
        <w:t>16.8</w:t>
      </w:r>
      <w:r>
        <w:t>分钟，其中数据准备约</w:t>
      </w:r>
      <w:r>
        <w:t>398</w:t>
      </w:r>
      <w:r>
        <w:t>秒、</w:t>
      </w:r>
      <w:r>
        <w:t>64</w:t>
      </w:r>
      <w:r>
        <w:t>场景复评约</w:t>
      </w:r>
      <w:r>
        <w:t>255</w:t>
      </w:r>
      <w:r>
        <w:t>秒；不包含开发、准备重试及后续</w:t>
      </w:r>
      <w:r>
        <w:t>bootstrap</w:t>
      </w:r>
      <w:r>
        <w:t>归档，不能把</w:t>
      </w:r>
      <w:r>
        <w:t>16.8</w:t>
      </w:r>
      <w:r>
        <w:t>分钟称为本次全部工作耗时。</w:t>
      </w:r>
    </w:p>
    <w:p w14:paraId="2909CEBC" w14:textId="77777777" w:rsidR="009B2F22" w:rsidRDefault="00516106">
      <w:r>
        <w:t>入口为</w:t>
      </w:r>
      <w:r>
        <w:t>C/scripts/run_q2_round2.py</w:t>
      </w:r>
      <w:r>
        <w:t>，输出为</w:t>
      </w:r>
      <w:r>
        <w:t>C/outputs/q2_round2_ensemble_v1/</w:t>
      </w:r>
      <w:r>
        <w:t>。数值检查与真实产物审计均已通过；审计核对</w:t>
      </w:r>
      <w:r>
        <w:t>345</w:t>
      </w:r>
      <w:r>
        <w:t>个产物、</w:t>
      </w:r>
      <w:r>
        <w:t>216</w:t>
      </w:r>
      <w:r>
        <w:t>轮、</w:t>
      </w:r>
      <w:r>
        <w:t>27000</w:t>
      </w:r>
      <w:r>
        <w:t>次请求、视频分组隔离，并从保存的搜索解重建折外预测，在</w:t>
      </w:r>
      <w:r>
        <w:t>1e-12</w:t>
      </w:r>
      <w:r>
        <w:t>容差内一致。详见启动与恢复指南。本次未覆盖第一轮论文或正式提交包。</w:t>
      </w:r>
    </w:p>
    <w:p w14:paraId="784CC009" w14:textId="77777777" w:rsidR="009B2F22" w:rsidRDefault="00516106">
      <w:pPr>
        <w:pStyle w:val="1"/>
      </w:pPr>
      <w:r>
        <w:t xml:space="preserve">6. </w:t>
      </w:r>
      <w:r>
        <w:t>临时图表交付说明（统稿时可移至附录）</w:t>
      </w:r>
    </w:p>
    <w:p w14:paraId="33700CE3" w14:textId="77777777" w:rsidR="009B2F22" w:rsidRDefault="00516106">
      <w:r>
        <w:t>图号</w:t>
      </w:r>
      <w:r>
        <w:t>C2-1—C2-5</w:t>
      </w:r>
      <w:r>
        <w:t>为本片段临时编号，</w:t>
      </w:r>
      <w:r>
        <w:t>A</w:t>
      </w:r>
      <w:r>
        <w:t>统稿时统一调整。配图参考</w:t>
      </w:r>
      <w:r>
        <w:t>A</w:t>
      </w:r>
      <w:r>
        <w:t>的问题二对比图、权重图和中文混淆矩阵，以及</w:t>
      </w:r>
      <w:r>
        <w:t>B</w:t>
      </w:r>
      <w:r>
        <w:t>的问题三对照图配色、统一色标与行百分比标注；章节采用队友已有的</w:t>
      </w:r>
      <w:r>
        <w:t>“</w:t>
      </w:r>
      <w:r>
        <w:t>模型</w:t>
      </w:r>
      <w:r>
        <w:t>—</w:t>
      </w:r>
      <w:r>
        <w:t>求解</w:t>
      </w:r>
      <w:r>
        <w:t>—</w:t>
      </w:r>
      <w:r>
        <w:t>结果分析</w:t>
      </w:r>
      <w:r>
        <w:t>—</w:t>
      </w:r>
      <w:r>
        <w:t>复现</w:t>
      </w:r>
      <w:r>
        <w:t>”</w:t>
      </w:r>
      <w:r>
        <w:t>顺序。借鉴的是表达形式，不混用队友的实验分数。</w:t>
      </w:r>
    </w:p>
    <w:p w14:paraId="6CAB1E6E" w14:textId="77777777" w:rsidR="009B2F22" w:rsidRDefault="00516106">
      <w:r>
        <w:t>全部图片已存为</w:t>
      </w:r>
      <w:r>
        <w:t>300 dpi PNG</w:t>
      </w:r>
      <w:r>
        <w:t>与可编辑排版的矢量</w:t>
      </w:r>
      <w:r>
        <w:t>SVG</w:t>
      </w:r>
      <w:r>
        <w:t>，位于配图与数据目录。同目录保留</w:t>
      </w:r>
      <w:r>
        <w:t>plot_data.json</w:t>
      </w:r>
      <w:r>
        <w:t>、</w:t>
      </w:r>
      <w:r>
        <w:t>plot_values.csv</w:t>
      </w:r>
      <w:r>
        <w:t>及来源</w:t>
      </w:r>
      <w:r>
        <w:t>/</w:t>
      </w:r>
      <w:r>
        <w:t>渲染哈希；不依赖被忽略的临时</w:t>
      </w:r>
      <w:r>
        <w:t>outputs</w:t>
      </w:r>
      <w:r>
        <w:t>才能查看或重新绘图。已有实验权重、预测和选择锁定文件保持原状。复现命令：</w:t>
      </w:r>
    </w:p>
    <w:p w14:paraId="7BBB441D" w14:textId="77777777" w:rsidR="009B2F22" w:rsidRDefault="00516106">
      <w:pPr>
        <w:keepLines/>
      </w:pPr>
      <w:r>
        <w:rPr>
          <w:rFonts w:ascii="Consolas" w:hAnsi="Consolas"/>
          <w:sz w:val="16"/>
        </w:rPr>
        <w:t>&amp; 'C:/Users/ken/miniconda3/envs/myenv/python.exe' C/scripts/plot_q2_round2_paper.py</w:t>
      </w:r>
      <w:r>
        <w:rPr>
          <w:rFonts w:ascii="Consolas" w:hAnsi="Consolas"/>
          <w:sz w:val="16"/>
        </w:rPr>
        <w:br/>
      </w:r>
    </w:p>
    <w:p w14:paraId="5A310AF0" w14:textId="77777777" w:rsidR="009B2F22" w:rsidRDefault="00516106">
      <w:r>
        <w:t>上述命令默认从已归档的汇总数据绘图；首次生成时核验原运行文件哈希。只有明确需要重新提取原运行快照时才加</w:t>
      </w:r>
      <w:r>
        <w:t>--snapshot</w:t>
      </w:r>
      <w:r>
        <w:t>，该参数也不会训练、搜索或重新推理</w:t>
      </w:r>
      <w:r>
        <w:t>test</w:t>
      </w:r>
      <w:r>
        <w:t>。作图风格参考路径和源文件哈希见</w:t>
      </w:r>
      <w:r>
        <w:t>source_manifest.json</w:t>
      </w:r>
      <w:r>
        <w:t>。</w:t>
      </w:r>
    </w:p>
    <w:sectPr w:rsidR="009B2F22" w:rsidSect="00034616">
      <w:footerReference w:type="default" r:id="rId1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58FF0" w14:textId="77777777" w:rsidR="00516106" w:rsidRDefault="00516106">
      <w:pPr>
        <w:spacing w:after="0" w:line="240" w:lineRule="auto"/>
      </w:pPr>
      <w:r>
        <w:separator/>
      </w:r>
    </w:p>
  </w:endnote>
  <w:endnote w:type="continuationSeparator" w:id="0">
    <w:p w14:paraId="2697C9A0" w14:textId="77777777" w:rsidR="00516106" w:rsidRDefault="00516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2B9D" w14:textId="77777777" w:rsidR="009B2F22" w:rsidRDefault="00516106">
    <w:pPr>
      <w:pStyle w:val="a7"/>
      <w:jc w:val="center"/>
    </w:pPr>
    <w:r>
      <w:t>第二轮实验临时稿</w:t>
    </w:r>
    <w:r>
      <w:t xml:space="preserve"> · </w:t>
    </w:r>
    <w:r>
      <w:fldChar w:fldCharType="begin"/>
    </w:r>
    <w:r>
      <w:instrText>PAGE</w:instrText>
    </w:r>
    <w:r>
      <w:fldChar w:fldCharType="separate"/>
    </w:r>
    <w:r w:rsidR="00702E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AD04F" w14:textId="77777777" w:rsidR="00516106" w:rsidRDefault="00516106">
      <w:pPr>
        <w:spacing w:after="0" w:line="240" w:lineRule="auto"/>
      </w:pPr>
      <w:r>
        <w:separator/>
      </w:r>
    </w:p>
  </w:footnote>
  <w:footnote w:type="continuationSeparator" w:id="0">
    <w:p w14:paraId="7D60D48D" w14:textId="77777777" w:rsidR="00516106" w:rsidRDefault="00516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195986">
    <w:abstractNumId w:val="8"/>
  </w:num>
  <w:num w:numId="2" w16cid:durableId="1607419708">
    <w:abstractNumId w:val="6"/>
  </w:num>
  <w:num w:numId="3" w16cid:durableId="242225368">
    <w:abstractNumId w:val="5"/>
  </w:num>
  <w:num w:numId="4" w16cid:durableId="1024138936">
    <w:abstractNumId w:val="4"/>
  </w:num>
  <w:num w:numId="5" w16cid:durableId="1731919950">
    <w:abstractNumId w:val="7"/>
  </w:num>
  <w:num w:numId="6" w16cid:durableId="931279389">
    <w:abstractNumId w:val="3"/>
  </w:num>
  <w:num w:numId="7" w16cid:durableId="1128739400">
    <w:abstractNumId w:val="2"/>
  </w:num>
  <w:num w:numId="8" w16cid:durableId="58286476">
    <w:abstractNumId w:val="1"/>
  </w:num>
  <w:num w:numId="9" w16cid:durableId="72522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106"/>
    <w:rsid w:val="006E53D0"/>
    <w:rsid w:val="00702E6D"/>
    <w:rsid w:val="009B2F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E338CD"/>
  <w14:defaultImageDpi w14:val="300"/>
  <w15:docId w15:val="{19BF58D1-5338-4E31-A10D-D48D9962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64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3595</Words>
  <Characters>4950</Characters>
  <Application>Microsoft Office Word</Application>
  <DocSecurity>0</DocSecurity>
  <Lines>174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第二轮集成优化实验论文草稿</dc:title>
  <dc:subject>固定模型库集成搜索：实测结果、图表及局限</dc:subject>
  <dc:creator>python-docx</dc:creator>
  <cp:keywords/>
  <dc:description>Markdown为编辑源；含五幅实测配图，临时统稿片段。</dc:description>
  <cp:lastModifiedBy>657969373@qq.com</cp:lastModifiedBy>
  <cp:revision>2</cp:revision>
  <dcterms:created xsi:type="dcterms:W3CDTF">2013-12-23T23:15:00Z</dcterms:created>
  <dcterms:modified xsi:type="dcterms:W3CDTF">2026-09-25T16:32:00Z</dcterms:modified>
  <cp:category/>
</cp:coreProperties>
</file>