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第五轮优化：独立专家与缺失感知决策融合</w:t>
      </w:r>
    </w:p>
    <w:p>
      <w:pPr/>
      <w:r>
        <w:t>本片段对应问题2第五轮实验，供A合并正文。Markdown为编辑源，Word为导出版。实验已完成新增21个专家模型、378个epoch、3个学习门控及64条件复评，并通过产物审计和断点恢复检查。所有汇总指标为三个种子分别运行预测流程后的指标均值，不跨种子集成；以下test均指历史测试集的锁定后复评。</w:t>
      </w:r>
    </w:p>
    <w:p>
      <w:pPr>
        <w:pStyle w:val="Heading1"/>
      </w:pPr>
      <w:r>
        <w:t>1 研究动机与实验假设</w:t>
      </w:r>
    </w:p>
    <w:p>
      <w:pPr/>
      <w:r>
        <w:t>第四轮中，仅文本模型的valid准确率为61.26%，加宽三模态基线为61.31%，两者接近，池化前序列交互也未胜出。这提示当前模型尚未稳定利用音视频的增量信息，但不能据此断言音视频信息无用。本轮将文本与音视频分开训练，先检查两类专家的错误是否互补，再检验一个小型决策融合器能否识别适合采用音视频判断的样本。</w:t>
      </w:r>
    </w:p>
    <w:p>
      <w:pPr/>
      <w:r>
        <w:t>保留第四轮隐藏维度91的Fusion作为固定对照，复用其三个种子的权重和预测，同时复用第四轮文本专家。新增音视频专家只接收音频、视觉特征及对应掩码，避免在训练中依赖文本。若预先约定的互补诊断阈值未达到，则转向文本表示实验；本轮实测达到阈值，因而执行决策融合分支，没有运行更换编码器实验。</w:t>
      </w:r>
    </w:p>
    <w:p>
      <w:pPr>
        <w:pStyle w:val="Heading1"/>
      </w:pPr>
      <w:r>
        <w:t>2 方法与数据隔离</w:t>
      </w:r>
    </w:p>
    <w:p>
      <w:pPr>
        <w:pStyle w:val="Heading2"/>
      </w:pPr>
      <w:r>
        <w:t>2.1 独立专家与可用性门控</w:t>
      </w:r>
    </w:p>
    <w:p>
      <w:pPr/>
      <w:r>
        <w:t>文本专家以384维MiniLM特征为输入，投影至64维并进行掩码注意力池化，参数量为41925。音视频专家将74维音频与35维视觉分别投影至64维，独立池化后拼接摘要及两路可用率，经128→64预测头输出三分类概率和范围为[−3,3]的强度，参数量为33030。两种专家使用相同的加权交叉熵与0.8倍SmoothL1联合目标。</w:t>
      </w:r>
    </w:p>
    <w:p>
      <w:pPr>
        <w:keepNext/>
      </w:pPr>
      <w:r>
        <w:t>融合器输入为两专家的三分类概率（6维）、除以3的预测强度（2维）、预测熵（2维）及三模态剩余有效位置比例（3维），共13维。可用率以当前有效位置数除以该样本干净有效位置数，干净分母为零时记零。13→8→2网络使用tanh中间激活，共130个参数，末层零初始化。令zᵢₑ为门控输出，mᵢₑ表示专家是否可用，e取文本T或音视频AV，则至少一路可用时：</w:t>
      </w:r>
    </w:p>
    <w:p>
      <w:pPr>
        <w:keepLines/>
      </w:pPr>
      <m:oMathPara>
        <m:oMath>
          <m:sSub>
            <m:e>
              <m:r>
                <m:t>g</m:t>
              </m:r>
            </m:e>
            <m:sub>
              <m:r>
                <m:t>ie</m:t>
              </m:r>
            </m:sub>
          </m:sSub>
          <m:r>
            <m:t> = </m:t>
          </m:r>
          <m:f>
            <m:num>
              <m:sSub>
                <m:e>
                  <m:r>
                    <m:t>m</m:t>
                  </m:r>
                </m:e>
                <m:sub>
                  <m:r>
                    <m:t>ie</m:t>
                  </m:r>
                </m:sub>
              </m:sSub>
              <m:r>
                <m:t> exp(</m:t>
              </m:r>
              <m:sSub>
                <m:e>
                  <m:r>
                    <m:t>z</m:t>
                  </m:r>
                </m:e>
                <m:sub>
                  <m:r>
                    <m:t>ie</m:t>
                  </m:r>
                </m:sub>
              </m:sSub>
              <m:r>
                <m:t>)</m:t>
              </m:r>
            </m:num>
            <m:den>
              <m:nary>
                <m:naryPr>
                  <m:chr m:val="∑"/>
                  <m:limLoc m:val="undOvr"/>
                </m:naryPr>
                <m:sub>
                  <m:r>
                    <m:t>k∈{T,AV}</m:t>
                  </m:r>
                </m:sub>
                <m:sup>
                  <m:r>
                    <m:t/>
                  </m:r>
                </m:sup>
                <m:e>
                  <m:sSub>
                    <m:e>
                      <m:r>
                        <m:t>m</m:t>
                      </m:r>
                    </m:e>
                    <m:sub>
                      <m:r>
                        <m:t>ik</m:t>
                      </m:r>
                    </m:sub>
                  </m:sSub>
                  <m:r>
                    <m:t> exp(</m:t>
                  </m:r>
                  <m:sSub>
                    <m:e>
                      <m:r>
                        <m:t>z</m:t>
                      </m:r>
                    </m:e>
                    <m:sub>
                      <m:r>
                        <m:t>ik</m:t>
                      </m:r>
                    </m:sub>
                  </m:sSub>
                  <m:r>
                    <m:t>)</m:t>
                  </m:r>
                </m:e>
              </m:nary>
            </m:den>
          </m:f>
        </m:oMath>
      </m:oMathPara>
    </w:p>
    <w:p>
      <w:pPr>
        <w:keepNext/>
      </w:pPr>
      <w:r>
        <w:t>文本至少一个有效位置时文本专家可用，音频或视觉至少一路存在有效位置时音视频专家可用。不可用专家的概率先替换为均匀分布、强度置零，其门控权重严格为零。两路均不可用时直接返回均匀分类概率与强度零，不执行上述零分母归一化。对可用专家的概率与回归输出进行加权组合：</w:t>
      </w:r>
    </w:p>
    <w:p>
      <w:pPr>
        <w:keepLines/>
      </w:pPr>
      <m:oMathPara>
        <m:oMath>
          <m:sSub>
            <m:e>
              <m:r>
                <m:t>p</m:t>
              </m:r>
            </m:e>
            <m:sub>
              <m:r>
                <m:t>i</m:t>
              </m:r>
            </m:sub>
          </m:sSub>
          <m:r>
            <m:t> = </m:t>
          </m:r>
          <m:nary>
            <m:naryPr>
              <m:chr m:val="∑"/>
              <m:limLoc m:val="undOvr"/>
            </m:naryPr>
            <m:sub>
              <m:r>
                <m:t>e∈{T,AV}</m:t>
              </m:r>
            </m:sub>
            <m:sup>
              <m:r>
                <m:t/>
              </m:r>
            </m:sup>
            <m:e>
              <m:sSub>
                <m:e>
                  <m:r>
                    <m:t>g</m:t>
                  </m:r>
                </m:e>
                <m:sub>
                  <m:r>
                    <m:t>ie</m:t>
                  </m:r>
                </m:sub>
              </m:sSub>
              <m:sSub>
                <m:e>
                  <m:r>
                    <m:t>p</m:t>
                  </m:r>
                </m:e>
                <m:sub>
                  <m:r>
                    <m:t>ie</m:t>
                  </m:r>
                </m:sub>
              </m:sSub>
            </m:e>
          </m:nary>
          <m:r>
            <m:t>，  </m:t>
          </m:r>
          <m:sSub>
            <m:e>
              <m:r>
                <m:t>r</m:t>
              </m:r>
            </m:e>
            <m:sub>
              <m:r>
                <m:t>i</m:t>
              </m:r>
            </m:sub>
          </m:sSub>
          <m:r>
            <m:t> = </m:t>
          </m:r>
          <m:nary>
            <m:naryPr>
              <m:chr m:val="∑"/>
              <m:limLoc m:val="undOvr"/>
            </m:naryPr>
            <m:sub>
              <m:r>
                <m:t>e∈{T,AV}</m:t>
              </m:r>
            </m:sub>
            <m:sup>
              <m:r>
                <m:t/>
              </m:r>
            </m:sup>
            <m:e>
              <m:sSub>
                <m:e>
                  <m:r>
                    <m:t>g</m:t>
                  </m:r>
                </m:e>
                <m:sub>
                  <m:r>
                    <m:t>ie</m:t>
                  </m:r>
                </m:sub>
              </m:sSub>
              <m:sSub>
                <m:e>
                  <m:r>
                    <m:t>r</m:t>
                  </m:r>
                </m:e>
                <m:sub>
                  <m:r>
                    <m:t>ie</m:t>
                  </m:r>
                </m:sub>
              </m:sSub>
            </m:e>
          </m:nary>
        </m:oMath>
      </m:oMathPara>
    </w:p>
    <w:p>
      <w:pPr/>
      <w:r>
        <w:t>等权融合采用相同的可用性屏蔽规则，将可用专家权重设为相等，作为学习门控的直接对照。门控权重是预测组合系数，不是模态因果贡献，也不保证与缺失比例单调对应。</w:t>
      </w:r>
    </w:p>
    <w:p>
      <w:pPr>
        <w:pStyle w:val="Heading2"/>
      </w:pPr>
      <w:r>
        <w:t>2.2 按原视频分组的折外训练</w:t>
      </w:r>
    </w:p>
    <w:p>
      <w:pPr/>
      <w:r>
        <w:t>延续官方train 3395条中的fit 3004条和stop 391条划分，valid为728条，test为727条。归一化仅由相应训练部分拟合。对fit按原视频进行三折StratifiedGroupKFold，种子为20265000，三个留出折分别为1033、1003、968条。每折只使用其余两折训练文本、音视频专家，类别权重及音视频归一化也只由这两折计算。外部stop用于选择该折专家的epoch；留出fit标签不参与专家训练、归一化或epoch选择。该分组不能称为受试者独立划分。</w:t>
      </w:r>
    </w:p>
    <w:p>
      <w:pPr/>
      <w:r>
        <w:t>每个fit样本仅由未见过其原视频组的专家生成折外预测。每种子需训练六个折内专家，三种子共18个；再加完整fit训练的三个音视频专家，共新增21个专家模型。冻结文本编码器和已缓存的缺失视图可复用，但严格按原fit行号索引。推理时，门控接收完整fit训练的专家输出，不是折内专家集成。</w:t>
      </w:r>
    </w:p>
    <w:p>
      <w:pPr>
        <w:keepNext/>
      </w:pPr>
      <w:r>
        <w:t>门控训练面板包含干净条件、8个既有局部缺失视图、整路文本缺失及整路音视频缺失，共11种。设aₛ为面板权重，w为fit类别频率逆平方根权重，yᵢ和sᵢ分别为真实类别和强度，H₁为SmoothL1，则门控目标为：</w:t>
      </w:r>
    </w:p>
    <w:p>
      <w:pPr>
        <w:keepLines/>
      </w:pPr>
      <m:oMathPara>
        <m:oMath>
          <m:r>
            <m:t>L = </m:t>
          </m:r>
          <m:nary>
            <m:naryPr>
              <m:chr m:val="∑"/>
              <m:limLoc m:val="undOvr"/>
            </m:naryPr>
            <m:sub>
              <m:r>
                <m:t>s=1</m:t>
              </m:r>
            </m:sub>
            <m:sup>
              <m:r>
                <m:t>11</m:t>
              </m:r>
            </m:sup>
            <m:e>
              <m:sSub>
                <m:e>
                  <m:r>
                    <m:t>a</m:t>
                  </m:r>
                </m:e>
                <m:sub>
                  <m:r>
                    <m:t>s</m:t>
                  </m:r>
                </m:sub>
              </m:sSub>
              <m:r>
                <m:t>[</m:t>
              </m:r>
              <m:r>
                <m:t>−</m:t>
              </m:r>
              <m:f>
                <m:num>
                  <m:nary>
                    <m:naryPr>
                      <m:chr m:val="∑"/>
                      <m:limLoc m:val="undOvr"/>
                    </m:naryPr>
                    <m:sub>
                      <m:r>
                        <m:t>i=1</m:t>
                      </m:r>
                    </m:sub>
                    <m:sup>
                      <m:r>
                        <m:t>N</m:t>
                      </m:r>
                    </m:sup>
                    <m:e>
                      <m:sSub>
                        <m:e>
                          <m:r>
                            <m:t>w</m:t>
                          </m:r>
                        </m:e>
                        <m:sub>
                          <m:r>
                            <m:t>yᵢ</m:t>
                          </m:r>
                        </m:sub>
                      </m:sSub>
                      <m:r>
                        <m:t> log </m:t>
                      </m:r>
                      <m:sSub>
                        <m:e>
                          <m:r>
                            <m:t>p</m:t>
                          </m:r>
                        </m:e>
                        <m:sub>
                          <m:r>
                            <m:t>si,yᵢ</m:t>
                          </m:r>
                        </m:sub>
                      </m:sSub>
                    </m:e>
                  </m:nary>
                </m:num>
                <m:den>
                  <m:nary>
                    <m:naryPr>
                      <m:chr m:val="∑"/>
                      <m:limLoc m:val="undOvr"/>
                    </m:naryPr>
                    <m:sub>
                      <m:r>
                        <m:t>i=1</m:t>
                      </m:r>
                    </m:sub>
                    <m:sup>
                      <m:r>
                        <m:t>N</m:t>
                      </m:r>
                    </m:sup>
                    <m:e>
                      <m:sSub>
                        <m:e>
                          <m:r>
                            <m:t>w</m:t>
                          </m:r>
                        </m:e>
                        <m:sub>
                          <m:r>
                            <m:t>yᵢ</m:t>
                          </m:r>
                        </m:sub>
                      </m:sSub>
                    </m:e>
                  </m:nary>
                </m:den>
              </m:f>
              <m:r>
                <m:t> + </m:t>
              </m:r>
              <m:f>
                <m:num>
                  <m:r>
                    <m:t>0.8</m:t>
                  </m:r>
                </m:num>
                <m:den>
                  <m:r>
                    <m:t>N</m:t>
                  </m:r>
                </m:den>
              </m:f>
              <m:nary>
                <m:naryPr>
                  <m:chr m:val="∑"/>
                  <m:limLoc m:val="undOvr"/>
                </m:naryPr>
                <m:sub>
                  <m:r>
                    <m:t>i=1</m:t>
                  </m:r>
                </m:sub>
                <m:sup>
                  <m:r>
                    <m:t>N</m:t>
                  </m:r>
                </m:sup>
                <m:e>
                  <m:sSub>
                    <m:e>
                      <m:r>
                        <m:t>H</m:t>
                      </m:r>
                    </m:e>
                    <m:sub>
                      <m:r>
                        <m:t>1</m:t>
                      </m:r>
                    </m:sub>
                  </m:sSub>
                  <m:r>
                    <m:t>(</m:t>
                  </m:r>
                  <m:sSub>
                    <m:e>
                      <m:r>
                        <m:t>r</m:t>
                      </m:r>
                    </m:e>
                    <m:sub>
                      <m:r>
                        <m:t>si</m:t>
                      </m:r>
                    </m:sub>
                  </m:sSub>
                  <m:r>
                    <m:t> − </m:t>
                  </m:r>
                  <m:sSub>
                    <m:e>
                      <m:r>
                        <m:t>s</m:t>
                      </m:r>
                    </m:e>
                    <m:sub>
                      <m:r>
                        <m:t>i</m:t>
                      </m:r>
                    </m:sub>
                  </m:sSub>
                  <m:r>
                    <m:t>)</m:t>
                  </m:r>
                </m:e>
              </m:nary>
              <m:r>
                <m:t>]</m:t>
              </m:r>
            </m:e>
          </m:nary>
        </m:oMath>
      </m:oMathPara>
    </w:p>
    <w:p>
      <w:pPr/>
      <w:r>
        <w:t>干净条件权重为0.5，8个局部缺失视图各0.03125，两种整路缺失各0.125。每个门控固定训练200个全批步骤，使用AdamW，学习率及权重衰减均为0.01，不在valid上搜索门控超参数或类别偏置。门控学习使用全部fit的折外预测及标签，不反向更新专家。</w:t>
      </w:r>
    </w:p>
    <w:p>
      <w:pPr>
        <w:pStyle w:val="Heading1"/>
      </w:pPr>
      <w:r>
        <w:t>3 训练设置与互补诊断</w:t>
      </w:r>
    </w:p>
    <w:p>
      <w:pPr/>
      <w:r>
        <w:t>专家沿用第四轮配置：18个epoch、AdamW学习率0.0008、权重衰减0.01、batch size 64、预测头dropout 0.25、梯度范数裁剪1。随机种子为20263001、20263002、20263003。训练复用缺失施加概率0.8的八个缓存视图；文本新增缺失在编码器输入端替换为UNK，再编码，保持与此前实验的缺失口径一致。专家按干净stop准确率选择epoch，同分依次比较宏F1、较低MAE，仍同分保留更早epoch。</w:t>
      </w:r>
    </w:p>
    <w:p>
      <w:pPr/>
      <w:r>
        <w:t>进入融合分支的预定条件是：干净stop中“文本错、音视频对”占全部样本的比例，三种子平均至少5%，且至少两个种子达到3%。该阈值为工程筛选规则，不是统计显著性标准。实际三个种子分别为14.32%、13.55%、11.51%，平均13.13%，因此进入融合分支。</w:t>
      </w:r>
    </w:p>
    <w:p>
      <w:pPr>
        <w:keepNext/>
        <w:jc w:val="center"/>
      </w:pPr>
      <w:r>
        <w:drawing>
          <wp:inline xmlns:a="http://schemas.openxmlformats.org/drawingml/2006/main" xmlns:pic="http://schemas.openxmlformats.org/drawingml/2006/picture">
            <wp:extent cx="6120000" cy="1894094"/>
            <wp:docPr id="1" name="Picture 1"/>
            <wp:cNvGraphicFramePr>
              <a:graphicFrameLocks noChangeAspect="1"/>
            </wp:cNvGraphicFramePr>
            <a:graphic>
              <a:graphicData uri="http://schemas.openxmlformats.org/drawingml/2006/picture">
                <pic:pic>
                  <pic:nvPicPr>
                    <pic:cNvPr id="0" name="fig1_error_complementarity.png"/>
                    <pic:cNvPicPr/>
                  </pic:nvPicPr>
                  <pic:blipFill>
                    <a:blip r:embed="rId9"/>
                    <a:stretch>
                      <a:fillRect/>
                    </a:stretch>
                  </pic:blipFill>
                  <pic:spPr>
                    <a:xfrm>
                      <a:off x="0" y="0"/>
                      <a:ext cx="6120000" cy="1894094"/>
                    </a:xfrm>
                    <a:prstGeom prst="rect"/>
                  </pic:spPr>
                </pic:pic>
              </a:graphicData>
            </a:graphic>
          </wp:inline>
        </w:drawing>
      </w:r>
    </w:p>
    <w:p>
      <w:pPr>
        <w:pStyle w:val="Caption"/>
        <w:keepLines/>
      </w:pPr>
      <w:r>
        <w:rPr>
          <w:b/>
        </w:rPr>
        <w:t>图C5-1 干净stop上的专家错误分解。</w:t>
      </w:r>
      <w:r>
        <w:t xml:space="preserve"> 每行对应一个种子，四类情况互斥且合计100%。文本正确而音视频错误的比例也较高，不能只报告音视频能够纠正的样本。</w:t>
      </w:r>
    </w:p>
    <w:p>
      <w:pPr/>
      <w:r>
        <w:t>音视频专家单独的stop准确率为50.90%、48.08%、46.29%，低于文本专家的61.64%、62.92%、62.66%。若利用真实标签选择正确专家，诊断上限为75.96%、76.47%、74.17%；这些数值不能部署，也不是本方法准确率。stop已用于选择专家epoch，因此该诊断同样不是独立泛化评估。</w:t>
      </w:r>
    </w:p>
    <w:p>
      <w:pPr>
        <w:pStyle w:val="Heading1"/>
      </w:pPr>
      <w:r>
        <w:t>4 内部验证与门控行为</w:t>
      </w:r>
    </w:p>
    <w:p>
      <w:pPr>
        <w:keepNext/>
      </w:pPr>
      <w:r>
        <w:t>选型使用valid干净条件，以及文本、音频、视觉各30%中段缺失，共四条件。相对加宽基线，干净宏F1和三种缺失平均宏F1允许最多下降0.01，四条件平均MAE允许最多增加0.02；通过约束后按干净准确率三种子均值选择，同分优先保留基线。表C5-1中的SD为三个种子的样本标准差，不是置信区间。</w:t>
      </w:r>
    </w:p>
    <w:tbl>
      <w:tblPr>
        <w:tblStyle w:val="TableGrid"/>
        <w:tblW w:type="auto" w:w="0"/>
        <w:tblLayout w:type="fixed"/>
        <w:tblLook w:firstColumn="1" w:firstRow="1" w:lastColumn="0" w:lastRow="0" w:noHBand="0" w:noVBand="1" w:val="04A0"/>
      </w:tblPr>
      <w:tblGrid>
        <w:gridCol w:w="1871"/>
        <w:gridCol w:w="2381"/>
        <w:gridCol w:w="1814"/>
        <w:gridCol w:w="1814"/>
        <w:gridCol w:w="1757"/>
      </w:tblGrid>
      <w:tr>
        <w:trPr>
          <w:cantSplit/>
          <w:tblHeader/>
        </w:trPr>
        <w:tc>
          <w:tcPr>
            <w:tcW w:type="dxa" w:w="1871"/>
          </w:tcPr>
          <w:p>
            <w:pPr>
              <w:keepNext/>
              <w:spacing w:line="240" w:lineRule="auto" w:after="60"/>
            </w:pPr>
            <w:r>
              <w:rPr>
                <w:b/>
                <w:sz w:val="18"/>
              </w:rPr>
              <w:t>候选</w:t>
            </w:r>
          </w:p>
        </w:tc>
        <w:tc>
          <w:tcPr>
            <w:tcW w:type="dxa" w:w="2381"/>
          </w:tcPr>
          <w:p>
            <w:pPr>
              <w:keepNext/>
              <w:spacing w:line="240" w:lineRule="auto" w:after="60"/>
            </w:pPr>
            <w:r>
              <w:rPr>
                <w:b/>
                <w:sz w:val="18"/>
              </w:rPr>
              <w:t>准确率±SD</w:t>
            </w:r>
          </w:p>
        </w:tc>
        <w:tc>
          <w:tcPr>
            <w:tcW w:type="dxa" w:w="1814"/>
          </w:tcPr>
          <w:p>
            <w:pPr>
              <w:keepNext/>
              <w:spacing w:line="240" w:lineRule="auto" w:after="60"/>
            </w:pPr>
            <w:r>
              <w:rPr>
                <w:b/>
                <w:sz w:val="18"/>
              </w:rPr>
              <w:t>干净宏F1</w:t>
            </w:r>
          </w:p>
        </w:tc>
        <w:tc>
          <w:tcPr>
            <w:tcW w:type="dxa" w:w="1814"/>
          </w:tcPr>
          <w:p>
            <w:pPr>
              <w:keepNext/>
              <w:spacing w:line="240" w:lineRule="auto" w:after="60"/>
            </w:pPr>
            <w:r>
              <w:rPr>
                <w:b/>
                <w:sz w:val="18"/>
              </w:rPr>
              <w:t>缺失宏F1</w:t>
            </w:r>
          </w:p>
        </w:tc>
        <w:tc>
          <w:tcPr>
            <w:tcW w:type="dxa" w:w="1757"/>
          </w:tcPr>
          <w:p>
            <w:pPr>
              <w:keepNext/>
              <w:spacing w:line="240" w:lineRule="auto" w:after="60"/>
            </w:pPr>
            <w:r>
              <w:rPr>
                <w:b/>
                <w:sz w:val="18"/>
              </w:rPr>
              <w:t>通过约束</w:t>
            </w:r>
          </w:p>
        </w:tc>
      </w:tr>
      <w:tr>
        <w:trPr>
          <w:cantSplit/>
        </w:trPr>
        <w:tc>
          <w:tcPr>
            <w:tcW w:type="dxa" w:w="1871"/>
          </w:tcPr>
          <w:p>
            <w:pPr>
              <w:keepNext/>
              <w:spacing w:line="240" w:lineRule="auto" w:after="60"/>
            </w:pPr>
            <w:r>
              <w:rPr>
                <w:b w:val="0"/>
                <w:sz w:val="18"/>
              </w:rPr>
              <w:t>加宽基线</w:t>
            </w:r>
          </w:p>
        </w:tc>
        <w:tc>
          <w:tcPr>
            <w:tcW w:type="dxa" w:w="2381"/>
          </w:tcPr>
          <w:p>
            <w:pPr>
              <w:keepNext/>
              <w:spacing w:line="240" w:lineRule="auto" w:after="60"/>
            </w:pPr>
            <w:r>
              <w:rPr>
                <w:b w:val="0"/>
                <w:sz w:val="18"/>
              </w:rPr>
              <w:t>61.31%±1.03%</w:t>
            </w:r>
          </w:p>
        </w:tc>
        <w:tc>
          <w:tcPr>
            <w:tcW w:type="dxa" w:w="1814"/>
          </w:tcPr>
          <w:p>
            <w:pPr>
              <w:keepNext/>
              <w:spacing w:line="240" w:lineRule="auto" w:after="60"/>
            </w:pPr>
            <w:r>
              <w:rPr>
                <w:b w:val="0"/>
                <w:sz w:val="18"/>
              </w:rPr>
              <w:t>0.5772</w:t>
            </w:r>
          </w:p>
        </w:tc>
        <w:tc>
          <w:tcPr>
            <w:tcW w:type="dxa" w:w="1814"/>
          </w:tcPr>
          <w:p>
            <w:pPr>
              <w:keepNext/>
              <w:spacing w:line="240" w:lineRule="auto" w:after="60"/>
            </w:pPr>
            <w:r>
              <w:rPr>
                <w:b w:val="0"/>
                <w:sz w:val="18"/>
              </w:rPr>
              <w:t>0.5714</w:t>
            </w:r>
          </w:p>
        </w:tc>
        <w:tc>
          <w:tcPr>
            <w:tcW w:type="dxa" w:w="1757"/>
          </w:tcPr>
          <w:p>
            <w:pPr>
              <w:keepNext/>
              <w:spacing w:line="240" w:lineRule="auto" w:after="60"/>
            </w:pPr>
            <w:r>
              <w:rPr>
                <w:b w:val="0"/>
                <w:sz w:val="18"/>
              </w:rPr>
              <w:t>是</w:t>
            </w:r>
          </w:p>
        </w:tc>
      </w:tr>
      <w:tr>
        <w:trPr>
          <w:cantSplit/>
        </w:trPr>
        <w:tc>
          <w:tcPr>
            <w:tcW w:type="dxa" w:w="1871"/>
          </w:tcPr>
          <w:p>
            <w:pPr>
              <w:keepNext/>
              <w:spacing w:line="240" w:lineRule="auto" w:after="60"/>
            </w:pPr>
            <w:r>
              <w:rPr>
                <w:b w:val="0"/>
                <w:sz w:val="18"/>
              </w:rPr>
              <w:t>文本专家</w:t>
            </w:r>
          </w:p>
        </w:tc>
        <w:tc>
          <w:tcPr>
            <w:tcW w:type="dxa" w:w="2381"/>
          </w:tcPr>
          <w:p>
            <w:pPr>
              <w:keepNext/>
              <w:spacing w:line="240" w:lineRule="auto" w:after="60"/>
            </w:pPr>
            <w:r>
              <w:rPr>
                <w:b w:val="0"/>
                <w:sz w:val="18"/>
              </w:rPr>
              <w:t>61.26%±0.36%</w:t>
            </w:r>
          </w:p>
        </w:tc>
        <w:tc>
          <w:tcPr>
            <w:tcW w:type="dxa" w:w="1814"/>
          </w:tcPr>
          <w:p>
            <w:pPr>
              <w:keepNext/>
              <w:spacing w:line="240" w:lineRule="auto" w:after="60"/>
            </w:pPr>
            <w:r>
              <w:rPr>
                <w:b w:val="0"/>
                <w:sz w:val="18"/>
              </w:rPr>
              <w:t>0.5830</w:t>
            </w:r>
          </w:p>
        </w:tc>
        <w:tc>
          <w:tcPr>
            <w:tcW w:type="dxa" w:w="1814"/>
          </w:tcPr>
          <w:p>
            <w:pPr>
              <w:keepNext/>
              <w:spacing w:line="240" w:lineRule="auto" w:after="60"/>
            </w:pPr>
            <w:r>
              <w:rPr>
                <w:b w:val="0"/>
                <w:sz w:val="18"/>
              </w:rPr>
              <w:t>0.5746</w:t>
            </w:r>
          </w:p>
        </w:tc>
        <w:tc>
          <w:tcPr>
            <w:tcW w:type="dxa" w:w="1757"/>
          </w:tcPr>
          <w:p>
            <w:pPr>
              <w:keepNext/>
              <w:spacing w:line="240" w:lineRule="auto" w:after="60"/>
            </w:pPr>
            <w:r>
              <w:rPr>
                <w:b w:val="0"/>
                <w:sz w:val="18"/>
              </w:rPr>
              <w:t>是</w:t>
            </w:r>
          </w:p>
        </w:tc>
      </w:tr>
      <w:tr>
        <w:trPr>
          <w:cantSplit/>
        </w:trPr>
        <w:tc>
          <w:tcPr>
            <w:tcW w:type="dxa" w:w="1871"/>
          </w:tcPr>
          <w:p>
            <w:pPr>
              <w:keepNext/>
              <w:spacing w:line="240" w:lineRule="auto" w:after="60"/>
            </w:pPr>
            <w:r>
              <w:rPr>
                <w:b w:val="0"/>
                <w:sz w:val="18"/>
              </w:rPr>
              <w:t>音视频专家</w:t>
            </w:r>
          </w:p>
        </w:tc>
        <w:tc>
          <w:tcPr>
            <w:tcW w:type="dxa" w:w="2381"/>
          </w:tcPr>
          <w:p>
            <w:pPr>
              <w:keepNext/>
              <w:spacing w:line="240" w:lineRule="auto" w:after="60"/>
            </w:pPr>
            <w:r>
              <w:rPr>
                <w:b w:val="0"/>
                <w:sz w:val="18"/>
              </w:rPr>
              <w:t>45.79%±1.52%</w:t>
            </w:r>
          </w:p>
        </w:tc>
        <w:tc>
          <w:tcPr>
            <w:tcW w:type="dxa" w:w="1814"/>
          </w:tcPr>
          <w:p>
            <w:pPr>
              <w:keepNext/>
              <w:spacing w:line="240" w:lineRule="auto" w:after="60"/>
            </w:pPr>
            <w:r>
              <w:rPr>
                <w:b w:val="0"/>
                <w:sz w:val="18"/>
              </w:rPr>
              <w:t>0.3829</w:t>
            </w:r>
          </w:p>
        </w:tc>
        <w:tc>
          <w:tcPr>
            <w:tcW w:type="dxa" w:w="1814"/>
          </w:tcPr>
          <w:p>
            <w:pPr>
              <w:keepNext/>
              <w:spacing w:line="240" w:lineRule="auto" w:after="60"/>
            </w:pPr>
            <w:r>
              <w:rPr>
                <w:b w:val="0"/>
                <w:sz w:val="18"/>
              </w:rPr>
              <w:t>0.3806</w:t>
            </w:r>
          </w:p>
        </w:tc>
        <w:tc>
          <w:tcPr>
            <w:tcW w:type="dxa" w:w="1757"/>
          </w:tcPr>
          <w:p>
            <w:pPr>
              <w:keepNext/>
              <w:spacing w:line="240" w:lineRule="auto" w:after="60"/>
            </w:pPr>
            <w:r>
              <w:rPr>
                <w:b w:val="0"/>
                <w:sz w:val="18"/>
              </w:rPr>
              <w:t>否</w:t>
            </w:r>
          </w:p>
        </w:tc>
      </w:tr>
      <w:tr>
        <w:trPr>
          <w:cantSplit/>
        </w:trPr>
        <w:tc>
          <w:tcPr>
            <w:tcW w:type="dxa" w:w="1871"/>
          </w:tcPr>
          <w:p>
            <w:pPr>
              <w:keepNext/>
              <w:spacing w:line="240" w:lineRule="auto" w:after="60"/>
            </w:pPr>
            <w:r>
              <w:rPr>
                <w:b w:val="0"/>
                <w:sz w:val="18"/>
              </w:rPr>
              <w:t>等权融合</w:t>
            </w:r>
          </w:p>
        </w:tc>
        <w:tc>
          <w:tcPr>
            <w:tcW w:type="dxa" w:w="2381"/>
          </w:tcPr>
          <w:p>
            <w:pPr>
              <w:keepNext/>
              <w:spacing w:line="240" w:lineRule="auto" w:after="60"/>
            </w:pPr>
            <w:r>
              <w:rPr>
                <w:b w:val="0"/>
                <w:sz w:val="18"/>
              </w:rPr>
              <w:t>61.31%±0.29%</w:t>
            </w:r>
          </w:p>
        </w:tc>
        <w:tc>
          <w:tcPr>
            <w:tcW w:type="dxa" w:w="1814"/>
          </w:tcPr>
          <w:p>
            <w:pPr>
              <w:keepNext/>
              <w:spacing w:line="240" w:lineRule="auto" w:after="60"/>
            </w:pPr>
            <w:r>
              <w:rPr>
                <w:b w:val="0"/>
                <w:sz w:val="18"/>
              </w:rPr>
              <w:t>0.5649</w:t>
            </w:r>
          </w:p>
        </w:tc>
        <w:tc>
          <w:tcPr>
            <w:tcW w:type="dxa" w:w="1814"/>
          </w:tcPr>
          <w:p>
            <w:pPr>
              <w:keepNext/>
              <w:spacing w:line="240" w:lineRule="auto" w:after="60"/>
            </w:pPr>
            <w:r>
              <w:rPr>
                <w:b w:val="0"/>
                <w:sz w:val="18"/>
              </w:rPr>
              <w:t>0.5573</w:t>
            </w:r>
          </w:p>
        </w:tc>
        <w:tc>
          <w:tcPr>
            <w:tcW w:type="dxa" w:w="1757"/>
          </w:tcPr>
          <w:p>
            <w:pPr>
              <w:keepNext/>
              <w:spacing w:line="240" w:lineRule="auto" w:after="60"/>
            </w:pPr>
            <w:r>
              <w:rPr>
                <w:b w:val="0"/>
                <w:sz w:val="18"/>
              </w:rPr>
              <w:t>否</w:t>
            </w:r>
          </w:p>
        </w:tc>
      </w:tr>
      <w:tr>
        <w:trPr>
          <w:cantSplit/>
        </w:trPr>
        <w:tc>
          <w:tcPr>
            <w:tcW w:type="dxa" w:w="1871"/>
          </w:tcPr>
          <w:p>
            <w:pPr>
              <w:keepNext w:val="0"/>
              <w:spacing w:line="240" w:lineRule="auto" w:after="60"/>
            </w:pPr>
            <w:r>
              <w:rPr>
                <w:b w:val="0"/>
                <w:sz w:val="18"/>
              </w:rPr>
              <w:t>学习门控</w:t>
            </w:r>
          </w:p>
        </w:tc>
        <w:tc>
          <w:tcPr>
            <w:tcW w:type="dxa" w:w="2381"/>
          </w:tcPr>
          <w:p>
            <w:pPr>
              <w:keepNext w:val="0"/>
              <w:spacing w:line="240" w:lineRule="auto" w:after="60"/>
            </w:pPr>
            <w:r>
              <w:rPr>
                <w:b w:val="0"/>
                <w:sz w:val="18"/>
              </w:rPr>
              <w:t>61.49%±0.70%</w:t>
            </w:r>
          </w:p>
        </w:tc>
        <w:tc>
          <w:tcPr>
            <w:tcW w:type="dxa" w:w="1814"/>
          </w:tcPr>
          <w:p>
            <w:pPr>
              <w:keepNext w:val="0"/>
              <w:spacing w:line="240" w:lineRule="auto" w:after="60"/>
            </w:pPr>
            <w:r>
              <w:rPr>
                <w:b w:val="0"/>
                <w:sz w:val="18"/>
              </w:rPr>
              <w:t>0.5716</w:t>
            </w:r>
          </w:p>
        </w:tc>
        <w:tc>
          <w:tcPr>
            <w:tcW w:type="dxa" w:w="1814"/>
          </w:tcPr>
          <w:p>
            <w:pPr>
              <w:keepNext w:val="0"/>
              <w:spacing w:line="240" w:lineRule="auto" w:after="60"/>
            </w:pPr>
            <w:r>
              <w:rPr>
                <w:b w:val="0"/>
                <w:sz w:val="18"/>
              </w:rPr>
              <w:t>0.5623</w:t>
            </w:r>
          </w:p>
        </w:tc>
        <w:tc>
          <w:tcPr>
            <w:tcW w:type="dxa" w:w="1757"/>
          </w:tcPr>
          <w:p>
            <w:pPr>
              <w:keepNext w:val="0"/>
              <w:spacing w:line="240" w:lineRule="auto" w:after="60"/>
            </w:pPr>
            <w:r>
              <w:rPr>
                <w:b w:val="0"/>
                <w:sz w:val="18"/>
              </w:rPr>
              <w:t>是</w:t>
            </w:r>
          </w:p>
        </w:tc>
      </w:tr>
    </w:tbl>
    <w:p>
      <w:pPr>
        <w:spacing w:after="0"/>
      </w:pPr>
    </w:p>
    <w:p>
      <w:pPr>
        <w:keepNext/>
        <w:jc w:val="center"/>
      </w:pPr>
      <w:r>
        <w:drawing>
          <wp:inline xmlns:a="http://schemas.openxmlformats.org/drawingml/2006/main" xmlns:pic="http://schemas.openxmlformats.org/drawingml/2006/picture">
            <wp:extent cx="6120000" cy="2126065"/>
            <wp:docPr id="2" name="Picture 2"/>
            <wp:cNvGraphicFramePr>
              <a:graphicFrameLocks noChangeAspect="1"/>
            </wp:cNvGraphicFramePr>
            <a:graphic>
              <a:graphicData uri="http://schemas.openxmlformats.org/drawingml/2006/picture">
                <pic:pic>
                  <pic:nvPicPr>
                    <pic:cNvPr id="0" name="fig2_valid_candidates.png"/>
                    <pic:cNvPicPr/>
                  </pic:nvPicPr>
                  <pic:blipFill>
                    <a:blip r:embed="rId10"/>
                    <a:stretch>
                      <a:fillRect/>
                    </a:stretch>
                  </pic:blipFill>
                  <pic:spPr>
                    <a:xfrm>
                      <a:off x="0" y="0"/>
                      <a:ext cx="6120000" cy="2126065"/>
                    </a:xfrm>
                    <a:prstGeom prst="rect"/>
                  </pic:spPr>
                </pic:pic>
              </a:graphicData>
            </a:graphic>
          </wp:inline>
        </w:drawing>
      </w:r>
    </w:p>
    <w:p>
      <w:pPr>
        <w:pStyle w:val="Caption"/>
        <w:keepLines/>
      </w:pPr>
      <w:r>
        <w:rPr>
          <w:b/>
        </w:rPr>
        <w:t>图C5-2 valid候选比较。</w:t>
      </w:r>
      <w:r>
        <w:t xml:space="preserve"> 点为三种子均值，误差线为±1个样本SD。学习门控按准确率规则获选，但宏F1未超过加宽基线。</w:t>
      </w:r>
    </w:p>
    <w:p>
      <w:pPr/>
      <w:r>
        <w:t>学习门控相对基线提高约0.18个百分点，跨三种子的正确预测总数仅增加4次；对应逐种子变化为+1.79、−0.55、−0.69个百分点，增益不具备种子间一致性。等权融合虽与基线准确率相同，但干净和缺失宏F1及平均MAE均未满足约束，说明直接平均会引入不可忽略的退化。</w:t>
      </w:r>
    </w:p>
    <w:p>
      <w:pPr>
        <w:keepNext/>
        <w:jc w:val="center"/>
      </w:pPr>
      <w:r>
        <w:drawing>
          <wp:inline xmlns:a="http://schemas.openxmlformats.org/drawingml/2006/main" xmlns:pic="http://schemas.openxmlformats.org/drawingml/2006/picture">
            <wp:extent cx="6120000" cy="2186579"/>
            <wp:docPr id="3" name="Picture 3"/>
            <wp:cNvGraphicFramePr>
              <a:graphicFrameLocks noChangeAspect="1"/>
            </wp:cNvGraphicFramePr>
            <a:graphic>
              <a:graphicData uri="http://schemas.openxmlformats.org/drawingml/2006/picture">
                <pic:pic>
                  <pic:nvPicPr>
                    <pic:cNvPr id="0" name="fig3_gates_and_seeds.png"/>
                    <pic:cNvPicPr/>
                  </pic:nvPicPr>
                  <pic:blipFill>
                    <a:blip r:embed="rId11"/>
                    <a:stretch>
                      <a:fillRect/>
                    </a:stretch>
                  </pic:blipFill>
                  <pic:spPr>
                    <a:xfrm>
                      <a:off x="0" y="0"/>
                      <a:ext cx="6120000" cy="2186579"/>
                    </a:xfrm>
                    <a:prstGeom prst="rect"/>
                  </pic:spPr>
                </pic:pic>
              </a:graphicData>
            </a:graphic>
          </wp:inline>
        </w:drawing>
      </w:r>
    </w:p>
    <w:p>
      <w:pPr>
        <w:pStyle w:val="Caption"/>
        <w:keepLines/>
      </w:pPr>
      <w:r>
        <w:rPr>
          <w:b/>
        </w:rPr>
        <w:t>图C5-3 门控权重与种子波动。</w:t>
      </w:r>
      <w:r>
        <w:t xml:space="preserve"> 左图为各种子在四个valid条件下的平均文本专家权重；右图为学习门控相对加宽基线的干净准确率变化。非干净条件均为对应单模态30%中段缺失。跨模型使用同种子编号不意味着参数初始化相同。</w:t>
      </w:r>
    </w:p>
    <w:p>
      <w:pPr/>
      <w:r>
        <w:t>干净valid上的平均文本权重分别约为0.618、0.673、0.663，文本缺失时下降至0.539、0.593、0.617。该现象说明门控会随输入条件调整组合，但平均权重不能证明样本级路由总是正确，也不能替代误差与泛化评估。</w:t>
      </w:r>
    </w:p>
    <w:p>
      <w:pPr>
        <w:pStyle w:val="Heading1"/>
      </w:pPr>
      <w:r>
        <w:t>5 锁定后的测试复评</w:t>
      </w:r>
    </w:p>
    <w:p>
      <w:pPr>
        <w:keepNext/>
      </w:pPr>
      <w:r>
        <w:t>在valid选型后锁定学习门控，仅比较该流程与加宽基线。复评面板包含干净条件，以及七种模态组合、10%/30%/50%三档缺失比例、起始/中段/末尾三个位置，共64条件。表C5-2按单种子、单条件计算指标后取均值；64条件为等权平均，不表示真实缺失分布下的期望性能。</w:t>
      </w:r>
    </w:p>
    <w:tbl>
      <w:tblPr>
        <w:tblStyle w:val="TableGrid"/>
        <w:tblW w:type="auto" w:w="0"/>
        <w:tblLayout w:type="fixed"/>
        <w:tblLook w:firstColumn="1" w:firstRow="1" w:lastColumn="0" w:lastRow="0" w:noHBand="0" w:noVBand="1" w:val="04A0"/>
      </w:tblPr>
      <w:tblGrid>
        <w:gridCol w:w="3118"/>
        <w:gridCol w:w="2041"/>
        <w:gridCol w:w="2041"/>
        <w:gridCol w:w="2438"/>
      </w:tblGrid>
      <w:tr>
        <w:trPr>
          <w:cantSplit/>
          <w:tblHeader/>
        </w:trPr>
        <w:tc>
          <w:tcPr>
            <w:tcW w:type="dxa" w:w="3118"/>
          </w:tcPr>
          <w:p>
            <w:pPr>
              <w:keepNext/>
              <w:spacing w:line="240" w:lineRule="auto" w:after="60"/>
            </w:pPr>
            <w:r>
              <w:rPr>
                <w:b/>
                <w:sz w:val="18"/>
              </w:rPr>
              <w:t>指标</w:t>
            </w:r>
          </w:p>
        </w:tc>
        <w:tc>
          <w:tcPr>
            <w:tcW w:type="dxa" w:w="2041"/>
          </w:tcPr>
          <w:p>
            <w:pPr>
              <w:keepNext/>
              <w:spacing w:line="240" w:lineRule="auto" w:after="60"/>
            </w:pPr>
            <w:r>
              <w:rPr>
                <w:b/>
                <w:sz w:val="18"/>
              </w:rPr>
              <w:t>加宽基线</w:t>
            </w:r>
          </w:p>
        </w:tc>
        <w:tc>
          <w:tcPr>
            <w:tcW w:type="dxa" w:w="2041"/>
          </w:tcPr>
          <w:p>
            <w:pPr>
              <w:keepNext/>
              <w:spacing w:line="240" w:lineRule="auto" w:after="60"/>
            </w:pPr>
            <w:r>
              <w:rPr>
                <w:b/>
                <w:sz w:val="18"/>
              </w:rPr>
              <w:t>学习门控</w:t>
            </w:r>
          </w:p>
        </w:tc>
        <w:tc>
          <w:tcPr>
            <w:tcW w:type="dxa" w:w="2438"/>
          </w:tcPr>
          <w:p>
            <w:pPr>
              <w:keepNext/>
              <w:spacing w:line="240" w:lineRule="auto" w:after="60"/>
            </w:pPr>
            <w:r>
              <w:rPr>
                <w:b/>
                <w:sz w:val="18"/>
              </w:rPr>
              <w:t>变化</w:t>
            </w:r>
          </w:p>
        </w:tc>
      </w:tr>
      <w:tr>
        <w:trPr>
          <w:cantSplit/>
        </w:trPr>
        <w:tc>
          <w:tcPr>
            <w:tcW w:type="dxa" w:w="3118"/>
          </w:tcPr>
          <w:p>
            <w:pPr>
              <w:keepNext/>
              <w:spacing w:line="240" w:lineRule="auto" w:after="60"/>
            </w:pPr>
            <w:r>
              <w:rPr>
                <w:b w:val="0"/>
                <w:sz w:val="18"/>
              </w:rPr>
              <w:t>干净准确率</w:t>
            </w:r>
          </w:p>
        </w:tc>
        <w:tc>
          <w:tcPr>
            <w:tcW w:type="dxa" w:w="2041"/>
          </w:tcPr>
          <w:p>
            <w:pPr>
              <w:keepNext/>
              <w:spacing w:line="240" w:lineRule="auto" w:after="60"/>
            </w:pPr>
            <w:r>
              <w:rPr>
                <w:b w:val="0"/>
                <w:sz w:val="18"/>
              </w:rPr>
              <w:t>65.25%±0.48%</w:t>
            </w:r>
          </w:p>
        </w:tc>
        <w:tc>
          <w:tcPr>
            <w:tcW w:type="dxa" w:w="2041"/>
          </w:tcPr>
          <w:p>
            <w:pPr>
              <w:keepNext/>
              <w:spacing w:line="240" w:lineRule="auto" w:after="60"/>
            </w:pPr>
            <w:r>
              <w:rPr>
                <w:b w:val="0"/>
                <w:sz w:val="18"/>
              </w:rPr>
              <w:t>65.61%±0.71%</w:t>
            </w:r>
          </w:p>
        </w:tc>
        <w:tc>
          <w:tcPr>
            <w:tcW w:type="dxa" w:w="2438"/>
          </w:tcPr>
          <w:p>
            <w:pPr>
              <w:keepNext/>
              <w:spacing w:line="240" w:lineRule="auto" w:after="60"/>
            </w:pPr>
            <w:r>
              <w:rPr>
                <w:b w:val="0"/>
                <w:sz w:val="18"/>
              </w:rPr>
              <w:t>+0.37个百分点</w:t>
            </w:r>
          </w:p>
        </w:tc>
      </w:tr>
      <w:tr>
        <w:trPr>
          <w:cantSplit/>
        </w:trPr>
        <w:tc>
          <w:tcPr>
            <w:tcW w:type="dxa" w:w="3118"/>
          </w:tcPr>
          <w:p>
            <w:pPr>
              <w:keepNext/>
              <w:spacing w:line="240" w:lineRule="auto" w:after="60"/>
            </w:pPr>
            <w:r>
              <w:rPr>
                <w:b w:val="0"/>
                <w:sz w:val="18"/>
              </w:rPr>
              <w:t>干净宏F1</w:t>
            </w:r>
          </w:p>
        </w:tc>
        <w:tc>
          <w:tcPr>
            <w:tcW w:type="dxa" w:w="2041"/>
          </w:tcPr>
          <w:p>
            <w:pPr>
              <w:keepNext/>
              <w:spacing w:line="240" w:lineRule="auto" w:after="60"/>
            </w:pPr>
            <w:r>
              <w:rPr>
                <w:b w:val="0"/>
                <w:sz w:val="18"/>
              </w:rPr>
              <w:t>0.6014</w:t>
            </w:r>
          </w:p>
        </w:tc>
        <w:tc>
          <w:tcPr>
            <w:tcW w:type="dxa" w:w="2041"/>
          </w:tcPr>
          <w:p>
            <w:pPr>
              <w:keepNext/>
              <w:spacing w:line="240" w:lineRule="auto" w:after="60"/>
            </w:pPr>
            <w:r>
              <w:rPr>
                <w:b w:val="0"/>
                <w:sz w:val="18"/>
              </w:rPr>
              <w:t>0.5989</w:t>
            </w:r>
          </w:p>
        </w:tc>
        <w:tc>
          <w:tcPr>
            <w:tcW w:type="dxa" w:w="2438"/>
          </w:tcPr>
          <w:p>
            <w:pPr>
              <w:keepNext/>
              <w:spacing w:line="240" w:lineRule="auto" w:after="60"/>
            </w:pPr>
            <w:r>
              <w:rPr>
                <w:b w:val="0"/>
                <w:sz w:val="18"/>
              </w:rPr>
              <w:t>−0.0024</w:t>
            </w:r>
          </w:p>
        </w:tc>
      </w:tr>
      <w:tr>
        <w:trPr>
          <w:cantSplit/>
        </w:trPr>
        <w:tc>
          <w:tcPr>
            <w:tcW w:type="dxa" w:w="3118"/>
          </w:tcPr>
          <w:p>
            <w:pPr>
              <w:keepNext/>
              <w:spacing w:line="240" w:lineRule="auto" w:after="60"/>
            </w:pPr>
            <w:r>
              <w:rPr>
                <w:b w:val="0"/>
                <w:sz w:val="18"/>
              </w:rPr>
              <w:t>干净MAE</w:t>
            </w:r>
          </w:p>
        </w:tc>
        <w:tc>
          <w:tcPr>
            <w:tcW w:type="dxa" w:w="2041"/>
          </w:tcPr>
          <w:p>
            <w:pPr>
              <w:keepNext/>
              <w:spacing w:line="240" w:lineRule="auto" w:after="60"/>
            </w:pPr>
            <w:r>
              <w:rPr>
                <w:b w:val="0"/>
                <w:sz w:val="18"/>
              </w:rPr>
              <w:t>0.6747</w:t>
            </w:r>
          </w:p>
        </w:tc>
        <w:tc>
          <w:tcPr>
            <w:tcW w:type="dxa" w:w="2041"/>
          </w:tcPr>
          <w:p>
            <w:pPr>
              <w:keepNext/>
              <w:spacing w:line="240" w:lineRule="auto" w:after="60"/>
            </w:pPr>
            <w:r>
              <w:rPr>
                <w:b w:val="0"/>
                <w:sz w:val="18"/>
              </w:rPr>
              <w:t>0.6747</w:t>
            </w:r>
          </w:p>
        </w:tc>
        <w:tc>
          <w:tcPr>
            <w:tcW w:type="dxa" w:w="2438"/>
          </w:tcPr>
          <w:p>
            <w:pPr>
              <w:keepNext/>
              <w:spacing w:line="240" w:lineRule="auto" w:after="60"/>
            </w:pPr>
            <w:r>
              <w:rPr>
                <w:b w:val="0"/>
                <w:sz w:val="18"/>
              </w:rPr>
              <w:t>约持平</w:t>
            </w:r>
          </w:p>
        </w:tc>
      </w:tr>
      <w:tr>
        <w:trPr>
          <w:cantSplit/>
        </w:trPr>
        <w:tc>
          <w:tcPr>
            <w:tcW w:type="dxa" w:w="3118"/>
          </w:tcPr>
          <w:p>
            <w:pPr>
              <w:keepNext/>
              <w:spacing w:line="240" w:lineRule="auto" w:after="60"/>
            </w:pPr>
            <w:r>
              <w:rPr>
                <w:b w:val="0"/>
                <w:sz w:val="18"/>
              </w:rPr>
              <w:t>64条件平均准确率</w:t>
            </w:r>
          </w:p>
        </w:tc>
        <w:tc>
          <w:tcPr>
            <w:tcW w:type="dxa" w:w="2041"/>
          </w:tcPr>
          <w:p>
            <w:pPr>
              <w:keepNext/>
              <w:spacing w:line="240" w:lineRule="auto" w:after="60"/>
            </w:pPr>
            <w:r>
              <w:rPr>
                <w:b w:val="0"/>
                <w:sz w:val="18"/>
              </w:rPr>
              <w:t>62.94%</w:t>
            </w:r>
          </w:p>
        </w:tc>
        <w:tc>
          <w:tcPr>
            <w:tcW w:type="dxa" w:w="2041"/>
          </w:tcPr>
          <w:p>
            <w:pPr>
              <w:keepNext/>
              <w:spacing w:line="240" w:lineRule="auto" w:after="60"/>
            </w:pPr>
            <w:r>
              <w:rPr>
                <w:b w:val="0"/>
                <w:sz w:val="18"/>
              </w:rPr>
              <w:t>63.42%</w:t>
            </w:r>
          </w:p>
        </w:tc>
        <w:tc>
          <w:tcPr>
            <w:tcW w:type="dxa" w:w="2438"/>
          </w:tcPr>
          <w:p>
            <w:pPr>
              <w:keepNext/>
              <w:spacing w:line="240" w:lineRule="auto" w:after="60"/>
            </w:pPr>
            <w:r>
              <w:rPr>
                <w:b w:val="0"/>
                <w:sz w:val="18"/>
              </w:rPr>
              <w:t>+0.48个百分点</w:t>
            </w:r>
          </w:p>
        </w:tc>
      </w:tr>
      <w:tr>
        <w:trPr>
          <w:cantSplit/>
        </w:trPr>
        <w:tc>
          <w:tcPr>
            <w:tcW w:type="dxa" w:w="3118"/>
          </w:tcPr>
          <w:p>
            <w:pPr>
              <w:keepNext/>
              <w:spacing w:line="240" w:lineRule="auto" w:after="60"/>
            </w:pPr>
            <w:r>
              <w:rPr>
                <w:b w:val="0"/>
                <w:sz w:val="18"/>
              </w:rPr>
              <w:t>64条件平均宏F1</w:t>
            </w:r>
          </w:p>
        </w:tc>
        <w:tc>
          <w:tcPr>
            <w:tcW w:type="dxa" w:w="2041"/>
          </w:tcPr>
          <w:p>
            <w:pPr>
              <w:keepNext/>
              <w:spacing w:line="240" w:lineRule="auto" w:after="60"/>
            </w:pPr>
            <w:r>
              <w:rPr>
                <w:b w:val="0"/>
                <w:sz w:val="18"/>
              </w:rPr>
              <w:t>0.5768</w:t>
            </w:r>
          </w:p>
        </w:tc>
        <w:tc>
          <w:tcPr>
            <w:tcW w:type="dxa" w:w="2041"/>
          </w:tcPr>
          <w:p>
            <w:pPr>
              <w:keepNext/>
              <w:spacing w:line="240" w:lineRule="auto" w:after="60"/>
            </w:pPr>
            <w:r>
              <w:rPr>
                <w:b w:val="0"/>
                <w:sz w:val="18"/>
              </w:rPr>
              <w:t>0.5754</w:t>
            </w:r>
          </w:p>
        </w:tc>
        <w:tc>
          <w:tcPr>
            <w:tcW w:type="dxa" w:w="2438"/>
          </w:tcPr>
          <w:p>
            <w:pPr>
              <w:keepNext/>
              <w:spacing w:line="240" w:lineRule="auto" w:after="60"/>
            </w:pPr>
            <w:r>
              <w:rPr>
                <w:b w:val="0"/>
                <w:sz w:val="18"/>
              </w:rPr>
              <w:t>−0.0014</w:t>
            </w:r>
          </w:p>
        </w:tc>
      </w:tr>
      <w:tr>
        <w:trPr>
          <w:cantSplit/>
        </w:trPr>
        <w:tc>
          <w:tcPr>
            <w:tcW w:type="dxa" w:w="3118"/>
          </w:tcPr>
          <w:p>
            <w:pPr>
              <w:keepNext w:val="0"/>
              <w:spacing w:line="240" w:lineRule="auto" w:after="60"/>
            </w:pPr>
            <w:r>
              <w:rPr>
                <w:b w:val="0"/>
                <w:sz w:val="18"/>
              </w:rPr>
              <w:t>64条件平均MAE</w:t>
            </w:r>
          </w:p>
        </w:tc>
        <w:tc>
          <w:tcPr>
            <w:tcW w:type="dxa" w:w="2041"/>
          </w:tcPr>
          <w:p>
            <w:pPr>
              <w:keepNext w:val="0"/>
              <w:spacing w:line="240" w:lineRule="auto" w:after="60"/>
            </w:pPr>
            <w:r>
              <w:rPr>
                <w:b w:val="0"/>
                <w:sz w:val="18"/>
              </w:rPr>
              <w:t>0.7005</w:t>
            </w:r>
          </w:p>
        </w:tc>
        <w:tc>
          <w:tcPr>
            <w:tcW w:type="dxa" w:w="2041"/>
          </w:tcPr>
          <w:p>
            <w:pPr>
              <w:keepNext w:val="0"/>
              <w:spacing w:line="240" w:lineRule="auto" w:after="60"/>
            </w:pPr>
            <w:r>
              <w:rPr>
                <w:b w:val="0"/>
                <w:sz w:val="18"/>
              </w:rPr>
              <w:t>0.6984</w:t>
            </w:r>
          </w:p>
        </w:tc>
        <w:tc>
          <w:tcPr>
            <w:tcW w:type="dxa" w:w="2438"/>
          </w:tcPr>
          <w:p>
            <w:pPr>
              <w:keepNext w:val="0"/>
              <w:spacing w:line="240" w:lineRule="auto" w:after="60"/>
            </w:pPr>
            <w:r>
              <w:rPr>
                <w:b w:val="0"/>
                <w:sz w:val="18"/>
              </w:rPr>
              <w:t>−0.0021</w:t>
            </w:r>
          </w:p>
        </w:tc>
      </w:tr>
    </w:tbl>
    <w:p>
      <w:pPr>
        <w:spacing w:after="0"/>
      </w:pPr>
    </w:p>
    <w:p>
      <w:pPr/>
      <w:r>
        <w:t>表中变化按未四舍五入的原始值计算。干净test逐种子准确率增益为+0.28、0.00、+0.83个百分点，跨三个种子的正确预测总数增加8次。64条件准确率为55胜、2平、7负；条件共享同一批样本且高度相关，不能将其作为64次独立实验解释统计显著性。本轮未计算覆盖训练和选型不确定性的置信区间。</w:t>
      </w:r>
    </w:p>
    <w:p>
      <w:pPr>
        <w:keepNext/>
        <w:jc w:val="center"/>
      </w:pPr>
      <w:r>
        <w:drawing>
          <wp:inline xmlns:a="http://schemas.openxmlformats.org/drawingml/2006/main" xmlns:pic="http://schemas.openxmlformats.org/drawingml/2006/picture">
            <wp:extent cx="6120000" cy="2785493"/>
            <wp:docPr id="4" name="Picture 4"/>
            <wp:cNvGraphicFramePr>
              <a:graphicFrameLocks noChangeAspect="1"/>
            </wp:cNvGraphicFramePr>
            <a:graphic>
              <a:graphicData uri="http://schemas.openxmlformats.org/drawingml/2006/picture">
                <pic:pic>
                  <pic:nvPicPr>
                    <pic:cNvPr id="0" name="fig4_missing_accuracy.png"/>
                    <pic:cNvPicPr/>
                  </pic:nvPicPr>
                  <pic:blipFill>
                    <a:blip r:embed="rId12"/>
                    <a:stretch>
                      <a:fillRect/>
                    </a:stretch>
                  </pic:blipFill>
                  <pic:spPr>
                    <a:xfrm>
                      <a:off x="0" y="0"/>
                      <a:ext cx="6120000" cy="2785493"/>
                    </a:xfrm>
                    <a:prstGeom prst="rect"/>
                  </pic:spPr>
                </pic:pic>
              </a:graphicData>
            </a:graphic>
          </wp:inline>
        </w:drawing>
      </w:r>
    </w:p>
    <w:p>
      <w:pPr>
        <w:pStyle w:val="Caption"/>
        <w:keepLines/>
      </w:pPr>
      <w:r>
        <w:rPr>
          <w:b/>
        </w:rPr>
        <w:t>图C5-4 连续缺失条件下的准确率。</w:t>
      </w:r>
      <w:r>
        <w:t xml:space="preserve"> 非零缺失比例处平均三个位置和三个种子的指标。0%均为同一干净条件，仅作曲线参照，64条件汇总时只计一次。各子图统一纵轴，差异较小处不据视觉重合判断完全相等。</w:t>
      </w:r>
    </w:p>
    <w:p>
      <w:pPr>
        <w:keepNext/>
        <w:jc w:val="center"/>
      </w:pPr>
      <w:r>
        <w:drawing>
          <wp:inline xmlns:a="http://schemas.openxmlformats.org/drawingml/2006/main" xmlns:pic="http://schemas.openxmlformats.org/drawingml/2006/picture">
            <wp:extent cx="6120000" cy="2533456"/>
            <wp:docPr id="5" name="Picture 5"/>
            <wp:cNvGraphicFramePr>
              <a:graphicFrameLocks noChangeAspect="1"/>
            </wp:cNvGraphicFramePr>
            <a:graphic>
              <a:graphicData uri="http://schemas.openxmlformats.org/drawingml/2006/picture">
                <pic:pic>
                  <pic:nvPicPr>
                    <pic:cNvPr id="0" name="fig5_test_confusion.png"/>
                    <pic:cNvPicPr/>
                  </pic:nvPicPr>
                  <pic:blipFill>
                    <a:blip r:embed="rId13"/>
                    <a:stretch>
                      <a:fillRect/>
                    </a:stretch>
                  </pic:blipFill>
                  <pic:spPr>
                    <a:xfrm>
                      <a:off x="0" y="0"/>
                      <a:ext cx="6120000" cy="2533456"/>
                    </a:xfrm>
                    <a:prstGeom prst="rect"/>
                  </pic:spPr>
                </pic:pic>
              </a:graphicData>
            </a:graphic>
          </wp:inline>
        </w:drawing>
      </w:r>
    </w:p>
    <w:p>
      <w:pPr>
        <w:pStyle w:val="Caption"/>
        <w:keepLines/>
      </w:pPr>
      <w:r>
        <w:rPr>
          <w:b/>
        </w:rPr>
        <w:t>图C5-5 干净test累计混淆矩阵。</w:t>
      </w:r>
      <w:r>
        <w:t xml:space="preserve"> 每幅图汇总三个种子对同一727条样本的预测，共2181次计数，并显示行内比例；并非2181条独立样本，也不是跨种子集成。表中宏F1为各模型指标均值，不能由累计矩阵直接重算替代。</w:t>
      </w:r>
    </w:p>
    <w:p>
      <w:pPr/>
      <w:r>
        <w:t>学习门控的负向和正向F1从0.6698、0.7403升至0.6765、0.7433，中性F1则从0.3941降至0.3770。这解释了准确率上升而宏F1略降的现象：收益未均匀覆盖各类别。开发面板的宏F1容忍度不是对中性类别的单独保护，也不保证所有缺失条件均有改善。</w:t>
      </w:r>
    </w:p>
    <w:p>
      <w:pPr>
        <w:pStyle w:val="Heading1"/>
      </w:pPr>
      <w:r>
        <w:t>6 结论、成本与局限</w:t>
      </w:r>
    </w:p>
    <w:p>
      <w:pPr/>
      <w:r>
        <w:t>本轮实验证明当前文本与音视频专家具有一定错误互补性；学习门控在预定选型规则下获选，历史test干净准确率和64条件平均准确率分别提高约0.37和0.48个百分点。然而，valid增益较小且种子间不一致，中性识别和宏F1有所下降，因此只能表述为本设置下的小幅准确率改善，不能称为全面突破或稳定显著提升。</w:t>
      </w:r>
    </w:p>
    <w:p>
      <w:pPr/>
      <w:r>
        <w:t>折外训练避免了专家在自身训练样本上的预测直接成为门控训练输入，但折内专家与完整fit专家仍有分布差异。只有三个随机种子，且valid/test经历多轮使用，进一步限制了泛化结论。新增音视频专家与门控总参数为33160，推理时加上文本专家共75085个任务网络参数；此计数不含两种流程共用的文本编码器，参数量更小也不等于已验证推理时延优势。</w:t>
      </w:r>
    </w:p>
    <w:p>
      <w:pPr/>
      <w:r>
        <w:t>本轮完整fit音视频专家训练与stop评估耗时1.77分钟，折内专家训练、stop评估及折外预测7.91分钟，三个门控训练合计4.09秒，选型3.21秒，64条件复评3.68分钟，均不包含开发与论文整理时间。未增加外部情感训练数据，未用专项附件3/4调参，未替换正式提交模型。</w:t>
      </w:r>
    </w:p>
    <w:p>
      <w:pPr>
        <w:pStyle w:val="Heading1"/>
      </w:pPr>
      <w:r>
        <w:t>7 复现与合并说明</w:t>
      </w:r>
    </w:p>
    <w:p>
      <w:pPr/>
      <w:r>
        <w:t>固定设置见第五轮实验方案，完整指标见实验结果，小型签名与审计文件见实验归档。训练及选型入口为C/scripts/run_q2_round5.py，原始模型和预测保存在C/outputs/q2_round5_experts_v1。</w:t>
      </w:r>
    </w:p>
    <w:p>
      <w:pPr/>
      <w:r>
        <w:t>五幅图提供300 dpi PNG与SVG，绘图快照、输入哈希和导出方式见配图资产说明。绘图参考A/B已有论文的中文字体、蓝绿配色及混淆矩阵表达，并延续前几轮格式。本次整理仅使用已保存结果，没有重训练、推理或再次选型。合并时可统一编号，应保留折外训练、独立种子均值、类别退化及历史测试复评的限定。</w:t>
      </w:r>
    </w:p>
    <w:sectPr w:rsidR="00FC693F" w:rsidRPr="0006063C" w:rsidSect="00034616">
      <w:footerReference w:type="default" r:id="rId14"/>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第五轮实验临时稿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第五轮独立专家与决策融合实验论文草稿</dc:title>
  <dc:subject>独立专家、折外决策融合、准确率收益与中性识别退化</dc:subject>
  <dc:creator>python-docx</dc:creator>
  <cp:keywords/>
  <dc:description>Markdown为编辑源；实测图表与原生可编辑公式。</dc:description>
  <cp:lastModifiedBy/>
  <cp:revision>1</cp:revision>
  <dcterms:created xsi:type="dcterms:W3CDTF">2013-12-23T23:15:00Z</dcterms:created>
  <dcterms:modified xsi:type="dcterms:W3CDTF">2013-12-23T23:15:00Z</dcterms:modified>
  <cp:category/>
</cp:coreProperties>
</file>