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第六、七轮优化局限与失败经验分析</w:t>
      </w:r>
    </w:p>
    <w:p>
      <w:pPr/>
      <w:r>
        <w:t>本文对应问题2模型优化及问题3部署衔接，供A统稿。Markdown为正文编辑源，Word为导出版。所谓“失败”特指未获得可直接替换既有交付单模型的准确率收益，不表示全部指标或工程工作无效。文中stop为训练集内部开发子集，valid为官方验证集；两轮均未读取test进行评估或选型。</w:t>
      </w:r>
    </w:p>
    <w:p>
      <w:pPr>
        <w:pStyle w:val="Heading1"/>
      </w:pPr>
      <w:r>
        <w:t>1 研究动机与评价边界</w:t>
      </w:r>
    </w:p>
    <w:p>
      <w:pPr/>
      <w:r>
        <w:t>前期实验中，参数搜索、集成权重调整和独立专家融合未获得稳定的准确率改善。为进一步检验模型容量与融合表征是否构成瓶颈，第六轮扩大融合宽度和文本编码器更新范围，第七轮引入类别均衡采样、监督对比学习与分类前的时序交互。两轮均在线运行MiniLM编码器，而非仅训练冻结文本特征上的小型任务头。</w:t>
      </w:r>
    </w:p>
    <w:p>
      <w:pPr/>
      <w:r>
        <w:t>附件2的3395条train按原视频分组划为fit3004条和stop391条，避免同一原视频跨越两个子集。开发阶段选择结构与各自种子的最佳epoch，随后从通用预训练权重重新初始化，在全部train上重训；valid728条用于锁定模型的报告及单独声明的后处理校准。标准化与类别权重仅由当前训练部分估计，附件4的20条无标签样本仅用于第三问预测和解释。</w:t>
      </w:r>
    </w:p>
    <w:p>
      <w:pPr/>
      <w:r>
        <w:t>随机种子固定为20267001、20267002和20267003，交付种子预先固定为20267001。三种子指标为分别运行模型后的均值，不是跨种子集成。stop和valid在历史研究中均已使用，因此本节只讨论内部验证证据，不将其称为独立盲测；第五轮的历史test准确率也不与本节valid直接排名。</w:t>
      </w:r>
    </w:p>
    <w:p>
      <w:pPr>
        <w:pStyle w:val="Heading1"/>
      </w:pPr>
      <w:r>
        <w:t>2 方法与受控实验</w:t>
      </w:r>
    </w:p>
    <w:p>
      <w:pPr>
        <w:pStyle w:val="Heading2"/>
      </w:pPr>
      <w:r>
        <w:t>2.1 端到端容量和更新范围</w:t>
      </w:r>
    </w:p>
    <w:p>
      <w:pPr/>
      <w:r>
        <w:t>共同输入为长度50的在线文本序列、74维音频和35维视觉，MiniLM输出文本隐藏维度384。采用AdamW、batch32、权重衰减0.01、梯度裁剪1、缺失施加概率0.3，各组开发预算为10epoch。基本目标为逆平方根类别频率加权交叉熵与0.8倍SmoothL1回归损失。文本新增缺失在编码前替换为UNK，并在融合池化时更新有效掩码。</w:t>
      </w:r>
    </w:p>
    <w:p>
      <w:pPr/>
      <w:r>
        <w:t>第六轮R0为顶部两层微调和64维Fusion；R1将Fusion加宽至192维；R2进一步更新全部六层及嵌入；R3冻结文本编码器。融合学习率为2×10⁻⁴，顶部两层为2×10⁻⁵；R2底部四层与嵌入分别采用5×10⁻⁶和10⁻⁶。因此R2检验的是扩大更新范围及固定分层学习率的组合，不是对参数量的纯单因素检验。</w:t>
      </w:r>
    </w:p>
    <w:p>
      <w:pPr>
        <w:pStyle w:val="Heading2"/>
      </w:pPr>
      <w:r>
        <w:t>2.2 类别监督对比学习</w:t>
      </w:r>
    </w:p>
    <w:p>
      <w:pPr>
        <w:keepNext/>
      </w:pPr>
      <w:r>
        <w:t>第七轮A0复用R0结构与自然采样；A1改为类别均衡批次；A2在A1基础上增加训练期64维投影头及监督对比损失：</w:t>
      </w:r>
    </w:p>
    <w:p>
      <w:pPr>
        <w:keepLines/>
      </w:pPr>
      <m:oMathPara>
        <m:oMath>
          <m:r>
            <m:t>L = </m:t>
          </m:r>
          <m:sSub>
            <m:e>
              <m:r>
                <m:t>L</m:t>
              </m:r>
            </m:e>
            <m:sub>
              <m:r>
                <m:t>CE,w</m:t>
              </m:r>
            </m:sub>
          </m:sSub>
          <m:r>
            <m:t> + 0.8 </m:t>
          </m:r>
          <m:sSub>
            <m:e>
              <m:r>
                <m:t>L</m:t>
              </m:r>
            </m:e>
            <m:sub>
              <m:r>
                <m:t>reg</m:t>
              </m:r>
            </m:sub>
          </m:sSub>
          <m:r>
            <m:t> + 0.05 </m:t>
          </m:r>
          <m:sSub>
            <m:e>
              <m:r>
                <m:t>L</m:t>
              </m:r>
            </m:e>
            <m:sub>
              <m:r>
                <m:t>SupCon</m:t>
              </m:r>
            </m:sub>
          </m:sSub>
        </m:oMath>
      </m:oMathPara>
    </w:p>
    <w:p>
      <w:pPr/>
      <w:r>
        <w:t>均衡批次按三类10/11/11条轮换额外名额，每epoch总抽样量与更新次数保持不变；类别权重仍由原始fit分布确定。同类且来自不同原视频的样本作为正对，不同类且不同原视频的样本作为负对；同视频样本从比较集合排除。对L2归一化投影计算温度0.1的对比目标，对每个有效锚点平均其所有正对的负对数相似度概率，无正对的锚点跳过。A2同时改变了表示监督与训练期投影分支，不是完整复现SFTTR[1]。投影头在部署时移除，已验证移除前后的预测完全一致。</w:t>
      </w:r>
    </w:p>
    <w:p>
      <w:pPr/>
      <w:r>
        <w:t>类别均衡和原有类别加权可能共同放大少数类影响，因此A1是必要对照。中性也不一定形成单一紧凑簇，不能先验认定聚拢同类表示必然改善泛化。</w:t>
      </w:r>
    </w:p>
    <w:p>
      <w:pPr>
        <w:pStyle w:val="Heading2"/>
      </w:pPr>
      <w:r>
        <w:t>2.3 分类前的时序交互</w:t>
      </w:r>
    </w:p>
    <w:p>
      <w:pPr>
        <w:keepNext/>
      </w:pPr>
      <w:r>
        <w:t>受动态主要模态选择方法[2]启发，第七轮B组将三模态分别投影至64维，保留原始位置并加入位置及模态标识。三个分支分别以文本、音频、视觉为查询，以其他两路有效序列为键值，执行共享参数的一层四头交叉注意力、残差、归一化及前馈变换，再做有效位置均值池化，得到hₜ、hₐ和hᵥ。</w:t>
      </w:r>
    </w:p>
    <w:p>
      <w:pPr>
        <w:keepLines/>
      </w:pPr>
      <m:oMathPara>
        <m:oMath>
          <m:r>
            <m:t>h = </m:t>
          </m:r>
          <m:nary>
            <m:naryPr>
              <m:chr m:val="∑"/>
              <m:limLoc m:val="undOvr"/>
            </m:naryPr>
            <m:sub>
              <m:r>
                <m:t>m∈{T,A,V}</m:t>
              </m:r>
            </m:sub>
            <m:sup>
              <m:r>
                <m:t/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m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</m:e>
          </m:nary>
          <m:r>
            <m:t>，  </m:t>
          </m:r>
          <m:nary>
            <m:naryPr>
              <m:chr m:val="∑"/>
              <m:limLoc m:val="undOvr"/>
            </m:naryPr>
            <m:sub>
              <m:r>
                <m:t>m</m:t>
              </m:r>
            </m:sub>
            <m:sup>
              <m:r>
                <m:t/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m</m:t>
                  </m:r>
                </m:sub>
              </m:sSub>
            </m:e>
          </m:nary>
          <m:r>
            <m:t> = 1</m:t>
          </m:r>
        </m:oMath>
      </m:oMathPara>
    </w:p>
    <w:p>
      <w:pPr/>
      <w:r>
        <w:t>上式限至少一路模态可用时成立。B0固定采用文本分支，文本全空时对其余有效分支等权；B1对有效分支等权；B2以195→32→3网络产生可微softmax权重，屏蔽不可用分支。全部模态为空时权重和融合表示为零，输出有限模型先验。无有效键值时交叉注意力增量置零，不让padding参与证据聚合。</w:t>
      </w:r>
    </w:p>
    <w:p>
      <w:pPr/>
      <w:r>
        <w:t>B组仍采用A0采样和原任务损失，没有叠加对比学习。其交互发生在分类概率形成之前，区别于第五轮在专家最终概率上的融合。本实现没有采用MODS的图胶囊压缩或500位置未对齐输入，故只称受其启发的结构改造。B2总参数约2279万，与A0基本相当；它不是依靠进一步增大整体容量取得候选资格。</w:t>
      </w:r>
    </w:p>
    <w:p>
      <w:pPr>
        <w:pStyle w:val="Heading1"/>
      </w:pPr>
      <w:r>
        <w:t>3 开发阶段：有局部收益，但并非机制已获证明</w:t>
      </w:r>
    </w:p>
    <w:p>
      <w:pPr/>
      <w:r>
        <w:t>每种子按干净stop准确率选择epoch，同分依次比较Macro-F1和较低一致性强度MAE。候选晋级要求平均ACC增加至少0.5个百分点且至少两个配对种子改善；同时限制干净Macro-F1、中性F1、三个缺失条件平均Macro-F1分别最多下降0.005、0.02、0.01，四条件平均MAE最多增加0.02。这些阈值是工程筛选条件，不是统计显著性检验。</w:t>
      </w:r>
    </w:p>
    <w:p>
      <w:pPr>
        <w:keepNext/>
      </w:pPr>
      <w:r>
        <w:t>表C67-1 第六轮stop三种子均值。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37"/>
        <w:gridCol w:w="3061"/>
        <w:gridCol w:w="1757"/>
        <w:gridCol w:w="2041"/>
        <w:gridCol w:w="2041"/>
      </w:tblGrid>
      <w:tr>
        <w:trPr>
          <w:cantSplit/>
          <w:tblHeader/>
        </w:trPr>
        <w:tc>
          <w:tcPr>
            <w:tcW w:type="dxa" w:w="737"/>
          </w:tcPr>
          <w:p>
            <w:pPr>
              <w:keepNext/>
              <w:spacing w:line="240" w:lineRule="auto" w:after="60"/>
            </w:pPr>
            <w:r>
              <w:rPr>
                <w:b/>
                <w:sz w:val="18"/>
              </w:rPr>
              <w:t>组别</w:t>
            </w:r>
          </w:p>
        </w:tc>
        <w:tc>
          <w:tcPr>
            <w:tcW w:type="dxa" w:w="3061"/>
          </w:tcPr>
          <w:p>
            <w:pPr>
              <w:keepNext/>
              <w:spacing w:line="240" w:lineRule="auto" w:after="60"/>
            </w:pPr>
            <w:r>
              <w:rPr>
                <w:b/>
                <w:sz w:val="18"/>
              </w:rPr>
              <w:t>更新范围／Fusion宽度</w:t>
            </w:r>
          </w:p>
        </w:tc>
        <w:tc>
          <w:tcPr>
            <w:tcW w:type="dxa" w:w="1757"/>
          </w:tcPr>
          <w:p>
            <w:pPr>
              <w:keepNext/>
              <w:spacing w:line="240" w:lineRule="auto" w:after="60"/>
            </w:pPr>
            <w:r>
              <w:rPr>
                <w:b/>
                <w:sz w:val="18"/>
              </w:rPr>
              <w:t>ACC（%）</w:t>
            </w:r>
          </w:p>
        </w:tc>
        <w:tc>
          <w:tcPr>
            <w:tcW w:type="dxa" w:w="2041"/>
          </w:tcPr>
          <w:p>
            <w:pPr>
              <w:keepNext/>
              <w:spacing w:line="240" w:lineRule="auto" w:after="60"/>
            </w:pPr>
            <w:r>
              <w:rPr>
                <w:b/>
                <w:sz w:val="18"/>
              </w:rPr>
              <w:t>Macro-F1</w:t>
            </w:r>
          </w:p>
        </w:tc>
        <w:tc>
          <w:tcPr>
            <w:tcW w:type="dxa" w:w="2041"/>
          </w:tcPr>
          <w:p>
            <w:pPr>
              <w:keepNext/>
              <w:spacing w:line="240" w:lineRule="auto" w:after="60"/>
            </w:pPr>
            <w:r>
              <w:rPr>
                <w:b/>
                <w:sz w:val="18"/>
              </w:rPr>
              <w:t>中性F1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R0</w:t>
            </w:r>
          </w:p>
        </w:tc>
        <w:tc>
          <w:tcPr>
            <w:tcW w:type="dxa" w:w="3061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顶部两层／64</w:t>
            </w:r>
          </w:p>
        </w:tc>
        <w:tc>
          <w:tcPr>
            <w:tcW w:type="dxa" w:w="1757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64.96</w:t>
            </w:r>
          </w:p>
        </w:tc>
        <w:tc>
          <w:tcPr>
            <w:tcW w:type="dxa" w:w="2041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0.6227</w:t>
            </w:r>
          </w:p>
        </w:tc>
        <w:tc>
          <w:tcPr>
            <w:tcW w:type="dxa" w:w="2041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0.4667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R1</w:t>
            </w:r>
          </w:p>
        </w:tc>
        <w:tc>
          <w:tcPr>
            <w:tcW w:type="dxa" w:w="3061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顶部两层／192</w:t>
            </w:r>
          </w:p>
        </w:tc>
        <w:tc>
          <w:tcPr>
            <w:tcW w:type="dxa" w:w="1757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64.62</w:t>
            </w:r>
          </w:p>
        </w:tc>
        <w:tc>
          <w:tcPr>
            <w:tcW w:type="dxa" w:w="2041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0.6204</w:t>
            </w:r>
          </w:p>
        </w:tc>
        <w:tc>
          <w:tcPr>
            <w:tcW w:type="dxa" w:w="2041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0.4766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R2</w:t>
            </w:r>
          </w:p>
        </w:tc>
        <w:tc>
          <w:tcPr>
            <w:tcW w:type="dxa" w:w="3061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全六层及嵌入／192</w:t>
            </w:r>
          </w:p>
        </w:tc>
        <w:tc>
          <w:tcPr>
            <w:tcW w:type="dxa" w:w="1757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64.79</w:t>
            </w:r>
          </w:p>
        </w:tc>
        <w:tc>
          <w:tcPr>
            <w:tcW w:type="dxa" w:w="2041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0.6152</w:t>
            </w:r>
          </w:p>
        </w:tc>
        <w:tc>
          <w:tcPr>
            <w:tcW w:type="dxa" w:w="2041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0.4384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keepNext w:val="0"/>
              <w:spacing w:line="240" w:lineRule="auto" w:after="60"/>
            </w:pPr>
            <w:r>
              <w:rPr>
                <w:b w:val="0"/>
                <w:sz w:val="18"/>
              </w:rPr>
              <w:t>R3</w:t>
            </w:r>
          </w:p>
        </w:tc>
        <w:tc>
          <w:tcPr>
            <w:tcW w:type="dxa" w:w="3061"/>
          </w:tcPr>
          <w:p>
            <w:pPr>
              <w:keepNext w:val="0"/>
              <w:spacing w:line="240" w:lineRule="auto" w:after="60"/>
            </w:pPr>
            <w:r>
              <w:rPr>
                <w:b w:val="0"/>
                <w:sz w:val="18"/>
              </w:rPr>
              <w:t>全冻结／192</w:t>
            </w:r>
          </w:p>
        </w:tc>
        <w:tc>
          <w:tcPr>
            <w:tcW w:type="dxa" w:w="1757"/>
          </w:tcPr>
          <w:p>
            <w:pPr>
              <w:keepNext w:val="0"/>
              <w:spacing w:line="240" w:lineRule="auto" w:after="60"/>
            </w:pPr>
            <w:r>
              <w:rPr>
                <w:b w:val="0"/>
                <w:sz w:val="18"/>
              </w:rPr>
              <w:t>63.26</w:t>
            </w:r>
          </w:p>
        </w:tc>
        <w:tc>
          <w:tcPr>
            <w:tcW w:type="dxa" w:w="2041"/>
          </w:tcPr>
          <w:p>
            <w:pPr>
              <w:keepNext w:val="0"/>
              <w:spacing w:line="240" w:lineRule="auto" w:after="60"/>
            </w:pPr>
            <w:r>
              <w:rPr>
                <w:b w:val="0"/>
                <w:sz w:val="18"/>
              </w:rPr>
              <w:t>0.6079</w:t>
            </w:r>
          </w:p>
        </w:tc>
        <w:tc>
          <w:tcPr>
            <w:tcW w:type="dxa" w:w="2041"/>
          </w:tcPr>
          <w:p>
            <w:pPr>
              <w:keepNext w:val="0"/>
              <w:spacing w:line="240" w:lineRule="auto" w:after="60"/>
            </w:pPr>
            <w:r>
              <w:rPr>
                <w:b w:val="0"/>
                <w:sz w:val="18"/>
              </w:rPr>
              <w:t>0.4759</w:t>
            </w:r>
          </w:p>
        </w:tc>
      </w:tr>
    </w:tbl>
    <w:p>
      <w:pPr>
        <w:spacing w:after="0"/>
      </w:pPr>
    </w:p>
    <w:p>
      <w:pPr/>
      <w:r>
        <w:t>扩大融合宽度及编码器更新范围均未通过晋级条件，故第六轮保留R0。结果不支持在当前配置、数据量与预算下继续单纯扩容，也不等于证明更大编码器或其他训练预算普遍无效。</w:t>
      </w:r>
    </w:p>
    <w:p>
      <w:pPr>
        <w:keepNext/>
      </w:pPr>
      <w:r>
        <w:t>表C67-2 第七轮stop三种子均值。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37"/>
        <w:gridCol w:w="3061"/>
        <w:gridCol w:w="1757"/>
        <w:gridCol w:w="2041"/>
        <w:gridCol w:w="2041"/>
      </w:tblGrid>
      <w:tr>
        <w:trPr>
          <w:cantSplit/>
          <w:tblHeader/>
        </w:trPr>
        <w:tc>
          <w:tcPr>
            <w:tcW w:type="dxa" w:w="737"/>
          </w:tcPr>
          <w:p>
            <w:pPr>
              <w:keepNext/>
              <w:spacing w:line="240" w:lineRule="auto" w:after="60"/>
            </w:pPr>
            <w:r>
              <w:rPr>
                <w:b/>
                <w:sz w:val="18"/>
              </w:rPr>
              <w:t>组别</w:t>
            </w:r>
          </w:p>
        </w:tc>
        <w:tc>
          <w:tcPr>
            <w:tcW w:type="dxa" w:w="3061"/>
          </w:tcPr>
          <w:p>
            <w:pPr>
              <w:keepNext/>
              <w:spacing w:line="240" w:lineRule="auto" w:after="60"/>
            </w:pPr>
            <w:r>
              <w:rPr>
                <w:b/>
                <w:sz w:val="18"/>
              </w:rPr>
              <w:t>改动</w:t>
            </w:r>
          </w:p>
        </w:tc>
        <w:tc>
          <w:tcPr>
            <w:tcW w:type="dxa" w:w="1757"/>
          </w:tcPr>
          <w:p>
            <w:pPr>
              <w:keepNext/>
              <w:spacing w:line="240" w:lineRule="auto" w:after="60"/>
            </w:pPr>
            <w:r>
              <w:rPr>
                <w:b/>
                <w:sz w:val="18"/>
              </w:rPr>
              <w:t>ACC（%）</w:t>
            </w:r>
          </w:p>
        </w:tc>
        <w:tc>
          <w:tcPr>
            <w:tcW w:type="dxa" w:w="2041"/>
          </w:tcPr>
          <w:p>
            <w:pPr>
              <w:keepNext/>
              <w:spacing w:line="240" w:lineRule="auto" w:after="60"/>
            </w:pPr>
            <w:r>
              <w:rPr>
                <w:b/>
                <w:sz w:val="18"/>
              </w:rPr>
              <w:t>Macro-F1</w:t>
            </w:r>
          </w:p>
        </w:tc>
        <w:tc>
          <w:tcPr>
            <w:tcW w:type="dxa" w:w="2041"/>
          </w:tcPr>
          <w:p>
            <w:pPr>
              <w:keepNext/>
              <w:spacing w:line="240" w:lineRule="auto" w:after="60"/>
            </w:pPr>
            <w:r>
              <w:rPr>
                <w:b/>
                <w:sz w:val="18"/>
              </w:rPr>
              <w:t>中性F1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A0</w:t>
            </w:r>
          </w:p>
        </w:tc>
        <w:tc>
          <w:tcPr>
            <w:tcW w:type="dxa" w:w="3061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原Fusion，自然采样</w:t>
            </w:r>
          </w:p>
        </w:tc>
        <w:tc>
          <w:tcPr>
            <w:tcW w:type="dxa" w:w="1757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64.96</w:t>
            </w:r>
          </w:p>
        </w:tc>
        <w:tc>
          <w:tcPr>
            <w:tcW w:type="dxa" w:w="2041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0.6227</w:t>
            </w:r>
          </w:p>
        </w:tc>
        <w:tc>
          <w:tcPr>
            <w:tcW w:type="dxa" w:w="2041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0.4667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A1</w:t>
            </w:r>
          </w:p>
        </w:tc>
        <w:tc>
          <w:tcPr>
            <w:tcW w:type="dxa" w:w="3061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均衡采样</w:t>
            </w:r>
          </w:p>
        </w:tc>
        <w:tc>
          <w:tcPr>
            <w:tcW w:type="dxa" w:w="1757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61.64</w:t>
            </w:r>
          </w:p>
        </w:tc>
        <w:tc>
          <w:tcPr>
            <w:tcW w:type="dxa" w:w="2041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0.6065</w:t>
            </w:r>
          </w:p>
        </w:tc>
        <w:tc>
          <w:tcPr>
            <w:tcW w:type="dxa" w:w="2041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0.4683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A2</w:t>
            </w:r>
          </w:p>
        </w:tc>
        <w:tc>
          <w:tcPr>
            <w:tcW w:type="dxa" w:w="3061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均衡采样＋对比学习</w:t>
            </w:r>
          </w:p>
        </w:tc>
        <w:tc>
          <w:tcPr>
            <w:tcW w:type="dxa" w:w="1757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61.55</w:t>
            </w:r>
          </w:p>
        </w:tc>
        <w:tc>
          <w:tcPr>
            <w:tcW w:type="dxa" w:w="2041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0.6056</w:t>
            </w:r>
          </w:p>
        </w:tc>
        <w:tc>
          <w:tcPr>
            <w:tcW w:type="dxa" w:w="2041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0.4727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B0</w:t>
            </w:r>
          </w:p>
        </w:tc>
        <w:tc>
          <w:tcPr>
            <w:tcW w:type="dxa" w:w="3061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时序交互，固定文本</w:t>
            </w:r>
          </w:p>
        </w:tc>
        <w:tc>
          <w:tcPr>
            <w:tcW w:type="dxa" w:w="1757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65.64</w:t>
            </w:r>
          </w:p>
        </w:tc>
        <w:tc>
          <w:tcPr>
            <w:tcW w:type="dxa" w:w="2041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0.6374</w:t>
            </w:r>
          </w:p>
        </w:tc>
        <w:tc>
          <w:tcPr>
            <w:tcW w:type="dxa" w:w="2041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0.5076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B1</w:t>
            </w:r>
          </w:p>
        </w:tc>
        <w:tc>
          <w:tcPr>
            <w:tcW w:type="dxa" w:w="3061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时序交互，等权汇总</w:t>
            </w:r>
          </w:p>
        </w:tc>
        <w:tc>
          <w:tcPr>
            <w:tcW w:type="dxa" w:w="1757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66.07</w:t>
            </w:r>
          </w:p>
        </w:tc>
        <w:tc>
          <w:tcPr>
            <w:tcW w:type="dxa" w:w="2041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0.6349</w:t>
            </w:r>
          </w:p>
        </w:tc>
        <w:tc>
          <w:tcPr>
            <w:tcW w:type="dxa" w:w="2041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0.4908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keepNext w:val="0"/>
              <w:spacing w:line="240" w:lineRule="auto" w:after="60"/>
            </w:pPr>
            <w:r>
              <w:rPr>
                <w:b w:val="0"/>
                <w:sz w:val="18"/>
              </w:rPr>
              <w:t>B2</w:t>
            </w:r>
          </w:p>
        </w:tc>
        <w:tc>
          <w:tcPr>
            <w:tcW w:type="dxa" w:w="3061"/>
          </w:tcPr>
          <w:p>
            <w:pPr>
              <w:keepNext w:val="0"/>
              <w:spacing w:line="240" w:lineRule="auto" w:after="60"/>
            </w:pPr>
            <w:r>
              <w:rPr>
                <w:b w:val="0"/>
                <w:sz w:val="18"/>
              </w:rPr>
              <w:t>时序交互，动态汇总</w:t>
            </w:r>
          </w:p>
        </w:tc>
        <w:tc>
          <w:tcPr>
            <w:tcW w:type="dxa" w:w="1757"/>
          </w:tcPr>
          <w:p>
            <w:pPr>
              <w:keepNext w:val="0"/>
              <w:spacing w:line="240" w:lineRule="auto" w:after="60"/>
            </w:pPr>
            <w:r>
              <w:rPr>
                <w:b w:val="0"/>
                <w:sz w:val="18"/>
              </w:rPr>
              <w:t>66.33</w:t>
            </w:r>
          </w:p>
        </w:tc>
        <w:tc>
          <w:tcPr>
            <w:tcW w:type="dxa" w:w="2041"/>
          </w:tcPr>
          <w:p>
            <w:pPr>
              <w:keepNext w:val="0"/>
              <w:spacing w:line="240" w:lineRule="auto" w:after="60"/>
            </w:pPr>
            <w:r>
              <w:rPr>
                <w:b w:val="0"/>
                <w:sz w:val="18"/>
              </w:rPr>
              <w:t>0.6422</w:t>
            </w:r>
          </w:p>
        </w:tc>
        <w:tc>
          <w:tcPr>
            <w:tcW w:type="dxa" w:w="2041"/>
          </w:tcPr>
          <w:p>
            <w:pPr>
              <w:keepNext w:val="0"/>
              <w:spacing w:line="240" w:lineRule="auto" w:after="60"/>
            </w:pPr>
            <w:r>
              <w:rPr>
                <w:b w:val="0"/>
                <w:sz w:val="18"/>
              </w:rPr>
              <w:t>0.5184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20451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develop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45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</w:rPr>
        <w:t>图C67-1 两轮开发子集准确率。</w:t>
      </w:r>
      <w:r>
        <w:t xml:space="preserve"> 点为三个训练种子的均值，误差线为样本标准差，非置信区间。两图共用纵轴范围；不同轮次相同基线的重复训练不是新增独立方法证据。</w:t>
      </w:r>
    </w:p>
    <w:p>
      <w:pPr/>
      <w:r>
        <w:t>A1、A2较A0均下降约3.3—3.4个百分点；A2对A1亦无稳定增益。因此没有执行“对比学习＋时序融合”的组合分支。这只能否定本次均衡采样及固定对比配置，不能外推为所有对比学习均无效。</w:t>
      </w:r>
    </w:p>
    <w:p>
      <w:pPr/>
      <w:r>
        <w:t>B2相对A0提高1.36个百分点，中性F1由0.4667升至0.5184，按预设规则入选。但B2相对B1仅提高约0.26个百分点，且未同时通过相对B0/B1的机制验证门槛。结果支持时序融合候选在当前开发子集上的价值，不足以将收益主要归因于动态选择器。</w:t>
      </w:r>
    </w:p>
    <w:p>
      <w:pPr>
        <w:pStyle w:val="Heading1"/>
      </w:pPr>
      <w:r>
        <w:t>4 完整重训与部署：局部改善未形成更好的固定交付模型</w:t>
      </w:r>
    </w:p>
    <w:p>
      <w:pPr/>
      <w:r>
        <w:t>第六轮完成12个开发模型与3个完整train模型，共138epoch；第七轮完成18个开发模型与6个完整train模型，共218epoch。两轮训练及内部评估分别约7.96、15.98分钟，不包含开发、导出和解释时间。第七轮完整重训A0与B2，轮数由各自stop最优epoch确定，未依据valid重选轮数或种子。</w:t>
      </w:r>
    </w:p>
    <w:p>
      <w:pPr>
        <w:keepNext/>
      </w:pPr>
      <w:r>
        <w:t>表C67-3 官方valid准确率的不同计算口径。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1871"/>
        <w:gridCol w:w="1871"/>
        <w:gridCol w:w="1928"/>
      </w:tblGrid>
      <w:tr>
        <w:trPr>
          <w:cantSplit/>
          <w:tblHeader/>
        </w:trPr>
        <w:tc>
          <w:tcPr>
            <w:tcW w:type="dxa" w:w="3969"/>
          </w:tcPr>
          <w:p>
            <w:pPr>
              <w:keepNext/>
              <w:spacing w:line="240" w:lineRule="auto" w:after="60"/>
            </w:pPr>
            <w:r>
              <w:rPr>
                <w:b/>
                <w:sz w:val="18"/>
              </w:rPr>
              <w:t>口径</w:t>
            </w:r>
          </w:p>
        </w:tc>
        <w:tc>
          <w:tcPr>
            <w:tcW w:type="dxa" w:w="1871"/>
          </w:tcPr>
          <w:p>
            <w:pPr>
              <w:keepNext/>
              <w:spacing w:line="240" w:lineRule="auto" w:after="60"/>
            </w:pPr>
            <w:r>
              <w:rPr>
                <w:b/>
                <w:sz w:val="18"/>
              </w:rPr>
              <w:t>第六轮R0</w:t>
            </w:r>
          </w:p>
        </w:tc>
        <w:tc>
          <w:tcPr>
            <w:tcW w:type="dxa" w:w="1871"/>
          </w:tcPr>
          <w:p>
            <w:pPr>
              <w:keepNext/>
              <w:spacing w:line="240" w:lineRule="auto" w:after="60"/>
            </w:pPr>
            <w:r>
              <w:rPr>
                <w:b/>
                <w:sz w:val="18"/>
              </w:rPr>
              <w:t>第七轮A0</w:t>
            </w:r>
          </w:p>
        </w:tc>
        <w:tc>
          <w:tcPr>
            <w:tcW w:type="dxa" w:w="1928"/>
          </w:tcPr>
          <w:p>
            <w:pPr>
              <w:keepNext/>
              <w:spacing w:line="240" w:lineRule="auto" w:after="60"/>
            </w:pPr>
            <w:r>
              <w:rPr>
                <w:b/>
                <w:sz w:val="18"/>
              </w:rPr>
              <w:t>第七轮B2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FP32三种子均值</w:t>
            </w:r>
          </w:p>
        </w:tc>
        <w:tc>
          <w:tcPr>
            <w:tcW w:type="dxa" w:w="1871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61.3095%</w:t>
            </w:r>
          </w:p>
        </w:tc>
        <w:tc>
          <w:tcPr>
            <w:tcW w:type="dxa" w:w="1871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61.3095%</w:t>
            </w:r>
          </w:p>
        </w:tc>
        <w:tc>
          <w:tcPr>
            <w:tcW w:type="dxa" w:w="1928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61.3095%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int8未校准三种子均值</w:t>
            </w:r>
          </w:p>
        </w:tc>
        <w:tc>
          <w:tcPr>
            <w:tcW w:type="dxa" w:w="1871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60.4396%</w:t>
            </w:r>
          </w:p>
        </w:tc>
        <w:tc>
          <w:tcPr>
            <w:tcW w:type="dxa" w:w="1871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60.4396%</w:t>
            </w:r>
          </w:p>
        </w:tc>
        <w:tc>
          <w:tcPr>
            <w:tcW w:type="dxa" w:w="1928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61.5842%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分组校准折外三种子均值</w:t>
            </w:r>
          </w:p>
        </w:tc>
        <w:tc>
          <w:tcPr>
            <w:tcW w:type="dxa" w:w="1871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60.7601%</w:t>
            </w:r>
          </w:p>
        </w:tc>
        <w:tc>
          <w:tcPr>
            <w:tcW w:type="dxa" w:w="1871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60.8516%</w:t>
            </w:r>
          </w:p>
        </w:tc>
        <w:tc>
          <w:tcPr>
            <w:tcW w:type="dxa" w:w="1928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62.1795%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全valid拟合偏置后三种子均值</w:t>
            </w:r>
          </w:p>
        </w:tc>
        <w:tc>
          <w:tcPr>
            <w:tcW w:type="dxa" w:w="1871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61.0806%</w:t>
            </w:r>
          </w:p>
        </w:tc>
        <w:tc>
          <w:tcPr>
            <w:tcW w:type="dxa" w:w="1871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61.0806%</w:t>
            </w:r>
          </w:p>
        </w:tc>
        <w:tc>
          <w:tcPr>
            <w:tcW w:type="dxa" w:w="1928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62.4084%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 w:val="0"/>
              <w:spacing w:line="240" w:lineRule="auto" w:after="60"/>
            </w:pPr>
            <w:r>
              <w:rPr>
                <w:b w:val="0"/>
                <w:sz w:val="18"/>
              </w:rPr>
              <w:t>固定交付种子，int8＋校准</w:t>
            </w:r>
          </w:p>
        </w:tc>
        <w:tc>
          <w:tcPr>
            <w:tcW w:type="dxa" w:w="1871"/>
          </w:tcPr>
          <w:p>
            <w:pPr>
              <w:keepNext w:val="0"/>
              <w:spacing w:line="240" w:lineRule="auto" w:after="60"/>
            </w:pPr>
            <w:r>
              <w:rPr>
                <w:b w:val="0"/>
                <w:sz w:val="18"/>
              </w:rPr>
              <w:t>62.7747%</w:t>
            </w:r>
          </w:p>
        </w:tc>
        <w:tc>
          <w:tcPr>
            <w:tcW w:type="dxa" w:w="1871"/>
          </w:tcPr>
          <w:p>
            <w:pPr>
              <w:keepNext w:val="0"/>
              <w:spacing w:line="240" w:lineRule="auto" w:after="60"/>
            </w:pPr>
            <w:r>
              <w:rPr>
                <w:b w:val="0"/>
                <w:sz w:val="18"/>
              </w:rPr>
              <w:t>62.7747%</w:t>
            </w:r>
          </w:p>
        </w:tc>
        <w:tc>
          <w:tcPr>
            <w:tcW w:type="dxa" w:w="1928"/>
          </w:tcPr>
          <w:p>
            <w:pPr>
              <w:keepNext w:val="0"/>
              <w:spacing w:line="240" w:lineRule="auto" w:after="60"/>
            </w:pPr>
            <w:r>
              <w:rPr>
                <w:b w:val="0"/>
                <w:sz w:val="18"/>
              </w:rPr>
              <w:t>62.5000%</w:t>
            </w:r>
          </w:p>
        </w:tc>
      </w:tr>
    </w:tbl>
    <w:p>
      <w:pPr>
        <w:spacing w:after="0"/>
      </w:pPr>
    </w:p>
    <w:p>
      <w:pPr/>
      <w:r>
        <w:t>第六轮R0与第七轮A0的FP32及未校准结果一致，但两轮校准分折随机种子分别为20267000和20267010，折外校准指标不同，不能将此差异归因于模型变化。校准采用25点类别偏置候选、三种子共享偏置和按原视频分组的五折检查。折外结果仅评价偏置步骤；全valid拟合值使用了该集标签，不是无偏的泛化估计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26694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reci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69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</w:rPr>
        <w:t>图C67-2 第七轮FP32、int8及校准后的valid准确率。</w:t>
      </w:r>
      <w:r>
        <w:t xml:space="preserve"> 每点是三种子均值，误差线为样本SD。横轴表示不同推理处理阶段，不是训练epoch；全valid拟合偏置的结果单独标明。</w:t>
      </w:r>
    </w:p>
    <w:p>
      <w:pPr/>
      <w:r>
        <w:t>B2在stop上的提升没有转化为FP32的平均valid准确率提升。量化后，A0平均下降约0.87个百分点，而B2平均增加约0.27个百分点；校准后B2较A0高1.33个百分点。导出审计在每个模型的12条固定样本、四个条件上比较PyTorch FP32和ONNX FP32，概率最大绝对误差低于1.4×10⁻⁶，支持已核查路径的一致性。该检查不证明量化收益稳定，也不将量化扰动带来的分类变化解释为表示能力必然增强。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19869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seed_calibr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86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</w:rPr>
        <w:t>图C67-3 配对种子差异与校准口径。</w:t>
      </w:r>
      <w:r>
        <w:t xml:space="preserve"> 左图比较第七轮最终校准后的B2与A0；右图分开呈现未校准、折外校准与全valid拟合指标。第一个种子在评估前固定用于交付。</w:t>
      </w:r>
    </w:p>
    <w:p>
      <w:pPr/>
      <w:r>
        <w:t>B2三个种子的部署准确率变化分别为−0.27、+2.06、+2.20个百分点，平均指标及配套护栏通过预设晋级条件。但是，固定交付种子由457/728降为455/728。故保守保留既有单模型交付，不临时改挑其他种子。这是针对实际交付对象的保守决策，不能倒称B2未通过预设的三种子平均门槛。</w:t>
      </w:r>
    </w:p>
    <w:p>
      <w:pPr>
        <w:keepNext/>
      </w:pPr>
      <w:r>
        <w:t>表C67-4 固定交付种子的valid表现，均采用int8和各自最终偏置。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2835"/>
        <w:gridCol w:w="2835"/>
      </w:tblGrid>
      <w:tr>
        <w:trPr>
          <w:cantSplit/>
          <w:tblHeader/>
        </w:trPr>
        <w:tc>
          <w:tcPr>
            <w:tcW w:type="dxa" w:w="3969"/>
          </w:tcPr>
          <w:p>
            <w:pPr>
              <w:keepNext/>
              <w:spacing w:line="240" w:lineRule="auto" w:after="60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835"/>
          </w:tcPr>
          <w:p>
            <w:pPr>
              <w:keepNext/>
              <w:spacing w:line="240" w:lineRule="auto" w:after="60"/>
            </w:pPr>
            <w:r>
              <w:rPr>
                <w:b/>
                <w:sz w:val="18"/>
              </w:rPr>
              <w:t>第六轮R0／第七轮A0</w:t>
            </w:r>
          </w:p>
        </w:tc>
        <w:tc>
          <w:tcPr>
            <w:tcW w:type="dxa" w:w="2835"/>
          </w:tcPr>
          <w:p>
            <w:pPr>
              <w:keepNext/>
              <w:spacing w:line="240" w:lineRule="auto" w:after="60"/>
            </w:pPr>
            <w:r>
              <w:rPr>
                <w:b/>
                <w:sz w:val="18"/>
              </w:rPr>
              <w:t>第七轮B2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ACC</w:t>
            </w:r>
          </w:p>
        </w:tc>
        <w:tc>
          <w:tcPr>
            <w:tcW w:type="dxa" w:w="2835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62.7747%</w:t>
            </w:r>
          </w:p>
        </w:tc>
        <w:tc>
          <w:tcPr>
            <w:tcW w:type="dxa" w:w="2835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62.5000%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Macro-F1</w:t>
            </w:r>
          </w:p>
        </w:tc>
        <w:tc>
          <w:tcPr>
            <w:tcW w:type="dxa" w:w="2835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0.5907</w:t>
            </w:r>
          </w:p>
        </w:tc>
        <w:tc>
          <w:tcPr>
            <w:tcW w:type="dxa" w:w="2835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0.5944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中性Precision</w:t>
            </w:r>
          </w:p>
        </w:tc>
        <w:tc>
          <w:tcPr>
            <w:tcW w:type="dxa" w:w="2835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0.5120</w:t>
            </w:r>
          </w:p>
        </w:tc>
        <w:tc>
          <w:tcPr>
            <w:tcW w:type="dxa" w:w="2835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0.4855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中性Recall</w:t>
            </w:r>
          </w:p>
        </w:tc>
        <w:tc>
          <w:tcPr>
            <w:tcW w:type="dxa" w:w="2835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0.3478</w:t>
            </w:r>
          </w:p>
        </w:tc>
        <w:tc>
          <w:tcPr>
            <w:tcW w:type="dxa" w:w="2835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0.3641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中性F1</w:t>
            </w:r>
          </w:p>
        </w:tc>
        <w:tc>
          <w:tcPr>
            <w:tcW w:type="dxa" w:w="2835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0.4142</w:t>
            </w:r>
          </w:p>
        </w:tc>
        <w:tc>
          <w:tcPr>
            <w:tcW w:type="dxa" w:w="2835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0.4161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一致性强度MAE</w:t>
            </w:r>
          </w:p>
        </w:tc>
        <w:tc>
          <w:tcPr>
            <w:tcW w:type="dxa" w:w="2835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0.5902</w:t>
            </w:r>
          </w:p>
        </w:tc>
        <w:tc>
          <w:tcPr>
            <w:tcW w:type="dxa" w:w="2835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0.6184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 w:val="0"/>
              <w:spacing w:line="240" w:lineRule="auto" w:after="60"/>
            </w:pPr>
            <w:r>
              <w:rPr>
                <w:b w:val="0"/>
                <w:sz w:val="18"/>
              </w:rPr>
              <w:t>Pearson</w:t>
            </w:r>
          </w:p>
        </w:tc>
        <w:tc>
          <w:tcPr>
            <w:tcW w:type="dxa" w:w="2835"/>
          </w:tcPr>
          <w:p>
            <w:pPr>
              <w:keepNext w:val="0"/>
              <w:spacing w:line="240" w:lineRule="auto" w:after="60"/>
            </w:pPr>
            <w:r>
              <w:rPr>
                <w:b w:val="0"/>
                <w:sz w:val="18"/>
              </w:rPr>
              <w:t>0.6463</w:t>
            </w:r>
          </w:p>
        </w:tc>
        <w:tc>
          <w:tcPr>
            <w:tcW w:type="dxa" w:w="2835"/>
          </w:tcPr>
          <w:p>
            <w:pPr>
              <w:keepNext w:val="0"/>
              <w:spacing w:line="240" w:lineRule="auto" w:after="60"/>
            </w:pPr>
            <w:r>
              <w:rPr>
                <w:b w:val="0"/>
                <w:sz w:val="18"/>
              </w:rPr>
              <w:t>0.6442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27662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onfu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66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</w:rPr>
        <w:t>图C67-4 两个固定交付模型的valid混淆矩阵。</w:t>
      </w:r>
      <w:r>
        <w:t xml:space="preserve"> 每格为样本数及真实类别内比例，两图使用统一色阶。第六轮R0与第七轮A0具有相同最终预测，因此共用左图。</w:t>
      </w:r>
    </w:p>
    <w:p>
      <w:pPr/>
      <w:r>
        <w:t>B2中性正确数由64升至67，但precision下降，F1仅小幅变化，同时强度MAE变差。仅观察中性召回或Macro-F1会遗漏这些代价。“关注中性类”应落实为完整混淆结构与多指标约束，而非将提高中性预测频率视为问题已解决。</w:t>
      </w:r>
    </w:p>
    <w:p>
      <w:pPr>
        <w:pStyle w:val="Heading1"/>
      </w:pPr>
      <w:r>
        <w:t>5 失败经验与可支持的解释</w:t>
      </w:r>
    </w:p>
    <w:p>
      <w:pPr/>
      <w:r>
        <w:t>首先，开发子集上的最优结构不保证在全train重训后保持优势。两轮均使用内部stop选epoch、全train重新初始化的流程，训练样本规模和标准化统计随阶段变化，而模型排序又来自较小开发子集。B2的开发优势未迁移是实测现象；“过拟合stop”“重训轮数不适合全train”“分布差异”均是可能解释，现有对照没有将它们逐一分离，不能指定唯一原因。</w:t>
      </w:r>
    </w:p>
    <w:p>
      <w:pPr/>
      <w:r>
        <w:t>其次，更多可训练参数、额外监督目标和更复杂融合均不是充分条件。第六轮扩容未胜出；第七轮均衡采样与对比学习失败，而三种时序融合均在stop上改善。不同机制的结论应分别表述，不能把全部负结果笼统归为“音视频无用”或“模型已经达到上限”。均衡采样与类别加权的重复补偿是可检验假设，但本轮未另设均衡采样配普通CE的对照，不能认定它已被证明。</w:t>
      </w:r>
    </w:p>
    <w:p>
      <w:pPr/>
      <w:r>
        <w:t>再次，应将模型训练、量化和校准视为三个不同环节。FP32平均ACC相同与最终部署平均ACC不同可以同时成立；只报告最好的一列会掩盖收益来源。校准后的中性F1也可能低于未校准值，即使ACC上升。部署比较须使用实际导出的精度路径，并保留未校准与折外校准结果。</w:t>
      </w:r>
    </w:p>
    <w:p>
      <w:pPr/>
      <w:r>
        <w:t>最后，平均研究收益与交付单模型收益并不等价。三种子可用于观察波动，但不能充当充分的大样本统计证据；也不能在看到valid后以更换种子替代方法改进。后续若检验新的训练方案，应预先固定评价与重训协议，分别检查表示改造和部署变化，而非继续叠加未经分离验证的模块。</w:t>
      </w:r>
    </w:p>
    <w:p>
      <w:pPr>
        <w:pStyle w:val="Heading1"/>
      </w:pPr>
      <w:r>
        <w:t>6 第三问交付与结论范围</w:t>
      </w:r>
    </w:p>
    <w:p>
      <w:pPr/>
      <w:r>
        <w:t>两轮均保留完整FP32权重、独立int8推理候选和附件4全20条结果，输出极性、强度、原始与校准概率、模态删除效应、精确三模态Shapley、局部证据及位置映射。文本干预后重新编码，动态模型干预后重新计算权重；门控不作为因果贡献。20条音频预览与19条视觉预览如实保留，另1条无有效视觉不伪造关键帧。独立解压复验通过，证明交付路径可复现，不代表预测准确率已提高。</w:t>
      </w:r>
    </w:p>
    <w:p>
      <w:pPr/>
      <w:r>
        <w:t>两轮结果最终支持的结论是：容量扩展在本次预算下未获得稳定收益；时序融合改善了开发指标和部分部署均值，但尚未形成更优的预固定交付单模型。该负结果缩小了后续优化范围，同时提示必须明确数据划分、重训、量化、校准与交付种子之间的评价边界。</w:t>
      </w:r>
    </w:p>
    <w:p>
      <w:pPr>
        <w:pStyle w:val="Heading1"/>
      </w:pPr>
      <w:r>
        <w:t>参考文献与归档</w:t>
      </w:r>
    </w:p>
    <w:p>
      <w:pPr/>
      <w:r>
        <w:t>[1] Sun K, Tian M. Sequential Fusion of Text-close and Text-far Representations for Multimodal Sentiment Analysis. COLING, 2025: 40–49. https://aclanthology.org/2025.coling-main.4/</w:t>
      </w:r>
    </w:p>
    <w:p>
      <w:pPr/>
      <w:r>
        <w:t>[2] Yang D, et al. Improving Multimodal Sentiment Analysis via Modality Optimization and Dynamic Primary Modality Selection. arXiv:2511.06328v3, 2026-04-01. https://arxiv.org/abs/2511.06328v3</w:t>
      </w:r>
    </w:p>
    <w:p>
      <w:pPr/>
      <w:r>
        <w:t>实验依据：第六轮记录、第七轮记录。图表数据与逐种子CSV在资产说明，源结果哈希在来源清单。本文不引用已撤回的队友v4作为方法或成绩依据。</w:t>
      </w:r>
    </w:p>
    <w:sectPr w:rsidR="00FC693F" w:rsidRPr="0006063C" w:rsidSect="00034616">
      <w:footerReference w:type="default" r:id="rId13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第六、七轮优化局限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00"/>
    </w:pPr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40" w:lineRule="auto"/>
    </w:pPr>
    <w:rPr>
      <w:rFonts w:ascii="Times New Roman" w:hAnsi="Times New Roman" w:eastAsia="宋体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第六七轮优化局限与失败经验论文片段</dc:title>
  <dc:subject/>
  <dc:creator>python-docx</dc:creator>
  <cp:keywords/>
  <dc:description>Markdown为唯一正文编辑源；图表来自已保存实测结果，未读取test。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