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多模态情感预测项目：三天模块分工与论文写作计划</w:t>
      </w:r>
    </w:p>
    <w:p>
      <w:pPr>
        <w:pStyle w:val="Heading1"/>
      </w:pPr>
      <w:r>
        <w:t>1. 计划前提与目标</w:t>
      </w:r>
    </w:p>
    <w:p>
      <w:pPr>
        <w:pStyle w:val="ListBullet"/>
      </w:pPr>
      <w:r>
        <w:t>总工期为3天，按每人每天约12小时有效工作时间安排，休息另计。文中的小时均为当天累计有效工作时间。</w:t>
      </w:r>
    </w:p>
    <w:p>
      <w:pPr>
        <w:pStyle w:val="ListBullet"/>
      </w:pPr>
      <w:r>
        <w:t>问题1已有代码跑通，不重新开发；先确认是否覆盖全部100条样本，以及输出是否满足题目要求，再补齐结果与论文。</w:t>
      </w:r>
    </w:p>
    <w:p>
      <w:pPr>
        <w:pStyle w:val="ListBullet"/>
      </w:pPr>
      <w:r>
        <w:t>问题2、3并行推进，共用数据读取、基础融合与评估代码，各自维护专项策略、配置和模型权重。</w:t>
      </w:r>
    </w:p>
    <w:p>
      <w:pPr>
        <w:pStyle w:val="ListBullet"/>
      </w:pPr>
      <w:r>
        <w:t>写论文属于正式工期：第1天形成方法正文，第2天完成全文初稿，第3天完成最终结果更新、统稿和提交检查。</w:t>
      </w:r>
    </w:p>
    <w:p>
      <w:pPr>
        <w:pStyle w:val="ListBullet"/>
      </w:pPr>
      <w:r>
        <w:t>优先确保题目要求全部交付，再开展有限的性能优化。第2天结束后不增加新的模型路线。</w:t>
      </w:r>
    </w:p>
    <w:p>
      <w:pPr>
        <w:pStyle w:val="Heading1"/>
      </w:pPr>
      <w:r>
        <w:t>2. 人员角色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人员</w:t>
            </w:r>
          </w:p>
        </w:tc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研究方向</w:t>
            </w:r>
          </w:p>
        </w:tc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主要职责</w:t>
            </w:r>
          </w:p>
        </w:tc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写作与协作职责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A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计算机视觉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问题1成果核查、时间映射、视频证据定位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撰写特征与对齐内容，负责公共章节及全文统稿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B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多模态图像处理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统一数据接口、融合基线、模态贡献与局部解释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撰写融合与解释内容，为C提供共享模型接口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智能优化算法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局部缺失建模、鲁棒训练、有限参数搜索、统一评估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撰写鲁棒性与实验分析内容，管理实验记录及提交包</w:t>
            </w:r>
          </w:p>
        </w:tc>
      </w:tr>
    </w:tbl>
    <w:p/>
    <w:p>
      <w:r>
        <w:t>若问题1现有代码由其他组员完成，原负责人向A交接代码、配置、运行环境和输出结果，不重复实现。</w:t>
      </w:r>
    </w:p>
    <w:p>
      <w:pPr>
        <w:pStyle w:val="Heading1"/>
      </w:pPr>
      <w:r>
        <w:t>3. 数据使用边界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数据</w:t>
            </w:r>
          </w:p>
        </w:tc>
        <w:tc>
          <w:tcPr>
            <w:tcW w:type="dxa" w:w="3364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使用模块</w:t>
            </w:r>
          </w:p>
        </w:tc>
        <w:tc>
          <w:tcPr>
            <w:tcW w:type="dxa" w:w="3364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用途与约束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附件1：100条原始视频及转写、标签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M2、M3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问题1特征提取、时间对齐与结果展示；不得擅自增删或替换样本及标签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附件2：标准化特征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M1、M4、M5、M6、M7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问题2、3使用train训练、valid选择结构和参数；建议保留test用于最终独立评估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附件3：局部缺失专项样本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M1、M5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所选版本30条样本的最终推理，不用于训练或调参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附件4：完整模态专项样本与视频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M1、M3、M6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所选版本20条样本的最终预测、解释及视频证据核查，不用于训练或调参</w:t>
            </w:r>
          </w:p>
        </w:tc>
      </w:tr>
    </w:tbl>
    <w:p/>
    <w:p>
      <w:r>
        <w:t>问题1的方法和代码可以复用，但其100条自生成特征不替代附件2的既定训练数据，也不自行加入问题2、3训练集。</w:t>
      </w:r>
    </w:p>
    <w:p>
      <w:pPr>
        <w:pStyle w:val="Heading1"/>
      </w:pPr>
      <w:r>
        <w:t>4. 模块分工与交付标准</w:t>
      </w:r>
    </w:p>
    <w:p>
      <w:pPr>
        <w:pStyle w:val="Heading2"/>
      </w:pPr>
      <w:r>
        <w:t>M1：数据读取与统一接口</w:t>
      </w:r>
    </w:p>
    <w:p>
      <w:pPr>
        <w:pStyle w:val="ListBullet"/>
      </w:pPr>
      <w:r>
        <w:t>负责人：B；C协助核对附件3。</w:t>
      </w:r>
    </w:p>
    <w:p>
      <w:pPr>
        <w:pStyle w:val="ListBullet"/>
      </w:pPr>
      <w:r>
        <w:t>工作：统一附件2、3、4的读取方式、批次维度、文本输入、标签映射、填充及缺失掩码；跑通专项数据读取。</w:t>
      </w:r>
    </w:p>
    <w:p>
      <w:pPr>
        <w:pStyle w:val="ListBullet"/>
      </w:pPr>
      <w:r>
        <w:t>交付：共用数据加载器、字段说明、可运行的读取示例。</w:t>
      </w:r>
    </w:p>
    <w:p>
      <w:pPr>
        <w:pStyle w:val="ListBullet"/>
      </w:pPr>
      <w:r>
        <w:t>验收：训练数据与两类专项数据均能转换为各自模型所需输入；编号可追溯，标签映射一致。</w:t>
      </w:r>
    </w:p>
    <w:p>
      <w:pPr>
        <w:pStyle w:val="ListBullet"/>
      </w:pPr>
      <w:r>
        <w:t>截止：第1天前4小时。</w:t>
      </w:r>
    </w:p>
    <w:p>
      <w:pPr>
        <w:pStyle w:val="Heading2"/>
      </w:pPr>
      <w:r>
        <w:t>M2：问题1成果核查与补齐</w:t>
      </w:r>
    </w:p>
    <w:p>
      <w:pPr>
        <w:pStyle w:val="ListBullet"/>
      </w:pPr>
      <w:r>
        <w:t>负责人：A。</w:t>
      </w:r>
    </w:p>
    <w:p>
      <w:pPr>
        <w:pStyle w:val="ListBullet"/>
      </w:pPr>
      <w:r>
        <w:t>工作：检查已有代码及全部100条样本输出；补齐维度、有效长度、填充规则、异常处理与日志记录。</w:t>
      </w:r>
    </w:p>
    <w:p>
      <w:pPr>
        <w:pStyle w:val="ListBullet"/>
      </w:pPr>
      <w:r>
        <w:t>交付：100条特征文件、全量结果汇总表、处理记录和复现说明。</w:t>
      </w:r>
    </w:p>
    <w:p>
      <w:pPr>
        <w:pStyle w:val="ListBullet"/>
      </w:pPr>
      <w:r>
        <w:t>验收：样本与特征一一对应，无遗漏；异常处理有依据，保留原始样本。</w:t>
      </w:r>
    </w:p>
    <w:p>
      <w:pPr>
        <w:pStyle w:val="ListBullet"/>
      </w:pPr>
      <w:r>
        <w:t>截止：第1天结束。</w:t>
      </w:r>
    </w:p>
    <w:p>
      <w:pPr>
        <w:pStyle w:val="Heading2"/>
      </w:pPr>
      <w:r>
        <w:t>M3：时间映射与视频证据定位</w:t>
      </w:r>
    </w:p>
    <w:p>
      <w:pPr>
        <w:pStyle w:val="ListBullet"/>
      </w:pPr>
      <w:r>
        <w:t>负责人：A；B协助定义接口。</w:t>
      </w:r>
    </w:p>
    <w:p>
      <w:pPr>
        <w:pStyle w:val="ListBullet"/>
      </w:pPr>
      <w:r>
        <w:t>工作：整理问题1典型对齐案例；为问题3建立并核查关键位置到文本、语音时段和视频帧的映射。</w:t>
      </w:r>
    </w:p>
    <w:p>
      <w:pPr>
        <w:pStyle w:val="ListBullet"/>
      </w:pPr>
      <w:r>
        <w:t>交付：对齐示例图、证据定位接口、关键帧与时间区间记录。</w:t>
      </w:r>
    </w:p>
    <w:p>
      <w:pPr>
        <w:pStyle w:val="ListBullet"/>
      </w:pPr>
      <w:r>
        <w:t>验收：展示的证据能回查原视频；不将特征序号直接当作秒数；无法精确映射时说明精度和限制。</w:t>
      </w:r>
    </w:p>
    <w:p>
      <w:pPr>
        <w:pStyle w:val="ListBullet"/>
      </w:pPr>
      <w:r>
        <w:t>截止：第2天前半天。</w:t>
      </w:r>
    </w:p>
    <w:p>
      <w:pPr>
        <w:pStyle w:val="Heading2"/>
      </w:pPr>
      <w:r>
        <w:t>M4：共用融合基线</w:t>
      </w:r>
    </w:p>
    <w:p>
      <w:pPr>
        <w:pStyle w:val="ListBullet"/>
      </w:pPr>
      <w:r>
        <w:t>负责人：B。</w:t>
      </w:r>
    </w:p>
    <w:p>
      <w:pPr>
        <w:pStyle w:val="ListBullet"/>
      </w:pPr>
      <w:r>
        <w:t>工作：实现三模态编码、融合、分类与回归输出；提供统一训练、验证和推理入口。</w:t>
      </w:r>
    </w:p>
    <w:p>
      <w:pPr>
        <w:pStyle w:val="ListBullet"/>
      </w:pPr>
      <w:r>
        <w:t>交付：可运行基线、模型接口说明、配置与基线权重。</w:t>
      </w:r>
    </w:p>
    <w:p>
      <w:pPr>
        <w:pStyle w:val="ListBullet"/>
      </w:pPr>
      <w:r>
        <w:t>验收：附件2训练与验证流程完整，指标可复现；C能够通过独立模块或配置接入缺失策略。</w:t>
      </w:r>
    </w:p>
    <w:p>
      <w:pPr>
        <w:pStyle w:val="ListBullet"/>
      </w:pPr>
      <w:r>
        <w:t>截止：第1天结束。</w:t>
      </w:r>
    </w:p>
    <w:p>
      <w:pPr>
        <w:pStyle w:val="Heading2"/>
      </w:pPr>
      <w:r>
        <w:t>M5：局部缺失与鲁棒训练</w:t>
      </w:r>
    </w:p>
    <w:p>
      <w:pPr>
        <w:pStyle w:val="ListBullet"/>
      </w:pPr>
      <w:r>
        <w:t>负责人：C。</w:t>
      </w:r>
    </w:p>
    <w:p>
      <w:pPr>
        <w:pStyle w:val="ListBullet"/>
      </w:pPr>
      <w:r>
        <w:t>工作：构造有效区间内的连续局部缺失，区分填充与缺失；实现鲁棒训练，开展有限参数搜索；分析缺失模态、位置及持续长度的影响。</w:t>
      </w:r>
    </w:p>
    <w:p>
      <w:pPr>
        <w:pStyle w:val="ListBullet"/>
      </w:pPr>
      <w:r>
        <w:t>交付：缺失生成器、鲁棒模型、实验配置、附件3全量预测CSV。</w:t>
      </w:r>
    </w:p>
    <w:p>
      <w:pPr>
        <w:pStyle w:val="ListBullet"/>
      </w:pPr>
      <w:r>
        <w:t>验收：与共用基线有可比实验；专项结果覆盖所选版本全部30条样本，不使用专项样本调参。</w:t>
      </w:r>
    </w:p>
    <w:p>
      <w:pPr>
        <w:pStyle w:val="ListBullet"/>
      </w:pPr>
      <w:r>
        <w:t>截止：第2天完成模型与主要实验，第3天前3小时锁定最终预测。</w:t>
      </w:r>
    </w:p>
    <w:p>
      <w:pPr>
        <w:pStyle w:val="Heading2"/>
      </w:pPr>
      <w:r>
        <w:t>M6：模态贡献与局部解释</w:t>
      </w:r>
    </w:p>
    <w:p>
      <w:pPr>
        <w:pStyle w:val="ListBullet"/>
      </w:pPr>
      <w:r>
        <w:t>负责人：B；A提供时间映射与视频证据。</w:t>
      </w:r>
    </w:p>
    <w:p>
      <w:pPr>
        <w:pStyle w:val="ListBullet"/>
      </w:pPr>
      <w:r>
        <w:t>工作：输出三模态作用程度、主要参考模态和局部重要位置；制作解释卡；通过遮挡重要片段等实验核查解释是否影响预测。</w:t>
      </w:r>
    </w:p>
    <w:p>
      <w:pPr>
        <w:pStyle w:val="ListBullet"/>
      </w:pPr>
      <w:r>
        <w:t>交付：解释模块、典型解释卡、局部重要性图、附件4全量预测与解释CSV。</w:t>
      </w:r>
    </w:p>
    <w:p>
      <w:pPr>
        <w:pStyle w:val="ListBullet"/>
      </w:pPr>
      <w:r>
        <w:t>验收：覆盖所选版本全部20条样本；预测、模态贡献和证据对应一致；不只凭注意力图宣称解释有效。</w:t>
      </w:r>
    </w:p>
    <w:p>
      <w:pPr>
        <w:pStyle w:val="ListBullet"/>
      </w:pPr>
      <w:r>
        <w:t>截止：第2天完成主要方法与实验，第3天前3小时锁定最终结果。</w:t>
      </w:r>
    </w:p>
    <w:p>
      <w:pPr>
        <w:pStyle w:val="Heading2"/>
      </w:pPr>
      <w:r>
        <w:t>M7：统一评估与实验管理</w:t>
      </w:r>
    </w:p>
    <w:p>
      <w:pPr>
        <w:pStyle w:val="ListBullet"/>
      </w:pPr>
      <w:r>
        <w:t>负责人：C；B提供解释实验结果。</w:t>
      </w:r>
    </w:p>
    <w:p>
      <w:pPr>
        <w:pStyle w:val="ListBullet"/>
      </w:pPr>
      <w:r>
        <w:t>工作：统一Accuracy、F1、MAE、皮尔逊相关系数的计算；明确F1平均方式；记录配置、随机种子、数据版本、权重与指标。</w:t>
      </w:r>
    </w:p>
    <w:p>
      <w:pPr>
        <w:pStyle w:val="ListBullet"/>
      </w:pPr>
      <w:r>
        <w:t>交付：评估脚本、实验记录、基线与消融表、缺失规律图。</w:t>
      </w:r>
    </w:p>
    <w:p>
      <w:pPr>
        <w:pStyle w:val="ListBullet"/>
      </w:pPr>
      <w:r>
        <w:t>验收：实验可比较，表格与实际输出一致；模型结构、参数和阈值选择只依据验证集。</w:t>
      </w:r>
    </w:p>
    <w:p>
      <w:pPr>
        <w:pStyle w:val="ListBullet"/>
      </w:pPr>
      <w:r>
        <w:t>截止：第1天建立流程，第2天完成主要实验。</w:t>
      </w:r>
    </w:p>
    <w:p>
      <w:pPr>
        <w:pStyle w:val="Heading2"/>
      </w:pPr>
      <w:r>
        <w:t>M8：论文、图表与提交</w:t>
      </w:r>
    </w:p>
    <w:p>
      <w:pPr>
        <w:pStyle w:val="ListBullet"/>
      </w:pPr>
      <w:r>
        <w:t>负责人：A统稿，三人分写；C负责提交包整理。</w:t>
      </w:r>
    </w:p>
    <w:p>
      <w:pPr>
        <w:pStyle w:val="ListBullet"/>
      </w:pPr>
      <w:r>
        <w:t>工作：模块负责人提交方法、公式、参数、图表、结果分析与局限；统一术语和编号；检查复现、匿名及体积要求。</w:t>
      </w:r>
    </w:p>
    <w:p>
      <w:pPr>
        <w:pStyle w:val="ListBullet"/>
      </w:pPr>
      <w:r>
        <w:t>交付：论文、运行说明、代码、必要配置与模型参数、自生成特征、专项结果CSV。</w:t>
      </w:r>
    </w:p>
    <w:p>
      <w:pPr>
        <w:pStyle w:val="ListBullet"/>
      </w:pPr>
      <w:r>
        <w:t>验收：正文完整回应三问，论述有实验依据；提交材料可复现，附件总大小不超过50MB。</w:t>
      </w:r>
    </w:p>
    <w:p>
      <w:pPr>
        <w:pStyle w:val="ListBullet"/>
      </w:pPr>
      <w:r>
        <w:t>截止：第2天完整初稿，第3天定稿。</w:t>
      </w:r>
    </w:p>
    <w:p>
      <w:pPr>
        <w:pStyle w:val="Heading1"/>
      </w:pPr>
      <w:r>
        <w:t>5. 三天工期表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时间</w:t>
            </w:r>
          </w:p>
        </w:tc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A：特征、时间映射、统稿</w:t>
            </w:r>
          </w:p>
        </w:tc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B：接口、融合、解释</w:t>
            </w:r>
          </w:p>
        </w:tc>
        <w:tc>
          <w:tcPr>
            <w:tcW w:type="dxa" w:w="2523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C：缺失、评估、实验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第1天1—4小时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核查问题1代码及输出；建立论文模板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完成数据接口，跑通附件4读取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核对附件3；建立评估与实验配置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第1天5—8小时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补齐100条汇总表、对齐图及处理记录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完成融合基线训练与推理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实现连续缺失及掩码，接入基线训练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第1天9—12小时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写问题1方法、结果与复现说明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写数据表示、融合结构和目标函数；检查基线结果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写缺失定义、训练策略、评价与实验设置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第2天1—4小时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完成附件4证据时间映射，交给B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完成模态贡献与局部解释模块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完成鲁棒训练和有限参数优化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第2天5—8小时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制作关键帧与对齐图；写公共章节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完成解释核查、模态对照及典型案例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完成缺失类型、位置、时长实验及消融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第2天9—12小时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合并全文，检查缺项、符号和图表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写解释方法、结果分析、案例和局限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写性能对比、缺失规律、消融和错误分析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第3天1—3小时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核查问题1文件与证据展示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固定模型，生成附件4全部最终结果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固定模型，生成附件3全部最终结果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第3天4—6小时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统稿，写摘要和结论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更新最终数值与图表；审阅鲁棒模块章节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更新最终数值与图表；审阅特征与对齐章节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第3天7—9小时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统一格式、引用、公式和编号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核查解释与视频对应关系，完善运行说明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最小复现、文件体积检查与打包</w:t>
            </w:r>
          </w:p>
        </w:tc>
      </w:tr>
      <w:tr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第3天10—12小时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论文终审与修错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预测、解释及结果文件终审</w:t>
            </w:r>
          </w:p>
        </w:tc>
        <w:tc>
          <w:tcPr>
            <w:tcW w:type="dxa" w:w="2523"/>
          </w:tcPr>
          <w:p>
            <w:pPr>
              <w:spacing w:after="60"/>
            </w:pPr>
            <w:r>
              <w:rPr>
                <w:sz w:val="17"/>
              </w:rPr>
              <w:t>提交材料终审、匿名检查与备份</w:t>
            </w:r>
          </w:p>
        </w:tc>
      </w:tr>
    </w:tbl>
    <w:p/>
    <w:p>
      <w:r>
        <w:t>训练运行期间可同步写已确定的方法和实验设置；结果分析必须依据真实输出。模型运行时长可能变化，应优先缩减可选实验，不挤占最后的论文与检查时间。</w:t>
      </w:r>
    </w:p>
    <w:p>
      <w:pPr>
        <w:pStyle w:val="Heading1"/>
      </w:pPr>
      <w:r>
        <w:t>6. 论文写作分工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/>
        </w:trPr>
        <w:tc>
          <w:tcPr>
            <w:tcW w:type="dxa" w:w="3364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论文内容</w:t>
            </w:r>
          </w:p>
        </w:tc>
        <w:tc>
          <w:tcPr>
            <w:tcW w:type="dxa" w:w="3364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负责人</w:t>
            </w:r>
          </w:p>
        </w:tc>
        <w:tc>
          <w:tcPr>
            <w:tcW w:type="dxa" w:w="3364"/>
            <w:shd w:fill="E8EEF5"/>
          </w:tcPr>
          <w:p>
            <w:pPr>
              <w:spacing w:after="60"/>
            </w:pPr>
            <w:r>
              <w:rPr>
                <w:b/>
                <w:sz w:val="17"/>
              </w:rPr>
              <w:t>初稿时间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特征提取、时间对齐、100条汇总与对齐案例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A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第1天结束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数据表示、融合结构、目标函数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B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第1天结束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缺失定义、鲁棒训练与实验设置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第1天结束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模态贡献、局部证据、解释案例及局限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B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第2天结束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性能对比、缺失规律、消融及错误分析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C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第2天结束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问题重述、总体分析、符号说明、公共章节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A组织，B/C补充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第2天结束</w:t>
            </w:r>
          </w:p>
        </w:tc>
      </w:tr>
      <w:tr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摘要、结论、术语与格式统一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A组织，三人核查</w:t>
            </w:r>
          </w:p>
        </w:tc>
        <w:tc>
          <w:tcPr>
            <w:tcW w:type="dxa" w:w="3364"/>
          </w:tcPr>
          <w:p>
            <w:pPr>
              <w:spacing w:after="60"/>
            </w:pPr>
            <w:r>
              <w:rPr>
                <w:sz w:val="17"/>
              </w:rPr>
              <w:t>第3天</w:t>
            </w:r>
          </w:p>
        </w:tc>
      </w:tr>
    </w:tbl>
    <w:p/>
    <w:p>
      <w:r>
        <w:t>第1、2天均明确预留末尾4小时用于正文与图表整理，第3天4—9小时用于最终结果更新、统稿和审阅。各负责人按章节交付文字，A负责整合，不代替其他负责人从代码中重新推导并补写方法。</w:t>
      </w:r>
    </w:p>
    <w:p>
      <w:r>
        <w:t>每个模块交接至少包含：输入输出说明、方法和必要公式、实际参数、结果表或图、局限、复现入口。建议章节分文件编辑，由A统一合并。</w:t>
      </w:r>
    </w:p>
    <w:p>
      <w:pPr>
        <w:pStyle w:val="Heading1"/>
      </w:pPr>
      <w:r>
        <w:t>7. 模块协作与技术约定</w:t>
      </w:r>
    </w:p>
    <w:p>
      <w:r>
        <w:t>1. B维护数据接口和基础模型，C通过独立模块或配置加入缺失策略；避免同时修改同一核心文件。问题2、3各自保存专项模型权重。</w:t>
      </w:r>
    </w:p>
    <w:p>
      <w:r>
        <w:t>2. A负责“特征位置对应原视频哪里”，B负责“哪些位置重要及其贡献如何计算”。两者提前统一样本编号、时间单位、区间格式和返回字段。</w:t>
      </w:r>
    </w:p>
    <w:p>
      <w:r>
        <w:t>3. 优先使用对齐版建立完整方案。附件3对齐版只有text_bert、audio、vision，没有预计算text；第一天必须确定文本编码路线，并核实编码器与词表兼容性。问题2不能只训练依赖text的接口。</w:t>
      </w:r>
    </w:p>
    <w:p>
      <w:r>
        <w:t>4. 训练、验证和相应专项推理保持同一特征版本。若使用未对齐版，需额外处理附件3缺少有效长度字段、仅提供raw_text等差异。</w:t>
      </w:r>
    </w:p>
    <w:p>
      <w:r>
        <w:t>5. 不能把全部全零行直接当作人为缺失；有效区间、填充与原始无效位置必须有明确处理规则。</w:t>
      </w:r>
    </w:p>
    <w:p>
      <w:r>
        <w:t>6. 分类标签映射统一为0=负向、1=中性、2=正向；回归强度范围为[-3,3]。所有结果使用可追溯的样本编号。</w:t>
      </w:r>
    </w:p>
    <w:p>
      <w:r>
        <w:t>7. 结果CSV提前定义字段。附件3建议包含编号、预测极性和预测强度；附件4另含主要参考模态、各模态贡献及证据位置。该字段方案为项目内部约定，最终提交前核对是否有补充格式要求。</w:t>
      </w:r>
    </w:p>
    <w:p>
      <w:r>
        <w:t>8. 第1天估算特征及权重体积，避免最后才发现超过50MB。仅提交题目要求的核心材料，保持可复现性。</w:t>
      </w:r>
    </w:p>
    <w:p>
      <w:pPr>
        <w:pStyle w:val="Heading1"/>
      </w:pPr>
      <w:r>
        <w:t>8. 里程碑与范围控制</w:t>
      </w:r>
    </w:p>
    <w:p>
      <w:pPr>
        <w:pStyle w:val="Heading2"/>
      </w:pPr>
      <w:r>
        <w:t>第1天结束</w:t>
      </w:r>
    </w:p>
    <w:p>
      <w:pPr>
        <w:pStyle w:val="ListBullet"/>
      </w:pPr>
      <w:r>
        <w:t>问题1成果覆盖检查完成，问题1正文形成完整初稿。</w:t>
      </w:r>
    </w:p>
    <w:p>
      <w:pPr>
        <w:pStyle w:val="ListBullet"/>
      </w:pPr>
      <w:r>
        <w:t>问题2、3最小训练与推理流程运行，专项输入接口经过检查。</w:t>
      </w:r>
    </w:p>
    <w:p>
      <w:pPr>
        <w:pStyle w:val="ListBullet"/>
      </w:pPr>
      <w:r>
        <w:t>融合、缺失及评估方法已有正文，实验配置有记录。</w:t>
      </w:r>
    </w:p>
    <w:p>
      <w:pPr>
        <w:pStyle w:val="Heading2"/>
      </w:pPr>
      <w:r>
        <w:t>第2天结束</w:t>
      </w:r>
    </w:p>
    <w:p>
      <w:pPr>
        <w:pStyle w:val="ListBullet"/>
      </w:pPr>
      <w:r>
        <w:t>三问核心方法与主要实验完成，关键图表齐备。</w:t>
      </w:r>
    </w:p>
    <w:p>
      <w:pPr>
        <w:pStyle w:val="ListBullet"/>
      </w:pPr>
      <w:r>
        <w:t>全文初稿完整，不留只有标题而无内容的章节。</w:t>
      </w:r>
    </w:p>
    <w:p>
      <w:pPr>
        <w:pStyle w:val="ListBullet"/>
      </w:pPr>
      <w:r>
        <w:t>停止增加模型路线，只允许修错、补必要证据及完成最终推理。</w:t>
      </w:r>
    </w:p>
    <w:p>
      <w:pPr>
        <w:pStyle w:val="Heading2"/>
      </w:pPr>
      <w:r>
        <w:t>第3天结束</w:t>
      </w:r>
    </w:p>
    <w:p>
      <w:pPr>
        <w:pStyle w:val="ListBullet"/>
      </w:pPr>
      <w:r>
        <w:t>100条自生成特征、附件3预测、附件4预测与解释全部齐备。</w:t>
      </w:r>
    </w:p>
    <w:p>
      <w:pPr>
        <w:pStyle w:val="ListBullet"/>
      </w:pPr>
      <w:r>
        <w:t>论文与结果文件一致，复现入口可运行。</w:t>
      </w:r>
    </w:p>
    <w:p>
      <w:pPr>
        <w:pStyle w:val="ListBullet"/>
      </w:pPr>
      <w:r>
        <w:t>完成体积、匿名、文件完整性与备份检查。</w:t>
      </w:r>
    </w:p>
    <w:p>
      <w:pPr>
        <w:pStyle w:val="Heading2"/>
      </w:pPr>
      <w:r>
        <w:t>时间不足时的取舍</w:t>
      </w:r>
    </w:p>
    <w:p>
      <w:pPr>
        <w:pStyle w:val="ListBullet"/>
      </w:pPr>
      <w:r>
        <w:t>必须保留：全部样本输出、基线对照、核心缺失实验、解释与原素材对应、三问完整正文及复现材料。</w:t>
      </w:r>
    </w:p>
    <w:p>
      <w:pPr>
        <w:pStyle w:val="ListBullet"/>
      </w:pPr>
      <w:r>
        <w:t>优先缩减：多种特征提取器比较、大范围参数搜索、复杂新模型、多套解释方法及装饰性可视化。</w:t>
      </w:r>
    </w:p>
    <w:p>
      <w:pPr>
        <w:pStyle w:val="ListBullet"/>
      </w:pPr>
      <w:r>
        <w:t>不因追求小幅指标提升挤占统稿时间，不用未经运行验证的结果替代实验。</w:t>
      </w:r>
    </w:p>
    <w:p>
      <w:r>
        <w:t>每天开始和结束各安排约15分钟同步，计入当天工时。同步仅确认已交付文件、接口阻塞、当天关键目标及需要调整的实验范围。</w:t>
      </w:r>
    </w:p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