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UI/UX Design Guidelines</w:t>
      </w:r>
    </w:p>
    <w:p>
      <w:pPr>
        <w:jc w:val="center"/>
      </w:pPr>
      <w:r>
        <w:rPr>
          <w:b/>
          <w:sz w:val="28"/>
        </w:rPr>
        <w:t>Project 6: Factors Influencing Student Performance</w:t>
      </w:r>
    </w:p>
    <w:p>
      <w:pPr>
        <w:pStyle w:val="Heading1"/>
      </w:pPr>
      <w:r>
        <w:t>1. Design Philosophy</w:t>
      </w:r>
    </w:p>
    <w:p>
      <w:r>
        <w:t>The UI design follows a "Clean &amp; Analytical" philosophy. Since the system is dedicated to educational data analysis, the interface is designed to minimize cognitive load while maximizing data visibility. The layout uses a modular card-based system to separate different analytical metrics clearly.</w:t>
      </w:r>
    </w:p>
    <w:p>
      <w:pPr>
        <w:pStyle w:val="Heading1"/>
      </w:pPr>
      <w:r>
        <w:t>2. Color Palette</w:t>
      </w:r>
    </w:p>
    <w:p>
      <w:r>
        <w:t>The color scheme was selected to evoke professional stability and trust, common in academic and data-centric applications.</w:t>
      </w:r>
    </w:p>
    <w:p>
      <w:pPr>
        <w:pStyle w:val="ListBullet"/>
      </w:pPr>
      <w:r>
        <w:rPr>
          <w:b/>
        </w:rPr>
        <w:t xml:space="preserve">Primary Navy (#1A5F7A): </w:t>
      </w:r>
      <w:r>
        <w:t>Used for headers and primary navigation to provide a strong sense of structure.</w:t>
      </w:r>
    </w:p>
    <w:p>
      <w:pPr>
        <w:pStyle w:val="ListBullet"/>
      </w:pPr>
      <w:r>
        <w:rPr>
          <w:b/>
        </w:rPr>
        <w:t xml:space="preserve">Action Blue (#1597BB): </w:t>
      </w:r>
      <w:r>
        <w:t>Used for buttons, links, and interactive elements to guide the user’s eye.</w:t>
      </w:r>
    </w:p>
    <w:p>
      <w:pPr>
        <w:pStyle w:val="ListBullet"/>
      </w:pPr>
      <w:r>
        <w:rPr>
          <w:b/>
        </w:rPr>
        <w:t xml:space="preserve">Success Green (#2E7D32): </w:t>
      </w:r>
      <w:r>
        <w:t>Used in charts and status indicators to represent positive performance trends.</w:t>
      </w:r>
    </w:p>
    <w:p>
      <w:pPr>
        <w:pStyle w:val="ListBullet"/>
      </w:pPr>
      <w:r>
        <w:rPr>
          <w:b/>
        </w:rPr>
        <w:t xml:space="preserve">Background Gray (#F4F3EF): </w:t>
      </w:r>
      <w:r>
        <w:t>A soft, off-white gray used for the background to reduce eye strain during long analysis sessions.</w:t>
      </w:r>
    </w:p>
    <w:p>
      <w:pPr>
        <w:pStyle w:val="Heading1"/>
      </w:pPr>
      <w:r>
        <w:t>3. Typography</w:t>
      </w:r>
    </w:p>
    <w:p>
      <w:r>
        <w:t>We utilize "Segoe UI" (or similar Sans-Serif fonts) for its excellent readability on digital screens. Heading styles are bolded and larger to create a clear visual hierarchy, allowing users to scan reports quickly.</w:t>
      </w:r>
    </w:p>
    <w:p>
      <w:pPr>
        <w:pStyle w:val="Heading1"/>
      </w:pPr>
      <w:r>
        <w:t>4. Layout &amp; Components</w:t>
      </w:r>
    </w:p>
    <w:p>
      <w:r>
        <w:t>The Dashboard (as seen in the mockups) consists of three primary zones:</w:t>
      </w:r>
    </w:p>
    <w:p>
      <w:pPr>
        <w:pStyle w:val="ListBullet"/>
      </w:pPr>
      <w:r>
        <w:rPr>
          <w:b/>
        </w:rPr>
        <w:t xml:space="preserve">Top Metric Bar: </w:t>
      </w:r>
      <w:r>
        <w:t>Quick glance at total students, average grades, and attendance rates.</w:t>
      </w:r>
    </w:p>
    <w:p>
      <w:pPr>
        <w:pStyle w:val="ListBullet"/>
      </w:pPr>
      <w:r>
        <w:rPr>
          <w:b/>
        </w:rPr>
        <w:t xml:space="preserve">Central Analytics Area: </w:t>
      </w:r>
      <w:r>
        <w:t>Interactive charts (Bar and Line) showing correlations between study time and performance.</w:t>
      </w:r>
    </w:p>
    <w:p>
      <w:pPr>
        <w:pStyle w:val="ListBullet"/>
      </w:pPr>
      <w:r>
        <w:rPr>
          <w:b/>
        </w:rPr>
        <w:t xml:space="preserve">Side Navigation: </w:t>
      </w:r>
      <w:r>
        <w:t>Easy access to data import tools, student profiles, and API documentation.</w:t>
      </w:r>
    </w:p>
    <w:p>
      <w:pPr>
        <w:pStyle w:val="Heading1"/>
      </w:pPr>
      <w:r>
        <w:t>5. Accessibility</w:t>
      </w:r>
    </w:p>
    <w:p>
      <w:r>
        <w:t>The design ensures high contrast ratios between text and background. Interactive elements include hover states to provide visual feedback, ensuring the system is usable for a diverse range of educational administrators.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 Member 6 - UI/UX Design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