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Assessment &amp; Mitigation Plan</w:t>
      </w:r>
    </w:p>
    <w:p>
      <w:pPr>
        <w:jc w:val="center"/>
      </w:pPr>
      <w:r>
        <w:rPr>
          <w:b/>
          <w:sz w:val="24"/>
        </w:rPr>
        <w:t>Project 6: Factors Influencing Student Performance with SQL</w:t>
      </w:r>
    </w:p>
    <w:p>
      <w:pPr>
        <w:pStyle w:val="Heading1"/>
      </w:pPr>
      <w:r>
        <w:t>1. Overview</w:t>
      </w:r>
    </w:p>
    <w:p>
      <w:r>
        <w:t>The purpose of this document is to identify potential risks that could impact the successful completion of Project 6 and to define proactive strategies to mitigate these risks.</w:t>
      </w:r>
    </w:p>
    <w:p>
      <w:pPr>
        <w:pStyle w:val="Heading1"/>
      </w:pPr>
      <w:r>
        <w:t>2.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r>
              <w:t>Tight Deadline (Thursday)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Strict adherence to the Gantt chart and daily progress syncs by the PM.</w:t>
            </w:r>
          </w:p>
        </w:tc>
      </w:tr>
      <w:tr>
        <w:tc>
          <w:tcPr>
            <w:tcW w:type="dxa" w:w="2160"/>
          </w:tcPr>
          <w:p>
            <w:r>
              <w:t>Database Connectivity Issues</w:t>
            </w:r>
          </w:p>
        </w:tc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local PostgreSQL backups and containerize the environment with Docker.</w:t>
            </w:r>
          </w:p>
        </w:tc>
      </w:tr>
      <w:tr>
        <w:tc>
          <w:tcPr>
            <w:tcW w:type="dxa" w:w="2160"/>
          </w:tcPr>
          <w:p>
            <w:r>
              <w:t>Inconsistent Data Quality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Member 4 (DB Engineer) to implement robust data cleaning and validation scripts.</w:t>
            </w:r>
          </w:p>
        </w:tc>
      </w:tr>
      <w:tr>
        <w:tc>
          <w:tcPr>
            <w:tcW w:type="dxa" w:w="2160"/>
          </w:tcPr>
          <w:p>
            <w:r>
              <w:t>Integration Conflicts</w:t>
            </w:r>
          </w:p>
        </w:tc>
        <w:tc>
          <w:tcPr>
            <w:tcW w:type="dxa" w:w="2160"/>
          </w:tcPr>
          <w:p>
            <w:r>
              <w:t>Collaboration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All members must use the shared Google Drive folder with clear versioning (e.g., v1, v2).</w:t>
            </w:r>
          </w:p>
        </w:tc>
      </w:tr>
      <w:tr>
        <w:tc>
          <w:tcPr>
            <w:tcW w:type="dxa" w:w="2160"/>
          </w:tcPr>
          <w:p>
            <w:r>
              <w:t>Stakeholder Requirement Change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Freeze requirements after Member 2 completes the SRS document.</w:t>
            </w:r>
          </w:p>
        </w:tc>
      </w:tr>
      <w:tr>
        <w:tc>
          <w:tcPr>
            <w:tcW w:type="dxa" w:w="2160"/>
          </w:tcPr>
          <w:p>
            <w:r>
              <w:t>Team Member Absence</w:t>
            </w:r>
          </w:p>
        </w:tc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Cross-training: Documentation for each role is shared so another member can assist.</w:t>
            </w:r>
          </w:p>
        </w:tc>
      </w:tr>
    </w:tbl>
    <w:p>
      <w:pPr>
        <w:pStyle w:val="Heading1"/>
      </w:pPr>
      <w:r>
        <w:t>3. Monitoring &amp; Review</w:t>
      </w:r>
    </w:p>
    <w:p>
      <w:r>
        <w:t>The Project Manager will review this Risk Assessment daily until the final submission on Thursday. Any emerging risks will be communicated immediately via the team communication channel.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Project 6 Management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