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Fonts w:ascii="Arial" w:hAnsi="Arial"/>
          <w:rtl/>
          <w:lang w:bidi="he-IL"/>
        </w:rPr>
        <w:t>VIGMIS — מבנה משפטי ותאגידי</w:t>
      </w:r>
    </w:p>
    <w:p>
      <w:pPr>
        <w:bidi/>
        <w:jc w:val="right"/>
      </w:pPr>
      <w:r>
        <w:rPr>
          <w:rFonts w:ascii="Arial" w:hAnsi="Arial"/>
          <w:i/>
          <w:sz w:val="26"/>
          <w:rtl/>
          <w:lang w:bidi="he-IL"/>
        </w:rPr>
        <w:t>סיכום מנהלים — גרסה מלאה</w:t>
      </w:r>
    </w:p>
    <w:p>
      <w:pPr>
        <w:bidi/>
        <w:jc w:val="right"/>
      </w:pPr>
      <w:r>
        <w:rPr>
          <w:rFonts w:ascii="Arial" w:hAnsi="Arial"/>
          <w:color w:val="94A3B8"/>
          <w:sz w:val="18"/>
          <w:rtl/>
          <w:lang w:bidi="he-IL"/>
        </w:rPr>
        <w:t>תאריך עריכה: יוני 2026   |   מוכן על ידי: עמיחי קרופיק, מייסד   |   סטטוס: טיוטת עבודה</w:t>
      </w:r>
    </w:p>
    <w:p>
      <w:pPr>
        <w:spacing w:before="80" w:after="80"/>
        <w:pBdr>
          <w:bottom w:val="single" w:sz="6" w:space="1" w:color="94A3B8"/>
        </w:pBdr>
      </w:pP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1. רקע ומטרת המסמך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מסמך זה מתאר את המבנה התאגידי שנבחר עבור פעילות VIGMIS, מנמק את ההחלטות שהתקבלו, ומשמש כבסיס לעבודה מול יועצים משפטיים, רואי חשבון ורשויות מס בישראל ובארצות הברית.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VIGMIS היא פלטפורמת SaaS לניהול שיווק דיגיטלי מבוסס AI, המיועדת לעסקים ברחבי העולם. הפלטפורמה מציעה יצירת תוכן שיווקי, ניהול קמפיינים, ניתוח ביצועים, ותקשורת עם לקוחות.</w:t>
      </w: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2. הצדדים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2.1 טאורוס מנג'מנט ואינווסטמנטס בע"מ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שדה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פרטים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שם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Taurus Management and Investments Ltd.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מספר חברה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514565118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מדינה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ישראל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כתובת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מובשוביץ בנימין 25, הרצליה 4640525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בעלות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100% — עמיחי קרופיק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תפקיד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חברת אם, בעלת IP</w:t>
            </w:r>
          </w:p>
        </w:tc>
      </w:tr>
    </w:tbl>
    <w:p/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2.2 VIGMIS US LLC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שדה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פרטים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שם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VIGMIS US LLC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מדינה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ארצות הברית — Wyoming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בעלות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100% — Taurus Management and Investments Ltd.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UBO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עמיחי קרופיק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תפקיד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חברת מכירות, גבייה ושיווק</w:t>
            </w:r>
          </w:p>
        </w:tc>
      </w:tr>
    </w:tbl>
    <w:p/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3. מבנה הבעלות</w:t>
      </w:r>
    </w:p>
    <w:p>
      <w:pPr>
        <w:bidi/>
        <w:jc w:val="center"/>
      </w:pPr>
      <w:r>
        <w:rPr>
          <w:rFonts w:ascii="Courier New" w:hAnsi="Courier New"/>
          <w:sz w:val="22"/>
          <w:rtl/>
          <w:lang w:bidi="he-IL"/>
        </w:rPr>
        <w:t>עמיחי קרופיק (פרט)</w:t>
        <w:br/>
        <w:t xml:space="preserve">          |</w:t>
        <w:br/>
        <w:t xml:space="preserve">          | 100%</w:t>
        <w:br/>
        <w:t xml:space="preserve">          v</w:t>
        <w:br/>
        <w:t>Taurus Management and Investments Ltd.</w:t>
        <w:br/>
        <w:t>(Israel — Company No. 514565118)</w:t>
        <w:br/>
        <w:t xml:space="preserve">          |</w:t>
        <w:br/>
        <w:t xml:space="preserve">          | 100%</w:t>
        <w:br/>
        <w:t xml:space="preserve">          v</w:t>
        <w:br/>
        <w:t>VIGMIS US LLC</w:t>
        <w:br/>
        <w:t>(Wyoming, USA)</w:t>
      </w: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4. למה נבחר מבנה זה?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4.1 הצורך בישות אמריקאית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פעילות VIGMIS מחייבת חשבון Stripe וחשבון בנק אמריקאי: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Stripe — מעניק שירות אמין ומלא לחברות אמריקאיות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Google Ads ו-Meta Ads — גבייה ותשלום קל יותר מחשבון בנק אמריקאי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לקוחות גלובליים — חוזים מול ישות אמריקאית עדיפים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שירותי ענן — AWS, Railway, OpenAI — גבייה קלה יותר מישות אמריקאית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4.2 למה Wyoming?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אין מס הכנסה מדינתי — 0% state income tax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עלות הקמה ותפעול נמוכה — כ-$100-150 לשנה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פרטיות גבוהה — אין חובת גילוי שמות בעלים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חוקי LLC מודרניים ובהירים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Registered Agent זמין וזול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4.3 IP נשאר בישראל — למה?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פיתוח מתבצע בישראל — הכרה עתידית בהכנסות R&amp;D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פשטות — העברת IP לארה"ב מחייבת הערכת שווי ומיסוי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הגנה — IP בישות האם מוגן מתביעות נגד ה-LLC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עקביות — כל הצוות והטכנולוגיה בישראל</w:t>
      </w: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5. חלוקת תחומי אחריות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טאורוס ישראל — אחראית על: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תחום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פירוט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פיתוח מוצר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כל הקוד, אדריכלות המערכת, CI/CD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R&amp;D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מחקר ופיתוח AI, מודלים, Prompts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Infrastructure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Railway, Supabase, Cloudflare, R2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AI Providers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OpenAI, Anthropic, OpenRouter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IP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קוד מקור, מותג, דומיינים, לוגו, AI Workflows</w:t>
            </w:r>
          </w:p>
        </w:tc>
      </w:tr>
    </w:tbl>
    <w:p/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VIGMIS US LLC — אחראית על: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תחום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פירוט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גבייה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Stripe — ניהול מנויים, חיובים, Webhooks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בנקאות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Mercury / Relay — חשבון בנק עסקי אמריקאי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מכירות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Onboarding לקוחות, Trials, Conversions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שיווק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Google Ads, Meta Ads, TikTok Ads</w:t>
            </w:r>
          </w:p>
        </w:tc>
      </w:tr>
      <w:tr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חוזים</w:t>
            </w:r>
          </w:p>
        </w:tc>
        <w:tc>
          <w:tcPr>
            <w:tcW w:type="dxa" w:w="4252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הלקוחות חותמים חוזה מול VIGMIS US LLC</w:t>
            </w:r>
          </w:p>
        </w:tc>
      </w:tr>
    </w:tbl>
    <w:p/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5.3 הבסיס הטכנולוגי — כולו בטאורוס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האתר vigmis.com — הדומיין, התוכן, הקוד, ועיצוב הממשק — שייכים לטאורוס. VIGMIS US LLC אינה בעלת האתר. VIGMIS US מורשית להשתמש בשם ובמותג לצורכי שיווק ומכירות בלבד (ראה הסכם בין-חברתי).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כל המנועים הטכנולוגיים פועלים בתשתית טאורוס: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רכיב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מיקום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בעלות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קוד המוצר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Railway (שרתים)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טאורוס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מסד נתונים (Supabase)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ענן EU/US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טאורוס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אחסון קבצים (Cloudflare R2)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ענן גלובלי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טאורוס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מנועי AI (OpenAI, Anthropic)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ספקי צד שלישי — חוזה עם טאורוס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טאורוס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Brand DNA Engine, Prompts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קניין רוחני טאורוס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טאורוס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Google Ads API, Meta API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API calls מתשתית טאורוס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טאורוס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אימות משתמשים (Clerk)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שירות צד שלישי — חוזה עם טאורוס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טאורוס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WhatsApp alerts (Twilio)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שירות צד שלישי — חוזה עם טאורוס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טאורוס</w:t>
            </w:r>
          </w:p>
        </w:tc>
      </w:tr>
    </w:tbl>
    <w:p/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המשמעות המשפטית: VIGMIS US LLC היא ישות שיווקית וגבייה בלבד. היא אינה מפעילה שרתים, אינה מחזיקה מסדי נתונים, ואינה בעלת כל טכנולוגיה. כל ה"מוצר" — מנוע הבינה המלאכותית, הממשק, והדאטה — פועלים תחת תשתית טאורוס ובבעלותה המלאה.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6. מודל הכנסות וחלוקה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6.1 הגדרות</w:t>
      </w:r>
    </w:p>
    <w:p>
      <w:pPr>
        <w:spacing w:after="120"/>
        <w:bidi/>
        <w:jc w:val="right"/>
      </w:pPr>
      <w:r>
        <w:rPr>
          <w:rFonts w:ascii="Arial" w:hAnsi="Arial"/>
          <w:b/>
          <w:rtl/>
          <w:lang w:bidi="he-IL"/>
        </w:rPr>
        <w:t>Gross Revenue</w:t>
      </w:r>
      <w:r>
        <w:rPr>
          <w:rFonts w:ascii="Arial" w:hAnsi="Arial"/>
          <w:rtl/>
          <w:lang w:bidi="he-IL"/>
        </w:rPr>
        <w:t>: סך החיובים ב-Stripe לפני כל ניכוי.</w:t>
      </w:r>
    </w:p>
    <w:p>
      <w:pPr>
        <w:spacing w:after="120"/>
        <w:bidi/>
        <w:jc w:val="right"/>
      </w:pPr>
      <w:r>
        <w:rPr>
          <w:rFonts w:ascii="Arial" w:hAnsi="Arial"/>
          <w:b/>
          <w:rtl/>
          <w:lang w:bidi="he-IL"/>
        </w:rPr>
        <w:t>Net Revenue</w:t>
      </w:r>
      <w:r>
        <w:rPr>
          <w:rFonts w:ascii="Arial" w:hAnsi="Arial"/>
          <w:rtl/>
          <w:lang w:bidi="he-IL"/>
        </w:rPr>
        <w:t xml:space="preserve"> = Gross Revenue - Refunds - Chargebacks - Stripe Processing Fees (כ-2.9% + $0.30)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6.2 חלוקת Net Revenue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צד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אחוז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הצדקה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VIGMIS US LLC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25%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כיסוי עלויות שיווק, מכירות, CRM, תפעול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Taurus Management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75%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תמלוג IP + שירותי פיתוח + תשתית</w:t>
            </w:r>
          </w:p>
        </w:tc>
      </w:tr>
    </w:tbl>
    <w:p/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7. שיקולי מס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7.1 ארצות הברית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Form 5472: חובה ל-Foreign-Owned SMLLC. קנס $25,000 לכל טרנזקציה שלא דווחה. לתאם עם CPA אמריקאי לפני הגשה ראשונה.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Form 1120: VIGMIS US LLC מגישה דוח מס שנתי פדרלי.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Wyoming: אין מס הכנסה מדינתי.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7.2 ישראל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CFC: כללי CFC של רשות המסים עשויים לחייב דיווח על הכנסות VIGMIS US בישראל. לבדוק עם יועץ מס ישראלי.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העברות בין-חברתיות: 75% שמועבר לטאורוס — ניכוי מס במקור כפוף לאמנת המס ישראל-ארה"ב.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Transfer Pricing: ה-75/25 חייב להיות מתועד כ-Arm's Length. ראה הסכם בין-חברתי.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7.3 מע"מ ומסי עקיפין (VAT / GST)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VIGMIS US LLC, כ-Merchant of Record, אחראית על גביית מע"מ מהלקוחות בהתאם לדין החל. הניהול מתבצע דרך Stripe Tax — חישוב, גביה, ודיווח אוטומטיים.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מדינה / אזור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מנגנון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הערה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ישראל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מע"מ 18%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לקוחות B2C ישראלים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האיחוד האירופי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EU VAT OSS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חובה מהלקוח הראשון — אין סף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בריטניה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UK VAT 20%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חובה עם לקוח ראשון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ארה"ב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Sales Tax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Nexus-based, Stripe Tax אוטומטי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קנדה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GST/HST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בהתאם לסף</w:t>
            </w:r>
          </w:p>
        </w:tc>
      </w:tr>
      <w:tr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b/>
                <w:sz w:val="20"/>
                <w:rtl/>
                <w:lang w:bidi="he-IL"/>
              </w:rPr>
              <w:t>אוסטרליה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GST 10%</w:t>
            </w:r>
          </w:p>
        </w:tc>
        <w:tc>
          <w:tcPr>
            <w:tcW w:type="dxa" w:w="2835"/>
          </w:tcPr>
          <w:p>
            <w:pPr>
              <w:bidi/>
              <w:jc w:val="right"/>
            </w:pPr>
            <w:r>
              <w:rPr>
                <w:rFonts w:ascii="Arial" w:hAnsi="Arial"/>
                <w:sz w:val="20"/>
                <w:rtl/>
                <w:lang w:bidi="he-IL"/>
              </w:rPr>
              <w:t>בהתאם לסף</w:t>
            </w:r>
          </w:p>
        </w:tc>
      </w:tr>
    </w:tbl>
    <w:p/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EU VAT OSS — חובה מיידית: כחברה שאינה EU, חובה להירשם ל-VAT OSS לפני קבלת הלקוח האירופאי הראשון (מומלץ דרך אירלנד).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הפרדת אחריות: VIGMIS US אחראית על הגשת דוחות מע"מ; Stripe מחשב וגובה אוטומטית; טאורוס אינה מחויבת במע"מ כלפי לקוחות קצה (מוכרת שירות B2B ל-VIGMIS US בלבד).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7.4 Transfer Pricing</w:t>
      </w:r>
    </w:p>
    <w:p>
      <w:pPr>
        <w:spacing w:after="120"/>
        <w:bidi/>
        <w:jc w:val="right"/>
      </w:pPr>
      <w:r>
        <w:rPr>
          <w:rFonts w:ascii="Arial" w:hAnsi="Arial"/>
          <w:b w:val="0"/>
          <w:i w:val="0"/>
          <w:sz w:val="22"/>
          <w:rtl/>
          <w:lang w:bidi="he-IL"/>
        </w:rPr>
        <w:t>כל עסקה בין-חברתית חייבת להיות בתנאי שוק (Arm's Length). מסמך זה מהווה תיעוד ראשוני. עם גדילת ההכנסות, יש להכין Transfer Pricing Study מקצועי.</w:t>
      </w:r>
    </w:p>
    <w:p>
      <w:pPr>
        <w:pStyle w:val="Heading1"/>
        <w:bidi/>
        <w:jc w:val="right"/>
      </w:pPr>
      <w:r>
        <w:rPr>
          <w:rFonts w:ascii="Arial" w:hAnsi="Arial"/>
          <w:rtl/>
          <w:lang w:bidi="he-IL"/>
        </w:rPr>
        <w:t>8. רשימת משימות פתוחות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משפטי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LLC Formation — הגשת Articles of Organization ב-Wyoming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Operating Agreement — עם עורך דין Wyoming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Intercompany Agreement — חתימה (ראה מסמך נפרד)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Transfer Pricing Memo — עם הכנסות משמעותיות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מס ורגולציה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CPA אמריקאי — Form 5472, Form 1120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יועץ מס ישראלי — CFC, אמנת מס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EIN — מה-IRS לאחר הקמת ה-LLC</w:t>
      </w:r>
    </w:p>
    <w:p>
      <w:pPr>
        <w:pStyle w:val="Heading2"/>
        <w:bidi/>
        <w:jc w:val="right"/>
      </w:pPr>
      <w:r>
        <w:rPr>
          <w:rFonts w:ascii="Arial" w:hAnsi="Arial"/>
          <w:rtl/>
          <w:lang w:bidi="he-IL"/>
        </w:rPr>
        <w:t>בנקאות ותשלומים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Mercury / Relay — פתיחת חשבון בנק עסקי</w:t>
      </w:r>
    </w:p>
    <w:p>
      <w:pPr>
        <w:pStyle w:val="ListBullet"/>
        <w:bidi/>
        <w:jc w:val="right"/>
      </w:pPr>
      <w:r>
        <w:rPr>
          <w:rFonts w:ascii="Arial" w:hAnsi="Arial"/>
          <w:sz w:val="22"/>
          <w:rtl/>
          <w:lang w:bidi="he-IL"/>
        </w:rPr>
        <w:t>Stripe — Live mode תחת VIGMIS US LLC</w:t>
      </w:r>
    </w:p>
    <w:p>
      <w:pPr>
        <w:spacing w:before="80" w:after="80"/>
        <w:pBdr>
          <w:bottom w:val="single" w:sz="6" w:space="1" w:color="94A3B8"/>
        </w:pBdr>
      </w:pPr>
    </w:p>
    <w:p>
      <w:pPr>
        <w:bidi/>
        <w:jc w:val="right"/>
      </w:pPr>
      <w:r>
        <w:rPr>
          <w:rFonts w:ascii="Arial" w:hAnsi="Arial"/>
          <w:i/>
          <w:color w:val="94A3B8"/>
          <w:sz w:val="18"/>
          <w:rtl/>
          <w:lang w:bidi="he-IL"/>
        </w:rPr>
        <w:t>מסמך זה נועד לצרכים עסקיים פנימיים ולשמש כבסיס לייעוץ מקצועי. אינו מהווה ייעוץ משפטי או מיסויי.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right"/>
    </w:pPr>
    <w:rPr>
      <w:rtl/>
      <w:lang w:bidi="he-I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