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INTERCOMPANY LICENSE, SERVICES AND</w:t>
        <w:br/>
        <w:t>DISTRIBUTION AGREEMENT</w:t>
      </w:r>
    </w:p>
    <w:p/>
    <w:p>
      <w:pPr>
        <w:jc w:val="center"/>
      </w:pPr>
      <w:r>
        <w:rPr>
          <w:i/>
          <w:sz w:val="24"/>
        </w:rPr>
        <w:t>Effective Date: ___________________________</w:t>
      </w:r>
    </w:p>
    <w:p>
      <w:pPr>
        <w:spacing w:before="80" w:after="80"/>
        <w:pBdr>
          <w:bottom w:val="single" w:sz="6" w:space="1" w:color="94A3B8"/>
        </w:pBdr>
      </w:pPr>
    </w:p>
    <w:p>
      <w:pPr>
        <w:pStyle w:val="Heading1"/>
      </w:pPr>
      <w:r>
        <w:t>PARTIES</w:t>
      </w:r>
    </w:p>
    <w:p>
      <w:r>
        <w:t xml:space="preserve">This Intercompany License, Services and Distribution Agreement (this </w:t>
      </w:r>
      <w:r>
        <w:rPr>
          <w:b/>
        </w:rPr>
        <w:t>"Agreement"</w:t>
      </w:r>
      <w:r>
        <w:t>) is entered into as of the Effective Date by and between:</w:t>
      </w:r>
    </w:p>
    <w:p/>
    <w:p>
      <w:r>
        <w:rPr>
          <w:b/>
        </w:rPr>
        <w:t>TAURUS MANAGEMENT AND INVESTMENTS LTD.</w:t>
      </w:r>
      <w:r>
        <w:t xml:space="preserve">, an Israeli private company, registered number 514565118, with its principal place of business at Benjamin Movshovitz 25, Herzliya 4640525, Israel (hereinafter </w:t>
      </w:r>
      <w:r>
        <w:rPr>
          <w:b/>
        </w:rPr>
        <w:t>"Taurus"</w:t>
      </w:r>
      <w:r>
        <w:t xml:space="preserve"> or </w:t>
      </w:r>
      <w:r>
        <w:rPr>
          <w:b/>
        </w:rPr>
        <w:t>"Licensor"</w:t>
      </w:r>
      <w:r>
        <w:t>);</w:t>
      </w:r>
    </w:p>
    <w:p>
      <w:r>
        <w:t>and</w:t>
      </w:r>
    </w:p>
    <w:p>
      <w:r>
        <w:rPr>
          <w:b/>
        </w:rPr>
        <w:t>VIGMIS US LLC</w:t>
      </w:r>
      <w:r>
        <w:t xml:space="preserve">, a Wyoming limited liability company, wholly owned by Taurus, with its registered agent in the State of Wyoming (hereinafter </w:t>
      </w:r>
      <w:r>
        <w:rPr>
          <w:b/>
        </w:rPr>
        <w:t>"VIGMIS US"</w:t>
      </w:r>
      <w:r>
        <w:t xml:space="preserve"> or </w:t>
      </w:r>
      <w:r>
        <w:rPr>
          <w:b/>
        </w:rPr>
        <w:t>"Licensee"</w:t>
      </w:r>
      <w:r>
        <w:t>).</w:t>
      </w:r>
    </w:p>
    <w:p/>
    <w:p>
      <w:r>
        <w:rPr>
          <w:i/>
        </w:rPr>
        <w:t>Taurus</w:t>
      </w:r>
      <w:r>
        <w:t xml:space="preserve"> and </w:t>
      </w:r>
      <w:r>
        <w:rPr>
          <w:i/>
        </w:rPr>
        <w:t>VIGMIS US</w:t>
      </w:r>
      <w:r>
        <w:t xml:space="preserve"> are each referred to herein individually as a </w:t>
      </w:r>
      <w:r>
        <w:rPr>
          <w:b/>
        </w:rPr>
        <w:t>"Party"</w:t>
      </w:r>
      <w:r>
        <w:t xml:space="preserve"> and collectively as the </w:t>
      </w:r>
      <w:r>
        <w:rPr>
          <w:b/>
        </w:rPr>
        <w:t>"Parties"</w:t>
      </w:r>
      <w:r>
        <w:t>.</w:t>
      </w:r>
    </w:p>
    <w:p>
      <w:pPr>
        <w:spacing w:before="80" w:after="80"/>
        <w:pBdr>
          <w:bottom w:val="single" w:sz="6" w:space="1" w:color="94A3B8"/>
        </w:pBdr>
      </w:pPr>
    </w:p>
    <w:p>
      <w:pPr>
        <w:pStyle w:val="Heading1"/>
      </w:pPr>
      <w:r>
        <w:t>RECITALS</w:t>
      </w:r>
    </w:p>
    <w:p>
      <w:pPr>
        <w:pStyle w:val="ListBullet"/>
        <w:spacing w:after="80"/>
      </w:pPr>
      <w:r>
        <w:t>WHEREAS, Taurus owns all right, title, and interest in the VIGMIS platform, including its software, artificial intelligence systems, brand, trademarks, domain names, and related intellectual property (collectively, the "IP");</w:t>
      </w:r>
    </w:p>
    <w:p>
      <w:pPr>
        <w:pStyle w:val="ListBullet"/>
        <w:spacing w:after="80"/>
      </w:pPr>
      <w:r>
        <w:t>WHEREAS, Taurus desires to grant VIGMIS US a license to use the IP for the purpose of marketing, distributing, and selling access to the VIGMIS platform to end customers;</w:t>
      </w:r>
    </w:p>
    <w:p>
      <w:pPr>
        <w:pStyle w:val="ListBullet"/>
        <w:spacing w:after="80"/>
      </w:pPr>
      <w:r>
        <w:t>WHEREAS, Taurus will continue to provide development, maintenance, and infrastructure services necessary to operate the platform;</w:t>
      </w:r>
    </w:p>
    <w:p>
      <w:pPr>
        <w:pStyle w:val="ListBullet"/>
        <w:spacing w:after="80"/>
      </w:pPr>
      <w:r>
        <w:t>WHEREAS, the Parties desire to establish clear terms governing their intercompany relationship, including the allocation of revenues and costs, in a manner consistent with the arm's-length standard required under applicable tax law;</w:t>
      </w:r>
    </w:p>
    <w:p>
      <w:r>
        <w:rPr>
          <w:b/>
        </w:rPr>
        <w:t>NOW, THEREFORE</w:t>
      </w:r>
      <w:r>
        <w:t>, in consideration of the mutual covenants and agreements set forth herein, the Parties agree as follows:</w:t>
      </w:r>
    </w:p>
    <w:p>
      <w:pPr>
        <w:spacing w:before="80" w:after="80"/>
        <w:pBdr>
          <w:bottom w:val="single" w:sz="6" w:space="1" w:color="94A3B8"/>
        </w:pBdr>
      </w:pPr>
    </w:p>
    <w:p>
      <w:pPr>
        <w:pStyle w:val="Heading1"/>
        <w:spacing w:before="240"/>
      </w:pPr>
      <w:r>
        <w:t>ARTICLE 1 — DEFINITIONS</w:t>
      </w:r>
    </w:p>
    <w:p>
      <w:pPr>
        <w:spacing w:after="80"/>
        <w:ind w:left="360"/>
      </w:pPr>
      <w:r>
        <w:rPr>
          <w:b/>
        </w:rPr>
        <w:t xml:space="preserve">1.1  </w:t>
      </w:r>
      <w:r>
        <w:rPr>
          <w:b/>
        </w:rPr>
        <w:t>"Platform"</w:t>
      </w:r>
      <w:r>
        <w:t xml:space="preserve">  means the VIGMIS SaaS platform, including all software, AI systems, APIs, user interfaces, mobile applications, backend services, and associated documentation developed and owned by Taurus.</w:t>
      </w:r>
    </w:p>
    <w:p>
      <w:pPr>
        <w:spacing w:after="80"/>
        <w:ind w:left="360"/>
      </w:pPr>
      <w:r>
        <w:rPr>
          <w:b/>
        </w:rPr>
        <w:t xml:space="preserve">1.2  </w:t>
      </w:r>
      <w:r>
        <w:rPr>
          <w:b/>
        </w:rPr>
        <w:t>"End Customer"</w:t>
      </w:r>
      <w:r>
        <w:t xml:space="preserve">  means any third-party business or individual that subscribes to or purchases access to the Platform through VIGMIS US.</w:t>
      </w:r>
    </w:p>
    <w:p>
      <w:pPr>
        <w:spacing w:after="80"/>
        <w:ind w:left="360"/>
      </w:pPr>
      <w:r>
        <w:rPr>
          <w:b/>
        </w:rPr>
        <w:t xml:space="preserve">1.3  </w:t>
      </w:r>
      <w:r>
        <w:rPr>
          <w:b/>
        </w:rPr>
        <w:t>"Gross Revenue"</w:t>
      </w:r>
      <w:r>
        <w:t xml:space="preserve">  means all amounts collected by VIGMIS US from End Customers in connection with their use of the Platform, including subscription fees, usage fees, and any other charges, before any deductions.</w:t>
      </w:r>
    </w:p>
    <w:p>
      <w:pPr>
        <w:spacing w:after="80"/>
        <w:ind w:left="360"/>
      </w:pPr>
      <w:r>
        <w:rPr>
          <w:b/>
        </w:rPr>
        <w:t xml:space="preserve">1.4  </w:t>
      </w:r>
      <w:r>
        <w:rPr>
          <w:b/>
        </w:rPr>
        <w:t>"Net Revenue"</w:t>
      </w:r>
      <w:r>
        <w:t xml:space="preserve">  means Gross Revenue less: (a) refunds paid to End Customers; (b) chargebacks; and (c) Stripe processing fees and other payment processor fees directly attributable to collection.</w:t>
      </w:r>
    </w:p>
    <w:p>
      <w:pPr>
        <w:spacing w:after="80"/>
        <w:ind w:left="360"/>
      </w:pPr>
      <w:r>
        <w:rPr>
          <w:b/>
        </w:rPr>
        <w:t xml:space="preserve">1.5  </w:t>
      </w:r>
      <w:r>
        <w:rPr>
          <w:b/>
        </w:rPr>
        <w:t>"IP"</w:t>
      </w:r>
      <w:r>
        <w:t xml:space="preserve">  means all intellectual property owned by Taurus relating to the Platform, including without limitation: source code, object code, software, algorithms, AI models, training data, prompt engineering, documentation, trademarks, trade names, service marks, logos, domain names, brand assets, trade secrets, and know-how.</w:t>
      </w:r>
    </w:p>
    <w:p>
      <w:pPr>
        <w:spacing w:after="80"/>
        <w:ind w:left="360"/>
      </w:pPr>
      <w:r>
        <w:rPr>
          <w:b/>
        </w:rPr>
        <w:t xml:space="preserve">1.6  </w:t>
      </w:r>
      <w:r>
        <w:rPr>
          <w:b/>
        </w:rPr>
        <w:t>"Territory"</w:t>
      </w:r>
      <w:r>
        <w:t xml:space="preserve">  means worldwide.</w:t>
      </w:r>
    </w:p>
    <w:p>
      <w:pPr>
        <w:spacing w:after="80"/>
        <w:ind w:left="360"/>
      </w:pPr>
      <w:r>
        <w:rPr>
          <w:b/>
        </w:rPr>
        <w:t xml:space="preserve">1.7  </w:t>
      </w:r>
      <w:r>
        <w:rPr>
          <w:b/>
        </w:rPr>
        <w:t>"Accounting Period"</w:t>
      </w:r>
      <w:r>
        <w:t xml:space="preserve">  means each calendar month, unless otherwise agreed in writing by the Parties.</w:t>
      </w:r>
    </w:p>
    <w:p>
      <w:pPr>
        <w:spacing w:after="80"/>
        <w:ind w:left="360"/>
      </w:pPr>
      <w:r>
        <w:rPr>
          <w:b/>
        </w:rPr>
        <w:t xml:space="preserve">1.8  </w:t>
      </w:r>
      <w:r>
        <w:rPr>
          <w:b/>
        </w:rPr>
        <w:t>"Development Services"</w:t>
      </w:r>
      <w:r>
        <w:t xml:space="preserve">  means software development, product management, AI research and development, quality assurance, infrastructure management, and other technical services provided by Taurus to maintain and improve the Platform.</w:t>
      </w:r>
    </w:p>
    <w:p>
      <w:pPr>
        <w:pStyle w:val="Heading1"/>
        <w:spacing w:before="240"/>
      </w:pPr>
      <w:r>
        <w:t>ARTICLE 2 — IP LICENSE</w:t>
      </w:r>
    </w:p>
    <w:p>
      <w:pPr>
        <w:spacing w:after="120"/>
        <w:ind w:left="360"/>
      </w:pPr>
      <w:r>
        <w:rPr>
          <w:b/>
        </w:rPr>
        <w:t xml:space="preserve">2.1  </w:t>
      </w:r>
      <w:r>
        <w:t>Grant of License.  Subject to the terms and conditions of this Agreement, Taurus hereby grants to VIGMIS US a non-exclusive, non-transferable, non-sublicensable license in the Territory to: (a) use the Platform solely for the purpose of marketing, demonstrating, and selling access to End Customers; (b) use Taurus's trademarks, brand names, and logos solely in connection with authorized marketing and sales activities; and (c) enter into agreements with End Customers for access to and use of the Platform.</w:t>
      </w:r>
    </w:p>
    <w:p>
      <w:pPr>
        <w:spacing w:after="120"/>
        <w:ind w:left="360"/>
      </w:pPr>
      <w:r>
        <w:rPr>
          <w:b/>
        </w:rPr>
        <w:t xml:space="preserve">2.2  </w:t>
      </w:r>
      <w:r>
        <w:t>No Transfer of Ownership.  Nothing in this Agreement shall be construed to transfer any ownership interest in the IP from Taurus to VIGMIS US. All IP shall remain the exclusive property of Taurus. VIGMIS US shall acquire no rights in the IP except the limited license expressly granted herein.</w:t>
      </w:r>
    </w:p>
    <w:p>
      <w:pPr>
        <w:spacing w:after="120"/>
        <w:ind w:left="360"/>
      </w:pPr>
      <w:r>
        <w:rPr>
          <w:b/>
        </w:rPr>
        <w:t xml:space="preserve">2.3  </w:t>
      </w:r>
      <w:r>
        <w:t>Sublicensing to End Customers.  VIGMIS US is authorized to grant End Customers a limited, non-exclusive right to access and use the Platform through its Terms of Service, consistent with the scope of this Agreement. All such rights granted to End Customers shall be subject to and limited by this Agreement.</w:t>
      </w:r>
    </w:p>
    <w:p>
      <w:pPr>
        <w:spacing w:after="120"/>
        <w:ind w:left="360"/>
      </w:pPr>
      <w:r>
        <w:rPr>
          <w:b/>
        </w:rPr>
        <w:t xml:space="preserve">2.4  </w:t>
      </w:r>
      <w:r>
        <w:t>New Developments.  Any improvements, enhancements, or derivatives of the Platform or IP, whether developed by Taurus, VIGMIS US, or jointly, shall be owned exclusively by Taurus. VIGMIS US hereby assigns to Taurus all right, title, and interest in any such developments.</w:t>
      </w:r>
    </w:p>
    <w:p>
      <w:r>
        <w:br w:type="page"/>
      </w:r>
    </w:p>
    <w:p>
      <w:pPr>
        <w:pStyle w:val="Heading1"/>
        <w:spacing w:before="240"/>
      </w:pPr>
      <w:r>
        <w:t>ARTICLE 3 — DEVELOPMENT AND INFRASTRUCTURE SERVICES</w:t>
      </w:r>
    </w:p>
    <w:p>
      <w:pPr>
        <w:spacing w:after="120"/>
        <w:ind w:left="360"/>
      </w:pPr>
      <w:r>
        <w:rPr>
          <w:b/>
        </w:rPr>
        <w:t xml:space="preserve">3.1  </w:t>
      </w:r>
      <w:r>
        <w:t>Services Provided by Taurus.  During the Term, Taurus shall provide VIGMIS US with the following services necessary to operate the Platform: (a) Software Development — continuous development, enhancement, and maintenance of the Platform; (b) Infrastructure Management — hosting, cloud services (Railway, Supabase, Cloudflare, and equivalents), database management, and security; (c) AI Operations — management of AI providers (OpenAI, Anthropic, and others); (d) Product Management — feature prioritization, UX design, and product roadmap; (e) Technical Support — second-level escalated support; (f) Security — cybersecurity, data protection, and compliance.</w:t>
      </w:r>
    </w:p>
    <w:p>
      <w:pPr>
        <w:spacing w:after="120"/>
        <w:ind w:left="360"/>
      </w:pPr>
      <w:r>
        <w:rPr>
          <w:b/>
        </w:rPr>
        <w:t xml:space="preserve">3.2  </w:t>
      </w:r>
      <w:r>
        <w:t>Service Standard.  Taurus shall provide the Services with reasonable skill and care, consistent with industry standards for SaaS platforms of similar nature and scale.</w:t>
      </w:r>
    </w:p>
    <w:p>
      <w:pPr>
        <w:spacing w:after="120"/>
        <w:ind w:left="360"/>
      </w:pPr>
      <w:r>
        <w:rPr>
          <w:b/>
        </w:rPr>
        <w:t xml:space="preserve">3.3  </w:t>
      </w:r>
      <w:r>
        <w:t>Costs.  Each Party shall bear the costs allocated to it under the operating model adopted by the Parties from time to time.  As of the Effective Date: Taurus bears employee salaries, AI provider fees (OpenAI, Anthropic, and others), cloud infrastructure costs, R&amp;D expenditures, and all other costs necessary to develop, maintain, and operate the Platform; VIGMIS US bears payment processor fees, digital advertising spend, CRM costs, and general administrative costs of operating VIGMIS US.  The Parties may adjust cost allocation by written amendment, provided any such adjustment maintains compliance with the arm's-length standard.</w:t>
      </w:r>
    </w:p>
    <w:p>
      <w:pPr>
        <w:pStyle w:val="Heading1"/>
        <w:spacing w:before="240"/>
      </w:pPr>
      <w:r>
        <w:t>ARTICLE 4 — DISTRIBUTION AND SALES RESPONSIBILITIES</w:t>
      </w:r>
    </w:p>
    <w:p>
      <w:pPr>
        <w:spacing w:after="120"/>
        <w:ind w:left="360"/>
      </w:pPr>
      <w:r>
        <w:rPr>
          <w:b/>
        </w:rPr>
        <w:t xml:space="preserve">4.1  </w:t>
      </w:r>
      <w:r>
        <w:t>Sales and Marketing.  VIGMIS US shall be responsible for: (a) marketing the Platform to prospective End Customers in the Territory; (b) managing digital advertising channels (Google Ads, Meta Ads, TikTok Ads, and equivalents); (c) onboarding new End Customers; (d) managing customer relationships and CRM; (e) handling customer billing and payment collection through Stripe or equivalent payment processors; (f) managing refunds and chargebacks; (g) managing any affiliate or referral programs.</w:t>
      </w:r>
    </w:p>
    <w:p>
      <w:pPr>
        <w:spacing w:after="120"/>
        <w:ind w:left="360"/>
      </w:pPr>
      <w:r>
        <w:rPr>
          <w:b/>
        </w:rPr>
        <w:t xml:space="preserve">4.2  </w:t>
      </w:r>
      <w:r>
        <w:t>Customer Contracts.  VIGMIS US shall enter into agreements with End Customers under its own name and on its own behalf, as the contracting entity. Such agreements shall be on terms no less protective of the Platform and IP than the protections afforded herein.</w:t>
      </w:r>
    </w:p>
    <w:p>
      <w:pPr>
        <w:spacing w:after="120"/>
        <w:ind w:left="360"/>
      </w:pPr>
      <w:r>
        <w:rPr>
          <w:b/>
        </w:rPr>
        <w:t xml:space="preserve">4.3  </w:t>
      </w:r>
      <w:r>
        <w:t>Merchant of Record.  VIGMIS US shall be the merchant of record for all End Customer subscriptions and transactions processed through Stripe or any equivalent payment processor. VIGMIS US's name and identity shall appear on End Customer billing statements and payment receipts. VIGMIS US shall maintain the Stripe account in its own name and is responsible for all payment processing obligations, including chargebacks, refunds, and PCI compliance.</w:t>
      </w:r>
    </w:p>
    <w:p>
      <w:pPr>
        <w:spacing w:after="120"/>
        <w:ind w:left="360"/>
      </w:pPr>
      <w:r>
        <w:rPr>
          <w:b/>
        </w:rPr>
        <w:t xml:space="preserve">4.4  </w:t>
      </w:r>
      <w:r>
        <w:t>VIGMIS US Costs.  VIGMIS US shall bear all costs related to its sales, marketing, and distribution activities, including payment processor fees, digital advertising spend, CRM costs, and general administrative costs of maintaining VIGMIS US as an operating entity.</w:t>
      </w:r>
    </w:p>
    <w:p>
      <w:pPr>
        <w:pStyle w:val="Heading1"/>
        <w:spacing w:before="240"/>
      </w:pPr>
      <w:r>
        <w:t>ARTICLE 5 — REVENUE SHARING AND PAYMENT</w:t>
      </w:r>
    </w:p>
    <w:p>
      <w:pPr>
        <w:spacing w:after="120"/>
        <w:ind w:left="360"/>
      </w:pPr>
      <w:r>
        <w:rPr>
          <w:b/>
        </w:rPr>
        <w:t xml:space="preserve">5.1  </w:t>
      </w:r>
      <w:r>
        <w:t>Initial Revenue Allocation.  The Parties agree that the initial allocation of Net Revenue shall be as follows:</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Party</w:t>
            </w:r>
          </w:p>
        </w:tc>
        <w:tc>
          <w:tcPr>
            <w:tcW w:type="dxa" w:w="2835"/>
          </w:tcPr>
          <w:p>
            <w:r>
              <w:rPr>
                <w:b/>
                <w:sz w:val="20"/>
              </w:rPr>
              <w:t>Percentage</w:t>
            </w:r>
          </w:p>
        </w:tc>
        <w:tc>
          <w:tcPr>
            <w:tcW w:type="dxa" w:w="2835"/>
          </w:tcPr>
          <w:p>
            <w:r>
              <w:rPr>
                <w:b/>
                <w:sz w:val="20"/>
              </w:rPr>
              <w:t>Rationale</w:t>
            </w:r>
          </w:p>
        </w:tc>
      </w:tr>
      <w:tr>
        <w:tc>
          <w:tcPr>
            <w:tcW w:type="dxa" w:w="2835"/>
          </w:tcPr>
          <w:p>
            <w:r>
              <w:rPr>
                <w:sz w:val="20"/>
              </w:rPr>
              <w:t>Taurus</w:t>
            </w:r>
          </w:p>
        </w:tc>
        <w:tc>
          <w:tcPr>
            <w:tcW w:type="dxa" w:w="2835"/>
          </w:tcPr>
          <w:p>
            <w:r>
              <w:rPr>
                <w:sz w:val="20"/>
              </w:rPr>
              <w:t>75%</w:t>
            </w:r>
          </w:p>
        </w:tc>
        <w:tc>
          <w:tcPr>
            <w:tcW w:type="dxa" w:w="2835"/>
          </w:tcPr>
          <w:p>
            <w:r>
              <w:rPr>
                <w:sz w:val="20"/>
              </w:rPr>
              <w:t>IP license royalty + Development Services fee</w:t>
            </w:r>
          </w:p>
        </w:tc>
      </w:tr>
      <w:tr>
        <w:tc>
          <w:tcPr>
            <w:tcW w:type="dxa" w:w="2835"/>
          </w:tcPr>
          <w:p>
            <w:r>
              <w:rPr>
                <w:sz w:val="20"/>
              </w:rPr>
              <w:t>VIGMIS US</w:t>
            </w:r>
          </w:p>
        </w:tc>
        <w:tc>
          <w:tcPr>
            <w:tcW w:type="dxa" w:w="2835"/>
          </w:tcPr>
          <w:p>
            <w:r>
              <w:rPr>
                <w:sz w:val="20"/>
              </w:rPr>
              <w:t>25%</w:t>
            </w:r>
          </w:p>
        </w:tc>
        <w:tc>
          <w:tcPr>
            <w:tcW w:type="dxa" w:w="2835"/>
          </w:tcPr>
          <w:p>
            <w:r>
              <w:rPr>
                <w:sz w:val="20"/>
              </w:rPr>
              <w:t>Sales, marketing, distribution, and billing operations</w:t>
            </w:r>
          </w:p>
        </w:tc>
      </w:tr>
    </w:tbl>
    <w:p/>
    <w:p>
      <w:pPr>
        <w:spacing w:after="120"/>
        <w:ind w:left="360"/>
      </w:pPr>
      <w:r>
        <w:rPr>
          <w:b/>
        </w:rPr>
        <w:t xml:space="preserve">5.2  </w:t>
      </w:r>
      <w:r>
        <w:t>Allocation Review.  The Parties may adjust the revenue allocation by written amendment, provided that: (a) any adjustment is supported by updated transfer pricing documentation; (b) the adjusted allocation remains consistent with the arm's-length standard under applicable Israeli and US tax law; and (c) any adjustment is reviewed by each Party's tax advisors prior to implementation.</w:t>
      </w:r>
    </w:p>
    <w:p>
      <w:pPr>
        <w:spacing w:after="120"/>
        <w:ind w:left="360"/>
      </w:pPr>
      <w:r>
        <w:rPr>
          <w:b/>
        </w:rPr>
        <w:t xml:space="preserve">5.3  </w:t>
      </w:r>
      <w:r>
        <w:t>Arm's Length Justification.  The Parties acknowledge that the 75/25 allocation reflects an arm's-length arrangement: (a) Taurus contributes substantially all value-generating assets (IP, technology, development capability); (b) Taurus bears substantially all operating costs; (c) VIGMIS US's primary function is distribution and billing — a service that, on an arm's-length basis, would typically command a distribution margin of 20-30% of net revenues in the SaaS industry; (d) the 25% retained by VIGMIS US is designed to cover its actual costs plus a reasonable profit margin for its distribution function.</w:t>
      </w:r>
    </w:p>
    <w:p>
      <w:pPr>
        <w:spacing w:after="120"/>
        <w:ind w:left="360"/>
      </w:pPr>
      <w:r>
        <w:rPr>
          <w:b/>
        </w:rPr>
        <w:t xml:space="preserve">5.4  </w:t>
      </w:r>
      <w:r>
        <w:t>Payment Mechanics.  Within fifteen (15) days following the end of each Accounting Period, VIGMIS US shall calculate Net Revenue and prepare a Revenue Statement. Within five (5) business days of preparing the Revenue Statement, VIGMIS US shall transfer 75% of Net Revenue to Taurus via wire transfer or ACH to Taurus's designated bank account. VIGMIS US shall retain 25%.</w:t>
      </w:r>
    </w:p>
    <w:p>
      <w:pPr>
        <w:spacing w:after="120"/>
        <w:ind w:left="360"/>
      </w:pPr>
      <w:r>
        <w:rPr>
          <w:b/>
        </w:rPr>
        <w:t xml:space="preserve">5.5  </w:t>
      </w:r>
      <w:r>
        <w:t>Records and Audit.  VIGMIS US shall maintain accurate books and records relating to Gross Revenue, deductions, and Net Revenue. Taurus shall have the right, upon reasonable written notice, to audit such records no more than once per calendar year.</w:t>
      </w:r>
    </w:p>
    <w:p>
      <w:pPr>
        <w:spacing w:after="120"/>
        <w:ind w:left="360"/>
      </w:pPr>
      <w:r>
        <w:rPr>
          <w:b/>
        </w:rPr>
        <w:t xml:space="preserve">5.6  </w:t>
      </w:r>
      <w:r>
        <w:t>Currency.  All amounts shall be calculated and paid in United States Dollars (USD). Where End Customer payments are collected in other currencies, conversion shall be at the exchange rate used by the applicable payment processor on the date of collection.</w:t>
      </w:r>
    </w:p>
    <w:p>
      <w:r>
        <w:br w:type="page"/>
      </w:r>
    </w:p>
    <w:p>
      <w:pPr>
        <w:pStyle w:val="Heading1"/>
        <w:spacing w:before="240"/>
      </w:pPr>
      <w:r>
        <w:t>ARTICLE 6 — INTELLECTUAL PROPERTY OWNERSHIP AND PROTECTION</w:t>
      </w:r>
    </w:p>
    <w:p>
      <w:pPr>
        <w:spacing w:after="120"/>
        <w:ind w:left="360"/>
      </w:pPr>
      <w:r>
        <w:rPr>
          <w:b/>
        </w:rPr>
        <w:t xml:space="preserve">6.1  </w:t>
      </w:r>
      <w:r>
        <w:t>Taurus IP.  As between the Parties, Taurus exclusively owns all IP, including without limitation: the VIGMIS source code, AI models, prompt libraries, customer acquisition methodologies, trademarks, domain names (vigmis.com and all related domains), logos, brand assets, and all proprietary workflows embedded in the Platform. VIGMIS US shall not take any action inconsistent with Taurus's ownership of the IP.</w:t>
      </w:r>
    </w:p>
    <w:p>
      <w:pPr>
        <w:spacing w:after="120"/>
        <w:ind w:left="360"/>
      </w:pPr>
      <w:r>
        <w:rPr>
          <w:b/>
        </w:rPr>
        <w:t xml:space="preserve">6.2  </w:t>
      </w:r>
      <w:r>
        <w:t>New Developments.  Any improvements, enhancements, or derivatives of the Platform or IP, whether developed by Taurus, VIGMIS US, or jointly, shall be owned exclusively by Taurus. VIGMIS US hereby assigns to Taurus all right, title, and interest in any such developments.</w:t>
      </w:r>
    </w:p>
    <w:p>
      <w:pPr>
        <w:spacing w:after="120"/>
        <w:ind w:left="360"/>
      </w:pPr>
      <w:r>
        <w:rPr>
          <w:b/>
        </w:rPr>
        <w:t xml:space="preserve">6.3  </w:t>
      </w:r>
      <w:r>
        <w:t>Brand Use.  VIGMIS US shall use the VIGMIS brand, trademarks, and logos only in the form and manner approved by Taurus, and only in connection with authorized activities under this Agreement.</w:t>
      </w:r>
    </w:p>
    <w:p>
      <w:pPr>
        <w:spacing w:after="120"/>
        <w:ind w:left="360"/>
      </w:pPr>
      <w:r>
        <w:rPr>
          <w:b/>
        </w:rPr>
        <w:t xml:space="preserve">6.4  </w:t>
      </w:r>
      <w:r>
        <w:t>Notification.  VIGMIS US shall promptly notify Taurus of any actual or threatened infringement of the IP by any third party that comes to VIGMIS US's attention.</w:t>
      </w:r>
    </w:p>
    <w:p>
      <w:pPr>
        <w:pStyle w:val="Heading1"/>
        <w:spacing w:before="240"/>
      </w:pPr>
      <w:r>
        <w:t>ARTICLE 7 — DATA OWNERSHIP AND PRIVACY</w:t>
      </w:r>
    </w:p>
    <w:p>
      <w:pPr>
        <w:spacing w:after="120"/>
        <w:ind w:left="360"/>
      </w:pPr>
      <w:r>
        <w:rPr>
          <w:b/>
        </w:rPr>
        <w:t xml:space="preserve">7.1  </w:t>
      </w:r>
      <w:r>
        <w:t>Data Ownership.  As between the Parties, ownership of data generated through the Platform is allocated as follows:</w:t>
      </w:r>
    </w:p>
    <w:p>
      <w:pPr>
        <w:spacing w:after="60"/>
        <w:ind w:left="720"/>
      </w:pPr>
      <w:r>
        <w:t>(a)  Customer Account Data (business profiles, onboarding information, campaign settings): VIGMIS US holds the contractual relationship with End Customers; Taurus processes such data as a sub-processor to operate the Platform.</w:t>
      </w:r>
    </w:p>
    <w:p>
      <w:pPr>
        <w:spacing w:after="60"/>
        <w:ind w:left="720"/>
      </w:pPr>
      <w:r>
        <w:t>(b)  Usage and Analytics Data (platform interactions, feature usage, performance metrics, aggregated statistics): owned by Taurus. Taurus may use such data to improve the Platform, train AI models (in anonymized form), and develop new features.</w:t>
      </w:r>
    </w:p>
    <w:p>
      <w:pPr>
        <w:spacing w:after="60"/>
        <w:ind w:left="720"/>
      </w:pPr>
      <w:r>
        <w:t>(c)  AI Interaction Logs (prompts, AI-generated content, optimization decisions): owned by Taurus. May be used for model improvement and quality assurance in anonymized, aggregated form.</w:t>
      </w:r>
    </w:p>
    <w:p>
      <w:pPr>
        <w:spacing w:after="60"/>
        <w:ind w:left="720"/>
      </w:pPr>
      <w:r>
        <w:t>(d)  Platform Infrastructure Data (logs, security events, system metrics): owned by Taurus.</w:t>
      </w:r>
    </w:p>
    <w:p>
      <w:pPr>
        <w:spacing w:after="60"/>
        <w:ind w:left="720"/>
      </w:pPr>
      <w:r>
        <w:t>(e)  Billing and Payment Records: VIGMIS US retains records as merchant of record; Taurus retains copies as required for transfer pricing documentation and tax compliance.</w:t>
      </w:r>
    </w:p>
    <w:p>
      <w:pPr>
        <w:spacing w:after="120"/>
        <w:ind w:left="360"/>
      </w:pPr>
      <w:r>
        <w:rPr>
          <w:b/>
        </w:rPr>
        <w:t xml:space="preserve">7.2  </w:t>
      </w:r>
      <w:r>
        <w:t>IP and Product Data.  For the avoidance of doubt, Taurus exclusively owns all IP as defined in Article 1.5, including the source code, AI models, prompt libraries, customer acquisition methodologies, and all proprietary workflows embedded in the Platform.</w:t>
      </w:r>
    </w:p>
    <w:p>
      <w:pPr>
        <w:spacing w:after="120"/>
        <w:ind w:left="360"/>
      </w:pPr>
      <w:r>
        <w:rPr>
          <w:b/>
        </w:rPr>
        <w:t xml:space="preserve">7.3  </w:t>
      </w:r>
      <w:r>
        <w:t>Data Processing Agreement.  VIGMIS US shall ensure that its agreements with End Customers include appropriate data processing terms that permit Taurus to process End Customer data as a sub-processor, solely as necessary to operate and improve the Platform.</w:t>
      </w:r>
    </w:p>
    <w:p>
      <w:pPr>
        <w:spacing w:after="120"/>
        <w:ind w:left="360"/>
      </w:pPr>
      <w:r>
        <w:rPr>
          <w:b/>
        </w:rPr>
        <w:t xml:space="preserve">7.4  </w:t>
      </w:r>
      <w:r>
        <w:t>Compliance.  Each Party shall comply with applicable data protection laws in its jurisdiction, including without limitation the GDPR (where applicable), Israel's Privacy Protection Law, and any applicable US federal or state privacy laws.</w:t>
      </w:r>
    </w:p>
    <w:p>
      <w:pPr>
        <w:pStyle w:val="Heading1"/>
        <w:spacing w:before="240"/>
      </w:pPr>
      <w:r>
        <w:t>ARTICLE 8 — CONFIDENTIALITY</w:t>
      </w:r>
    </w:p>
    <w:p>
      <w:pPr>
        <w:spacing w:after="120"/>
        <w:ind w:left="360"/>
      </w:pPr>
      <w:r>
        <w:rPr>
          <w:b/>
        </w:rPr>
        <w:t xml:space="preserve">8.1  </w:t>
      </w:r>
      <w:r>
        <w:t>Confidential Information.  Each Party shall hold in strict confidence all Confidential Information of the other Party. "Confidential Information" means any non-public information disclosed by one Party to the other that is designated as confidential or that reasonably should be understood to be confidential, including financial information, customer data, technical information, and business plans.</w:t>
      </w:r>
    </w:p>
    <w:p>
      <w:pPr>
        <w:spacing w:after="120"/>
        <w:ind w:left="360"/>
      </w:pPr>
      <w:r>
        <w:rPr>
          <w:b/>
        </w:rPr>
        <w:t xml:space="preserve">8.2  </w:t>
      </w:r>
      <w:r>
        <w:t>Exceptions.  The obligations of Section 8.1 do not apply to information that: (a) is or becomes publicly available through no breach of this Agreement; (b) was rightfully known by the receiving Party prior to disclosure; (c) is rightfully received from a third party without restriction; or (d) is required to be disclosed by law or court order, provided prompt prior notice is given.</w:t>
      </w:r>
    </w:p>
    <w:p>
      <w:pPr>
        <w:spacing w:after="120"/>
        <w:ind w:left="360"/>
      </w:pPr>
      <w:r>
        <w:rPr>
          <w:b/>
        </w:rPr>
        <w:t xml:space="preserve">8.3  </w:t>
      </w:r>
      <w:r>
        <w:t>Survival.  Confidentiality obligations shall survive termination for five (5) years.</w:t>
      </w:r>
    </w:p>
    <w:p>
      <w:pPr>
        <w:pStyle w:val="Heading1"/>
        <w:spacing w:before="240"/>
      </w:pPr>
      <w:r>
        <w:t>ARTICLE 9 — REPRESENTATIONS AND WARRANTIES</w:t>
      </w:r>
    </w:p>
    <w:p>
      <w:pPr>
        <w:spacing w:after="120"/>
        <w:ind w:left="360"/>
      </w:pPr>
      <w:r>
        <w:rPr>
          <w:b/>
        </w:rPr>
        <w:t xml:space="preserve">9.1  </w:t>
      </w:r>
      <w:r>
        <w:t>Mutual.  Each Party represents and warrants that: (a) it has full legal authority to enter into this Agreement; (b) this Agreement constitutes a legal, valid, and binding obligation; and (c) its entry into and performance of this Agreement does not violate any applicable law or any agreement to which it is a party.</w:t>
      </w:r>
    </w:p>
    <w:p>
      <w:pPr>
        <w:spacing w:after="120"/>
        <w:ind w:left="360"/>
      </w:pPr>
      <w:r>
        <w:rPr>
          <w:b/>
        </w:rPr>
        <w:t xml:space="preserve">9.2  </w:t>
      </w:r>
      <w:r>
        <w:t>Taurus.  Taurus represents and warrants that: (a) it owns the IP free and clear of any liens or encumbrances that would impair the license granted herein; (b) to its knowledge, the Platform does not infringe the intellectual property rights of any third party.</w:t>
      </w:r>
    </w:p>
    <w:p>
      <w:pPr>
        <w:spacing w:after="120"/>
        <w:ind w:left="360"/>
      </w:pPr>
      <w:r>
        <w:rPr>
          <w:b/>
        </w:rPr>
        <w:t xml:space="preserve">9.3  </w:t>
      </w:r>
      <w:r>
        <w:t>VIGMIS US.  VIGMIS US represents and warrants that: (a) it shall conduct its sales and distribution activities in compliance with applicable law; (b) it shall not make representations about the Platform that are misleading or inconsistent with Taurus's documented specifications.</w:t>
      </w:r>
    </w:p>
    <w:p>
      <w:pPr>
        <w:pStyle w:val="Heading1"/>
        <w:spacing w:before="240"/>
      </w:pPr>
      <w:r>
        <w:t>ARTICLE 10 — LIMITATION OF LIABILITY</w:t>
      </w:r>
    </w:p>
    <w:p>
      <w:pPr>
        <w:spacing w:after="120"/>
        <w:ind w:left="360"/>
      </w:pPr>
      <w:r>
        <w:rPr>
          <w:b/>
        </w:rPr>
        <w:t xml:space="preserve">10.1  </w:t>
      </w:r>
      <w:r>
        <w:t>In no event shall either Party be liable to the other for any indirect, incidental, special, punitive, or consequential damages, even if advised of the possibility of such damages, arising out of or related to this Agreement.</w:t>
      </w:r>
    </w:p>
    <w:p>
      <w:pPr>
        <w:spacing w:after="120"/>
        <w:ind w:left="360"/>
      </w:pPr>
      <w:r>
        <w:rPr>
          <w:b/>
        </w:rPr>
        <w:t xml:space="preserve">10.2  </w:t>
      </w:r>
      <w:r>
        <w:t>Each Party's aggregate liability to the other under or in connection with this Agreement shall not exceed the total Net Revenue paid or payable to Taurus in the twelve (12) months preceding the event giving rise to the claim.</w:t>
      </w:r>
    </w:p>
    <w:p>
      <w:r>
        <w:br w:type="page"/>
      </w:r>
    </w:p>
    <w:p>
      <w:pPr>
        <w:pStyle w:val="Heading1"/>
        <w:spacing w:before="240"/>
      </w:pPr>
      <w:r>
        <w:t>ARTICLE 11 — TERM AND TERMINATION</w:t>
      </w:r>
    </w:p>
    <w:p>
      <w:pPr>
        <w:spacing w:after="120"/>
        <w:ind w:left="360"/>
      </w:pPr>
      <w:r>
        <w:rPr>
          <w:b/>
        </w:rPr>
        <w:t xml:space="preserve">11.1  </w:t>
      </w:r>
      <w:r>
        <w:t>Term.  This Agreement shall commence on the Effective Date and shall continue indefinitely unless terminated as provided herein.</w:t>
      </w:r>
    </w:p>
    <w:p>
      <w:pPr>
        <w:spacing w:after="120"/>
        <w:ind w:left="360"/>
      </w:pPr>
      <w:r>
        <w:rPr>
          <w:b/>
        </w:rPr>
        <w:t xml:space="preserve">11.2  </w:t>
      </w:r>
      <w:r>
        <w:t>Termination by Mutual Agreement.  The Parties may terminate this Agreement at any time by written agreement.</w:t>
      </w:r>
    </w:p>
    <w:p>
      <w:pPr>
        <w:spacing w:after="120"/>
        <w:ind w:left="360"/>
      </w:pPr>
      <w:r>
        <w:rPr>
          <w:b/>
        </w:rPr>
        <w:t xml:space="preserve">11.3  </w:t>
      </w:r>
      <w:r>
        <w:t>Termination for Cause.  Either Party may terminate this Agreement upon thirty (30) days' written notice if the other Party materially breaches this Agreement and fails to cure such breach within the notice period.</w:t>
      </w:r>
    </w:p>
    <w:p>
      <w:pPr>
        <w:spacing w:after="120"/>
        <w:ind w:left="360"/>
      </w:pPr>
      <w:r>
        <w:rPr>
          <w:b/>
        </w:rPr>
        <w:t xml:space="preserve">11.4  </w:t>
      </w:r>
      <w:r>
        <w:t>Effect of Termination.  Upon termination: (a) the license granted under Article 2 shall immediately terminate; (b) VIGMIS US shall cease all use of the IP; (c) VIGMIS US shall promptly pay to Taurus all amounts due and outstanding; (d) each Party shall return or destroy the other's Confidential Information.</w:t>
      </w:r>
    </w:p>
    <w:p>
      <w:pPr>
        <w:spacing w:after="120"/>
        <w:ind w:left="360"/>
      </w:pPr>
      <w:r>
        <w:rPr>
          <w:b/>
        </w:rPr>
        <w:t xml:space="preserve">11.5  </w:t>
      </w:r>
      <w:r>
        <w:t>Survival.  Articles 1, 6, 7, 8, 9, 10, 12, and 13 shall survive any termination or expiration of this Agreement.</w:t>
      </w:r>
    </w:p>
    <w:p>
      <w:pPr>
        <w:spacing w:after="120"/>
        <w:ind w:left="360"/>
      </w:pPr>
      <w:r>
        <w:rPr>
          <w:b/>
        </w:rPr>
        <w:t xml:space="preserve">11.6  </w:t>
      </w:r>
      <w:r>
        <w:t>Insolvency and Wind-Down.  In the event of the dissolution, insolvency, bankruptcy, or winding-up of VIGMIS US (for any reason): (a) all existing End Customer relationships and contracts shall, to the extent permitted by applicable law, be assigned and transferred to Taurus or a Taurus-designated entity; (b) all End Customer data held or controlled by VIGMIS US shall be transferred to Taurus promptly and without charge; (c) the IP license granted under Article 2 shall immediately terminate; (d) VIGMIS US (or its liquidator, trustee, or equivalent) shall execute all documents reasonably necessary to effect the foregoing transfers; (e) any amounts owed to Taurus shall constitute a priority obligation in any VIGMIS US dissolution or insolvency proceeding, to the extent permitted by applicable law.</w:t>
      </w:r>
    </w:p>
    <w:p>
      <w:pPr>
        <w:pStyle w:val="Heading1"/>
        <w:spacing w:before="240"/>
      </w:pPr>
      <w:r>
        <w:t>ARTICLE 12 — TAX COOPERATION</w:t>
      </w:r>
    </w:p>
    <w:p>
      <w:pPr>
        <w:spacing w:after="120"/>
        <w:ind w:left="360"/>
      </w:pPr>
      <w:r>
        <w:rPr>
          <w:b/>
        </w:rPr>
        <w:t xml:space="preserve">12.1  </w:t>
      </w:r>
      <w:r>
        <w:t>General Cooperation.  Each Party shall cooperate with the other Party's reasonable requests in connection with the preparation and filing of tax returns, tax audits, and regulatory inquiries related to the transactions contemplated by this Agreement.</w:t>
      </w:r>
    </w:p>
    <w:p>
      <w:pPr>
        <w:spacing w:after="120"/>
        <w:ind w:left="360"/>
      </w:pPr>
      <w:r>
        <w:rPr>
          <w:b/>
        </w:rPr>
        <w:t xml:space="preserve">12.2  </w:t>
      </w:r>
      <w:r>
        <w:t>Form 5472 (US).  Taurus shall provide VIGMIS US with all information reasonably necessary for VIGMIS US to satisfy its US federal tax reporting obligations as a Foreign-Owned Single-Member LLC, including Form 5472 and the pro-forma Form 1120. VIGMIS US shall file all required forms timely. The Parties shall coordinate annual filings no later than thirty (30) days before the applicable deadline.</w:t>
      </w:r>
    </w:p>
    <w:p>
      <w:pPr>
        <w:spacing w:after="120"/>
        <w:ind w:left="360"/>
      </w:pPr>
      <w:r>
        <w:rPr>
          <w:b/>
        </w:rPr>
        <w:t xml:space="preserve">12.3  </w:t>
      </w:r>
      <w:r>
        <w:t>CFC Reporting (Israel).  VIGMIS US shall provide Taurus with all information reasonably necessary for Taurus to assess and satisfy any Controlled Foreign Corporation (CFC) reporting obligations under Israeli tax law, including financial statements and revenue data for each fiscal year.</w:t>
      </w:r>
    </w:p>
    <w:p>
      <w:pPr>
        <w:spacing w:after="120"/>
        <w:ind w:left="360"/>
      </w:pPr>
      <w:r>
        <w:rPr>
          <w:b/>
        </w:rPr>
        <w:t xml:space="preserve">12.4  </w:t>
      </w:r>
      <w:r>
        <w:t>Transfer Pricing Documentation.  The Parties shall maintain contemporaneous transfer pricing documentation sufficient to substantiate that the revenue allocation in Article 5 and cost allocation in Article 3.3 are consistent with the arm's-length standard. Such documentation shall be updated: (a) annually; (b) upon any material change in the operating model; and (c) upon any adjustment to the revenue allocation under Section 5.2.</w:t>
      </w:r>
    </w:p>
    <w:p>
      <w:pPr>
        <w:spacing w:after="120"/>
        <w:ind w:left="360"/>
      </w:pPr>
      <w:r>
        <w:rPr>
          <w:b/>
        </w:rPr>
        <w:t xml:space="preserve">12.5  </w:t>
      </w:r>
      <w:r>
        <w:t>Document Retention.  Each Party shall retain all financial records, invoices, Revenue Statements, and supporting documentation relating to intercompany transactions for a minimum of seven (7) years, or such longer period as required by applicable law.</w:t>
      </w:r>
    </w:p>
    <w:p>
      <w:pPr>
        <w:spacing w:after="120"/>
        <w:ind w:left="360"/>
      </w:pPr>
      <w:r>
        <w:rPr>
          <w:b/>
        </w:rPr>
        <w:t xml:space="preserve">12.6  </w:t>
      </w:r>
      <w:r>
        <w:t>No Tax Warranties.  Nothing in this Article shall be construed as either Party providing tax advice to the other. Each Party is solely responsible for obtaining independent tax advice and for its own tax compliance.</w:t>
      </w:r>
    </w:p>
    <w:p>
      <w:pPr>
        <w:pStyle w:val="Heading1"/>
        <w:spacing w:before="240"/>
      </w:pPr>
      <w:r>
        <w:t>ARTICLE 13 — GENERAL PROVISIONS</w:t>
      </w:r>
    </w:p>
    <w:p>
      <w:pPr>
        <w:spacing w:after="120"/>
        <w:ind w:left="360"/>
      </w:pPr>
      <w:r>
        <w:rPr>
          <w:b/>
        </w:rPr>
        <w:t xml:space="preserve">13.1  </w:t>
      </w:r>
      <w:r>
        <w:t>Governing Law.  This Agreement shall be governed by and construed in accordance with the laws of the State of Israel, without regard to its conflict of laws principles. The Parties agree to submit to the exclusive jurisdiction of the competent courts in Tel Aviv, Israel.</w:t>
      </w:r>
    </w:p>
    <w:p>
      <w:pPr>
        <w:spacing w:after="120"/>
        <w:ind w:left="360"/>
      </w:pPr>
      <w:r>
        <w:rPr>
          <w:b/>
        </w:rPr>
        <w:t xml:space="preserve">13.2  </w:t>
      </w:r>
      <w:r>
        <w:t>Dispute Resolution.  The Parties shall attempt to resolve any dispute arising under this Agreement through good-faith negotiation. If the dispute cannot be resolved within thirty (30) days, the Parties may pursue legal remedies as permitted herein.</w:t>
      </w:r>
    </w:p>
    <w:p>
      <w:pPr>
        <w:spacing w:after="120"/>
        <w:ind w:left="360"/>
      </w:pPr>
      <w:r>
        <w:rPr>
          <w:b/>
        </w:rPr>
        <w:t xml:space="preserve">13.3  </w:t>
      </w:r>
      <w:r>
        <w:t>Entire Agreement.  This Agreement constitutes the entire agreement between the Parties with respect to its subject matter and supersedes all prior and contemporaneous agreements, representations, and understandings.</w:t>
      </w:r>
    </w:p>
    <w:p>
      <w:pPr>
        <w:spacing w:after="120"/>
        <w:ind w:left="360"/>
      </w:pPr>
      <w:r>
        <w:rPr>
          <w:b/>
        </w:rPr>
        <w:t xml:space="preserve">13.4  </w:t>
      </w:r>
      <w:r>
        <w:t>Amendment.  This Agreement may not be amended except by a written instrument signed by authorized representatives of both Parties.</w:t>
      </w:r>
    </w:p>
    <w:p>
      <w:pPr>
        <w:spacing w:after="120"/>
        <w:ind w:left="360"/>
      </w:pPr>
      <w:r>
        <w:rPr>
          <w:b/>
        </w:rPr>
        <w:t xml:space="preserve">13.5  </w:t>
      </w:r>
      <w:r>
        <w:t>Waiver.  No waiver of any breach of this Agreement shall constitute a waiver of any subsequent breach.</w:t>
      </w:r>
    </w:p>
    <w:p>
      <w:pPr>
        <w:spacing w:after="120"/>
        <w:ind w:left="360"/>
      </w:pPr>
      <w:r>
        <w:rPr>
          <w:b/>
        </w:rPr>
        <w:t xml:space="preserve">13.6  </w:t>
      </w:r>
      <w:r>
        <w:t>Severability.  If any provision of this Agreement is found to be invalid or unenforceable, the remaining provisions shall continue in full force and effect.</w:t>
      </w:r>
    </w:p>
    <w:p>
      <w:pPr>
        <w:spacing w:after="120"/>
        <w:ind w:left="360"/>
      </w:pPr>
      <w:r>
        <w:rPr>
          <w:b/>
        </w:rPr>
        <w:t xml:space="preserve">13.7  </w:t>
      </w:r>
      <w:r>
        <w:t>Notices.  All notices shall be in writing and delivered to the addresses set forth in the preamble, by email with confirmation, courier, or registered mail.</w:t>
      </w:r>
    </w:p>
    <w:p>
      <w:pPr>
        <w:spacing w:after="120"/>
        <w:ind w:left="360"/>
      </w:pPr>
      <w:r>
        <w:rPr>
          <w:b/>
        </w:rPr>
        <w:t xml:space="preserve">13.8  </w:t>
      </w:r>
      <w:r>
        <w:t>Relationship of Parties.  The Parties are independent contracting entities. Nothing in this Agreement shall be construed to create a partnership, joint venture, agency, employment, or fiduciary relationship between the Parties.</w:t>
      </w:r>
    </w:p>
    <w:p>
      <w:pPr>
        <w:spacing w:after="120"/>
        <w:ind w:left="360"/>
      </w:pPr>
      <w:r>
        <w:rPr>
          <w:b/>
        </w:rPr>
        <w:t xml:space="preserve">13.9  </w:t>
      </w:r>
      <w:r>
        <w:t>Related Parties / Arm's Length.  The Parties acknowledge that they are related parties under common ownership. They confirm that the terms herein are intended to reflect an arm's-length arrangement designed to withstand scrutiny by Israeli and United States tax authorities.</w:t>
      </w:r>
    </w:p>
    <w:p>
      <w:pPr>
        <w:spacing w:after="120"/>
        <w:ind w:left="360"/>
      </w:pPr>
      <w:r>
        <w:rPr>
          <w:b/>
        </w:rPr>
        <w:t xml:space="preserve">13.10  </w:t>
      </w:r>
      <w:r>
        <w:t>Counterparts.  This Agreement may be executed in counterparts, each of which shall be deemed an original, and all of which together shall constitute one and the same instrument. Electronic signatures shall be deemed valid.</w:t>
      </w:r>
    </w:p>
    <w:p>
      <w:pPr>
        <w:spacing w:before="80" w:after="80"/>
        <w:pBdr>
          <w:bottom w:val="single" w:sz="6" w:space="1" w:color="94A3B8"/>
        </w:pBdr>
      </w:pPr>
    </w:p>
    <w:p>
      <w:pPr>
        <w:pStyle w:val="Heading1"/>
      </w:pPr>
      <w:r>
        <w:t>SIGNATURES</w:t>
      </w:r>
    </w:p>
    <w:p>
      <w:pPr>
        <w:spacing w:after="400"/>
      </w:pPr>
      <w:r>
        <w:t>IN WITNESS WHEREOF, the Parties have executed this Agreement as of the Effective Date.</w:t>
      </w:r>
    </w:p>
    <w:tbl>
      <w:tblPr>
        <w:tblW w:type="auto" w:w="0"/>
        <w:tblLook w:firstColumn="1" w:firstRow="1" w:lastColumn="0" w:lastRow="0" w:noHBand="0" w:noVBand="1" w:val="04A0"/>
      </w:tblPr>
      <w:tblGrid>
        <w:gridCol w:w="4252"/>
        <w:gridCol w:w="4252"/>
      </w:tblGrid>
      <w:tr>
        <w:tc>
          <w:tcPr>
            <w:tcW w:type="dxa" w:w="4252"/>
          </w:tcPr>
          <w:p>
            <w:r>
              <w:rPr>
                <w:b/>
                <w:sz w:val="20"/>
              </w:rPr>
              <w:t>TAURUS MANAGEMENT AND INVESTMENTS LTD.</w:t>
            </w:r>
          </w:p>
        </w:tc>
        <w:tc>
          <w:tcPr>
            <w:tcW w:type="dxa" w:w="4252"/>
          </w:tcPr>
          <w:p>
            <w:r>
              <w:rPr>
                <w:b/>
                <w:sz w:val="20"/>
              </w:rPr>
              <w:t>VIGMIS US LLC</w:t>
            </w:r>
          </w:p>
        </w:tc>
      </w:tr>
      <w:tr>
        <w:tc>
          <w:tcPr>
            <w:tcW w:type="dxa" w:w="4252"/>
          </w:tcPr>
          <w:p>
            <w:r>
              <w:rPr>
                <w:i/>
                <w:color w:val="64748B"/>
                <w:sz w:val="20"/>
              </w:rPr>
              <w:t>(Israeli private company, Reg. No. 514565118)</w:t>
            </w:r>
          </w:p>
        </w:tc>
        <w:tc>
          <w:tcPr>
            <w:tcW w:type="dxa" w:w="4252"/>
          </w:tcPr>
          <w:p>
            <w:r>
              <w:rPr>
                <w:i/>
                <w:color w:val="64748B"/>
                <w:sz w:val="20"/>
              </w:rPr>
              <w:t>(Wyoming LLC, wholly owned by Taurus)</w:t>
            </w:r>
          </w:p>
        </w:tc>
      </w:tr>
      <w:tr>
        <w:tc>
          <w:tcPr>
            <w:tcW w:type="dxa" w:w="4252"/>
          </w:tcPr>
          <w:p>
            <w:r>
              <w:rPr>
                <w:sz w:val="20"/>
              </w:rPr>
            </w:r>
          </w:p>
        </w:tc>
        <w:tc>
          <w:tcPr>
            <w:tcW w:type="dxa" w:w="4252"/>
          </w:tcPr>
          <w:p>
            <w:r>
              <w:rPr>
                <w:sz w:val="20"/>
              </w:rPr>
            </w:r>
          </w:p>
        </w:tc>
      </w:tr>
      <w:tr>
        <w:tc>
          <w:tcPr>
            <w:tcW w:type="dxa" w:w="4252"/>
          </w:tcPr>
          <w:p>
            <w:r>
              <w:rPr>
                <w:sz w:val="20"/>
              </w:rPr>
              <w:t>By: ___________________________</w:t>
            </w:r>
          </w:p>
        </w:tc>
        <w:tc>
          <w:tcPr>
            <w:tcW w:type="dxa" w:w="4252"/>
          </w:tcPr>
          <w:p>
            <w:r>
              <w:rPr>
                <w:sz w:val="20"/>
              </w:rPr>
              <w:t>By: ___________________________</w:t>
            </w:r>
          </w:p>
        </w:tc>
      </w:tr>
      <w:tr>
        <w:tc>
          <w:tcPr>
            <w:tcW w:type="dxa" w:w="4252"/>
          </w:tcPr>
          <w:p>
            <w:r>
              <w:rPr>
                <w:sz w:val="20"/>
              </w:rPr>
              <w:t>Name: Amichai Krupik</w:t>
            </w:r>
          </w:p>
        </w:tc>
        <w:tc>
          <w:tcPr>
            <w:tcW w:type="dxa" w:w="4252"/>
          </w:tcPr>
          <w:p>
            <w:r>
              <w:rPr>
                <w:sz w:val="20"/>
              </w:rPr>
              <w:t>Name: Amichai Krupik</w:t>
            </w:r>
          </w:p>
        </w:tc>
      </w:tr>
      <w:tr>
        <w:tc>
          <w:tcPr>
            <w:tcW w:type="dxa" w:w="4252"/>
          </w:tcPr>
          <w:p>
            <w:r>
              <w:rPr>
                <w:sz w:val="20"/>
              </w:rPr>
              <w:t>Title: Director / Authorized Signatory</w:t>
            </w:r>
          </w:p>
        </w:tc>
        <w:tc>
          <w:tcPr>
            <w:tcW w:type="dxa" w:w="4252"/>
          </w:tcPr>
          <w:p>
            <w:r>
              <w:rPr>
                <w:sz w:val="20"/>
              </w:rPr>
              <w:t>Title: Manager / Authorized Signatory</w:t>
            </w:r>
          </w:p>
        </w:tc>
      </w:tr>
      <w:tr>
        <w:tc>
          <w:tcPr>
            <w:tcW w:type="dxa" w:w="4252"/>
          </w:tcPr>
          <w:p>
            <w:r>
              <w:rPr>
                <w:sz w:val="20"/>
              </w:rPr>
              <w:t>Date: ___________________________</w:t>
            </w:r>
          </w:p>
        </w:tc>
        <w:tc>
          <w:tcPr>
            <w:tcW w:type="dxa" w:w="4252"/>
          </w:tcPr>
          <w:p>
            <w:r>
              <w:rPr>
                <w:sz w:val="20"/>
              </w:rPr>
              <w:t>Date: ___________________________</w:t>
            </w:r>
          </w:p>
        </w:tc>
      </w:tr>
    </w:tbl>
    <w:p/>
    <w:p>
      <w:r>
        <w:rPr>
          <w:i/>
          <w:color w:val="94A3B8"/>
          <w:sz w:val="18"/>
        </w:rPr>
        <w:t>This document is a working draft prepared for internal business purposes and for review by qualified legal counsel and tax advisors in both Israel and the United States. It does not constitute legal or tax advice. The Parties should engage qualified counsel prior to finalizing and executing this Agreement.</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