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2024-01-08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549204531ac4cfafaf6f31089837a83c8a77192"/>
      <w:r>
        <w:t xml:space="preserve">PART I</w:t>
      </w:r>
      <w:bookmarkEnd w:id="25"/>
    </w:p>
    <w:p>
      <w:pPr>
        <w:pStyle w:val="Heading1"/>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 2.0 able to stand to its expectations of delivering an increasing number and volume of real-time data to WMO Centres in a reliable and cost effective way.</w:t>
      </w:r>
    </w:p>
    <w:p>
      <w:pPr>
        <w:pStyle w:val="BodyText"/>
      </w:pPr>
      <w:r>
        <w:t xml:space="preserve">WIS 2.0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 2.0 technical framework is based around three foundational pillars: leveraging open standards, simpler data exchange and cloud-ready solutions.</w:t>
      </w:r>
    </w:p>
    <w:p>
      <w:pPr>
        <w:pStyle w:val="Heading2"/>
      </w:pPr>
      <w:bookmarkStart w:id="27" w:name="Xd4bb5a1c4cdba43de6397d6e3c16aac779bf079"/>
      <w:r>
        <w:t xml:space="preserve">Leveraging open standards</w:t>
      </w:r>
      <w:bookmarkEnd w:id="27"/>
    </w:p>
    <w:p>
      <w:pPr>
        <w:pStyle w:val="FirstParagraph"/>
      </w:pPr>
      <w:r>
        <w:t xml:space="preserve">WIS 2.0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 2.0 leverages open standards with industry adoption and wider, stable, and robust implementations, thus extending the reach of WMO data sharing and lowering the barrier to access by Members.</w:t>
      </w:r>
    </w:p>
    <w:p>
      <w:pPr>
        <w:pStyle w:val="Heading2"/>
      </w:pPr>
      <w:bookmarkStart w:id="28" w:name="X0734bef67de5db9235582f4a529712381e37fcc"/>
      <w:r>
        <w:t xml:space="preserve">Simpler data exchange</w:t>
      </w:r>
      <w:bookmarkEnd w:id="28"/>
    </w:p>
    <w:p>
      <w:pPr>
        <w:pStyle w:val="FirstParagraph"/>
      </w:pPr>
      <w:r>
        <w:t xml:space="preserve">WIS 2.0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 2.0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 2.0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2"/>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 2.0 encourages WMO centres to adopt cloud technologies where appropriate to meet their users' needs. Whilst WMO technical regulations will not mandate cloud services, WIS 2.0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 2.0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 Why 5-days in this example? Because only 5-days of observations is retained in the system used to publish the data.</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numPr>
          <w:ilvl w:val="0"/>
          <w:numId w:val="1005"/>
        </w:numPr>
      </w:pPr>
      <w:r>
        <w:t xml:space="preserve">[more examples from other Earth system domains?]</w:t>
      </w:r>
    </w:p>
    <w:p>
      <w:pPr>
        <w:pStyle w:val="FirstParagraph"/>
      </w:pPr>
      <w:r>
        <w:t xml:space="preserve">In summary, Datasets are important because they’re how data is managed in WIS.</w:t>
      </w:r>
    </w:p>
    <w:p>
      <w:pPr>
        <w:pStyle w:val="Heading2"/>
      </w:pPr>
      <w:bookmarkStart w:id="35" w:name="X36a36d20ed8b57daac55eb3f88e6dde10183c57"/>
      <w:r>
        <w:t xml:space="preserve">Data consumer</w:t>
      </w:r>
      <w:bookmarkEnd w:id="35"/>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6" w:name="X88563ffdd7356ee45e6c49c64c2245633db4908"/>
      <w:r>
        <w:t xml:space="preserve">How to search the Global Discovery Catalogue to find Datasets</w:t>
      </w:r>
      <w:bookmarkEnd w:id="36"/>
    </w:p>
    <w:p>
      <w:pPr>
        <w:pStyle w:val="FirstParagraph"/>
      </w:pPr>
      <w:r>
        <w:t xml:space="preserve">A Data Consumer may browse discovery metadata provided by the Global Discovery Catalogue to locate a Dataset of interest. Discovery metadata follows a standard scheme (see PART V Discovery Metadata). A Data Consumer may discover a Dataset using keywords, topics, geographic area of interest, or date(s) associated with the Dataset. Matching search results from the Global Discovery Catalogue provide high-level information (title, description, keywords, spatiotemporal extents, data policy, licensing), from which a Data Consumer can assess and evaluate their interest in accessing/downloading the Dataset’s data.</w:t>
      </w:r>
    </w:p>
    <w:p>
      <w:pPr>
        <w:pStyle w:val="BodyText"/>
      </w:pPr>
      <w:r>
        <w:t xml:space="preserve">A key component of Dataset records in the Global Discovery Catalogue is that of "actionable" links. A Dataset record provides one to many links that clearly identify the nature of the link (informational, direct download, API or Web service) so that the Data Consumer can interact with the data accordingly. For example, a Dataset record may include a link to subscribe to notifications (see 2.2.2 how to subscribe to notification about availability of new data) about the data, or a API or Web service, or an offline archive retrieval service.</w:t>
      </w:r>
    </w:p>
    <w:p>
      <w:pPr>
        <w:pStyle w:val="BodyText"/>
      </w:pPr>
      <w:r>
        <w:t xml:space="preserve">TODO: To be completed</w:t>
      </w:r>
    </w:p>
    <w:p>
      <w:pPr>
        <w:pStyle w:val="Heading3"/>
      </w:pPr>
      <w:bookmarkStart w:id="37" w:name="X2bf408fdf972204c7fe8c8bfcecd849f33d2c04"/>
      <w:r>
        <w:t xml:space="preserve">How to subscribe to notifications about availability of new data</w:t>
      </w:r>
      <w:bookmarkEnd w:id="37"/>
    </w:p>
    <w:p>
      <w:pPr>
        <w:pStyle w:val="FirstParagraph"/>
      </w:pPr>
      <w:r>
        <w:t xml:space="preserve">A Data Consumer may browse the topics provided by a Global Broker to locate a Dataset of interest to them. Topic structures follow a standard scheme (see WIS2 messages Standard topic hierarchy). A Data Consumer may discover more about the Dataset associated with a particular topic by using the topic-name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at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discovery metadata will include a link to subscribe to "data availability" messages from the Global Cache instances. Data Consumers will subscribe to these "Global Cache" topics and not to the topic that contains messages from the originating NC/DCPC.</w:t>
      </w:r>
    </w:p>
    <w:p>
      <w:pPr>
        <w:pStyle w:val="BodyText"/>
      </w:pPr>
      <w:r>
        <w:t xml:space="preserve">TODO: To be completed</w:t>
      </w:r>
    </w:p>
    <w:p>
      <w:pPr>
        <w:pStyle w:val="Heading3"/>
      </w:pPr>
      <w:bookmarkStart w:id="38" w:name="Xcc74123211a801bd7777cf5f2cb58a808b6c657"/>
      <w:r>
        <w:t xml:space="preserve">How to use a notification message to decide whether to download data</w:t>
      </w:r>
      <w:bookmarkEnd w:id="38"/>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BodyText"/>
      </w:pPr>
      <w:r>
        <w:t xml:space="preserve">TODO: To be completed</w:t>
      </w:r>
    </w:p>
    <w:p>
      <w:pPr>
        <w:pStyle w:val="Heading3"/>
      </w:pPr>
      <w:bookmarkStart w:id="39" w:name="Xd05779fe503e173308862c77264285c3349f6ff"/>
      <w:r>
        <w:t xml:space="preserve">How to download data from the Global Cache and WIS nodes</w:t>
      </w:r>
      <w:bookmarkEnd w:id="39"/>
    </w:p>
    <w:p>
      <w:pPr>
        <w:pStyle w:val="FirstParagraph"/>
      </w:pPr>
      <w:r>
        <w:t xml:space="preserve">Dataset links are made available through Dataset discovery metadata (via the Global Discovery Catalogue) as well as data notification messages (via Global Brokers). Links can be used to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TODO: To be completed</w:t>
      </w:r>
    </w:p>
    <w:p>
      <w:pPr>
        <w:pStyle w:val="Heading3"/>
      </w:pPr>
      <w:bookmarkStart w:id="40" w:name="X41f7bb3170fbe6ad35852cc4a96af8efdea000a"/>
      <w:r>
        <w:t xml:space="preserve">Additional sections of interest to a Data Consumer (TODO: fix crossref)</w:t>
      </w:r>
      <w:bookmarkEnd w:id="40"/>
    </w:p>
    <w:p>
      <w:pPr>
        <w:numPr>
          <w:ilvl w:val="0"/>
          <w:numId w:val="1006"/>
        </w:numPr>
      </w:pPr>
      <w:r>
        <w:t xml:space="preserve">1.2 What is WIS2?</w:t>
      </w:r>
    </w:p>
    <w:p>
      <w:pPr>
        <w:numPr>
          <w:ilvl w:val="0"/>
          <w:numId w:val="1006"/>
        </w:numPr>
      </w:pPr>
      <w:r>
        <w:t xml:space="preserve">1.3 Why are Datasets so important?</w:t>
      </w:r>
    </w:p>
    <w:p>
      <w:pPr>
        <w:pStyle w:val="Heading2"/>
      </w:pPr>
      <w:bookmarkStart w:id="41" w:name="X6cb1def057f1992ce4f8f7eebf9044ec834d943"/>
      <w:r>
        <w:t xml:space="preserve">Data publisher</w:t>
      </w:r>
      <w:bookmarkEnd w:id="41"/>
    </w:p>
    <w:p>
      <w:pPr>
        <w:pStyle w:val="FirstParagraph"/>
      </w:pPr>
      <w:r>
        <w:t xml:space="preserve">As a Data Publisher planning to operate a WIS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2" w:name="Xac616973940976592176a2b0324f72453ca8011"/>
      <w:r>
        <w:t xml:space="preserve">How to publish Dataset discovery metadata to the Global Discovery Catalogue</w:t>
      </w:r>
      <w:bookmarkEnd w:id="42"/>
    </w:p>
    <w:p>
      <w:pPr>
        <w:pStyle w:val="FirstParagraph"/>
      </w:pPr>
      <w:r>
        <w:t xml:space="preserve">A Data Producer publishes discovery metadata to the Global Discovery Catalogue by generating a discovery metadata record (see PART V Discovery Metadata) and publishing it via a WIS Node broker in accordance to the standard topic hierarchy. Global Services subscribed to WIS Nodes then validate, ingest and publish the Dataset discovery metadata record to the Global Discovery Catalogue.</w:t>
      </w:r>
    </w:p>
    <w:p>
      <w:pPr>
        <w:pStyle w:val="Heading3"/>
      </w:pPr>
      <w:bookmarkStart w:id="43" w:name="Xed1b426268a2c143d39ee07b05662eb36fa83ad"/>
      <w:r>
        <w:t xml:space="preserve">How to publish data notifications</w:t>
      </w:r>
      <w:bookmarkEnd w:id="43"/>
    </w:p>
    <w:p>
      <w:pPr>
        <w:pStyle w:val="FirstParagraph"/>
      </w:pPr>
      <w:r>
        <w:t xml:space="preserve">A Data Producer publishes data notifications by generating a notification message (see 7.2.2 Notification_messages) via a WIS2 Node broker in accordance with the standard topic hierarchy. Global Brokers subscribe to WIS2Nodes and then re-publish the data notification. If applicable, Global Cache ingests the associated file or data for re-publication to the Global Broker.</w:t>
      </w:r>
    </w:p>
    <w:p>
      <w:pPr>
        <w:pStyle w:val="Heading3"/>
      </w:pPr>
      <w:bookmarkStart w:id="44" w:name="Xc4bb7e2999901fa2b6eee397a938e54d554c9f0"/>
      <w:r>
        <w:t xml:space="preserve">How to publish data to the Global Broker</w:t>
      </w:r>
      <w:bookmarkEnd w:id="44"/>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5" w:name="X27c3714cbd41941b233815ec66585da0909fd6e"/>
      <w:r>
        <w:t xml:space="preserve">PART II</w:t>
      </w:r>
      <w:bookmarkEnd w:id="45"/>
    </w:p>
    <w:p>
      <w:pPr>
        <w:pStyle w:val="Heading2"/>
      </w:pPr>
      <w:bookmarkStart w:id="46" w:name="Xee31e45694d178744a29089d70d1cd98c260b58"/>
      <w:r>
        <w:t xml:space="preserve">WIS2 Architecture</w:t>
      </w:r>
      <w:bookmarkEnd w:id="46"/>
    </w:p>
    <w:p>
      <w:pPr>
        <w:pStyle w:val="Heading2"/>
      </w:pPr>
      <w:bookmarkStart w:id="47" w:name="X6eb8c0f1dda61c30be79bb5fe513cc6e308df74"/>
      <w:r>
        <w:t xml:space="preserve">Implementation and operation of WIS2 Node</w:t>
      </w:r>
      <w:bookmarkEnd w:id="47"/>
    </w:p>
    <w:p>
      <w:pPr>
        <w:pStyle w:val="Heading3"/>
      </w:pPr>
      <w:bookmarkStart w:id="48" w:name="X2dc45f7e3308f894d44a9e549266f7a5068a5e5"/>
      <w:r>
        <w:t xml:space="preserve">Practices and procedures</w:t>
      </w:r>
      <w:bookmarkEnd w:id="48"/>
    </w:p>
    <w:p>
      <w:pPr>
        <w:pStyle w:val="Heading4"/>
      </w:pPr>
      <w:bookmarkStart w:id="49" w:name="X2f3309e4993c5808b61e22f79cb053ac9aed9e2"/>
      <w:r>
        <w:t xml:space="preserve">Registration and decommissioning of a WIS node</w:t>
      </w:r>
      <w:bookmarkEnd w:id="49"/>
    </w:p>
    <w:p>
      <w:pPr>
        <w:pStyle w:val="FirstParagraph"/>
      </w:pPr>
      <w:r>
        <w:t xml:space="preserve">This section describes the process used to register or remove a WIS node within WIS2. During the initial part of the WIS2 pilot phase, a Member simply needs to notify the WMO Secretariat and primary GISC of the intent to register a new WIS node. The Secretariat and GISC will then assist in the registration. More formal procedures will be developed as the number of WIS nodes increases.</w:t>
      </w:r>
    </w:p>
    <w:p>
      <w:pPr>
        <w:pStyle w:val="BodyText"/>
      </w:pPr>
      <w:r>
        <w:t xml:space="preserve">TODO: To be completed</w:t>
      </w:r>
    </w:p>
    <w:p>
      <w:pPr>
        <w:pStyle w:val="Heading4"/>
      </w:pPr>
      <w:bookmarkStart w:id="50" w:name="Xf767dc45d10fda218afde6b3036463a48df52ca"/>
      <w:r>
        <w:t xml:space="preserve">Registration and removal of a Dataset</w:t>
      </w:r>
      <w:bookmarkEnd w:id="50"/>
    </w:p>
    <w:p>
      <w:pPr>
        <w:pStyle w:val="FirstParagraph"/>
      </w:pPr>
      <w:r>
        <w:t xml:space="preserve">This section describes the process used to register a Dataset so that it may be discovered and shared within WIS2. In cases where a WIS Centre no longer wishes to share a Dataset via WIS, it must be removed as per the procedure described here.</w:t>
      </w:r>
    </w:p>
    <w:p>
      <w:pPr>
        <w:pStyle w:val="BodyText"/>
      </w:pPr>
      <w:r>
        <w:t xml:space="preserve">TODO: to be completed</w:t>
      </w:r>
    </w:p>
    <w:p>
      <w:pPr>
        <w:pStyle w:val="Heading4"/>
      </w:pPr>
      <w:bookmarkStart w:id="51" w:name="X3289680ea2f7d4109aa6428f322d340e91d0957"/>
      <w:r>
        <w:t xml:space="preserve">Connecting with Global Services</w:t>
      </w:r>
      <w:bookmarkEnd w:id="51"/>
    </w:p>
    <w:p>
      <w:pPr>
        <w:pStyle w:val="FirstParagraph"/>
      </w:pPr>
      <w:r>
        <w:t xml:space="preserve">This section describes the process by which a WIS node is registered with one or more Global Broker and Global Cache components.</w:t>
      </w:r>
    </w:p>
    <w:p>
      <w:pPr>
        <w:pStyle w:val="BodyText"/>
      </w:pPr>
      <w:r>
        <w:t xml:space="preserve">TODO: to be completed</w:t>
      </w:r>
    </w:p>
    <w:p>
      <w:pPr>
        <w:pStyle w:val="Heading3"/>
      </w:pPr>
      <w:bookmarkStart w:id="52" w:name="Xf27b1f0223a14cb62d964158e83b2aa83f010f8"/>
      <w:r>
        <w:t xml:space="preserve">Publishing data, discovery metadata, and notification messages</w:t>
      </w:r>
      <w:bookmarkEnd w:id="52"/>
    </w:p>
    <w:p>
      <w:pPr>
        <w:pStyle w:val="Heading4"/>
      </w:pPr>
      <w:bookmarkStart w:id="53" w:name="X62d67b478702f8c797216a8f6868a0b35e7d516"/>
      <w:r>
        <w:t xml:space="preserve">Discovery metadata</w:t>
      </w:r>
      <w:bookmarkEnd w:id="53"/>
    </w:p>
    <w:p>
      <w:pPr>
        <w:pStyle w:val="FirstParagraph"/>
      </w:pPr>
      <w:r>
        <w:t xml:space="preserve">Discovery metadata shall be encoded according to the WMO Core Metadata Profile version 2 (WCMP2). See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Records). In this case, the URL used in the notification message will refer to the API endpoint identifying the specific discovery metadata record (e.g., an item as part of their discovery metadata catalogue/collection).</w:t>
      </w:r>
    </w:p>
    <w:p>
      <w:pPr>
        <w:pStyle w:val="BodyText"/>
      </w:pPr>
      <w:r>
        <w:t xml:space="preserve">These discovery metadata records are then propagated through the Global Service components into to the Global Discovery Catalogue where Data Consumers can search and browse.</w:t>
      </w:r>
    </w:p>
    <w:p>
      <w:pPr>
        <w:pStyle w:val="BodyText"/>
      </w:pPr>
      <w:r>
        <w:t xml:space="preserve">Discovery metadata must be published before data sharing through WIS begins.</w:t>
      </w:r>
    </w:p>
    <w:p>
      <w:pPr>
        <w:pStyle w:val="BodyText"/>
      </w:pPr>
      <w:r>
        <w:t xml:space="preserve">TODO: to be completed</w:t>
      </w:r>
    </w:p>
    <w:p>
      <w:pPr>
        <w:pStyle w:val="Heading4"/>
      </w:pPr>
      <w:bookmarkStart w:id="54" w:name="X1570affaafae1bfedcbec5b9543c51eae060db5"/>
      <w:r>
        <w:t xml:space="preserve">Notification messages</w:t>
      </w:r>
      <w:bookmarkEnd w:id="54"/>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55" w:name="X05ad229d6065a3fb9e9fa952b4fa2f12120cd4a"/>
      <w:r>
        <w:t xml:space="preserve">Data</w:t>
      </w:r>
      <w:bookmarkEnd w:id="55"/>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Standard topic hierarchy).</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w:t>
      </w:r>
    </w:p>
    <w:p>
      <w:pPr>
        <w:numPr>
          <w:ilvl w:val="0"/>
          <w:numId w:val="1007"/>
        </w:numPr>
      </w:pPr>
      <w:r>
        <w:t xml:space="preserve">Web Accessible Folders (WAF) – a Web-based folder structure listing the data object files by name .</w:t>
      </w:r>
    </w:p>
    <w:p>
      <w:pPr>
        <w:numPr>
          <w:ilvl w:val="0"/>
          <w:numId w:val="1007"/>
        </w:numPr>
      </w:pPr>
      <w:r>
        <w:t xml:space="preserve">Spatio-Temporal Asset Catalog (STAC) – a common language based on GeoJSON to describe geospatial data files so that it can be easily indexed, discovered, and accessed. Freely available, open-source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08"/>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08"/>
        </w:numPr>
      </w:pPr>
      <w:r>
        <w:t xml:space="preserve">Data Consumers are insulated from the complexities of how a Data Publisher chooses to persist their data. The Web API can provide access to Datasets in a way that is easy for users to understand.</w:t>
      </w:r>
    </w:p>
    <w:p>
      <w:pPr>
        <w:numPr>
          <w:ilvl w:val="0"/>
          <w:numId w:val="1008"/>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isn’t yet mature enough to prescribe the use of particular Web APIs. Instead, WIS2 seeks to leverage the experience of Data Publishers who have been using Web APIs to serve their communities.</w:t>
      </w:r>
    </w:p>
    <w:p>
      <w:pPr>
        <w:pStyle w:val="BodyText"/>
      </w:pPr>
      <w:r>
        <w:t xml:space="preserve">First, interactive Web APIs should be self-describing. A Data Consumer should not need to know, a 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Tooling(free,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commercial) that support them. We recommend that Data Publishers assess these open-standard API specifications to determine their suitability to for publishing their Datasets using APIs.</w:t>
      </w:r>
    </w:p>
    <w:p>
      <w:pPr>
        <w:pStyle w:val="BodyText"/>
      </w:pPr>
      <w:r>
        <w:t xml:space="preserve">Finally, we’re increasingly concerned with providing access to very large Datasets. The OGC has published a series of informative blogs on the subject of cloud-native geospatial data sharing. These are listed among in section 11.4.2 Informative References.</w:t>
      </w:r>
    </w:p>
    <w:p>
      <w:pPr>
        <w:pStyle w:val="BodyText"/>
      </w:pPr>
      <w:r>
        <w:t xml:space="preserve">TODO: to be completed</w:t>
      </w:r>
    </w:p>
    <w:p>
      <w:pPr>
        <w:pStyle w:val="Heading5"/>
      </w:pPr>
      <w:bookmarkStart w:id="56" w:name="X4c61f413c1bd3d905b4c8f2b481e7faf4997b39"/>
      <w:r>
        <w:t xml:space="preserve">Publication and topic selection</w:t>
      </w:r>
      <w:bookmarkEnd w:id="56"/>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Heading3"/>
      </w:pPr>
      <w:bookmarkStart w:id="57" w:name="X88471e81d2325170fe741992b384283916f363b"/>
      <w:r>
        <w:t xml:space="preserve">Performance management</w:t>
      </w:r>
      <w:bookmarkEnd w:id="57"/>
    </w:p>
    <w:p>
      <w:pPr>
        <w:pStyle w:val="Heading4"/>
      </w:pPr>
      <w:bookmarkStart w:id="58" w:name="Xe6d7c72f985dadd42293bc857d52add7d42ea2b"/>
      <w:r>
        <w:t xml:space="preserve">Service levels and performance indicators</w:t>
      </w:r>
      <w:bookmarkEnd w:id="58"/>
    </w:p>
    <w:p>
      <w:pPr>
        <w:pStyle w:val="FirstParagraph"/>
      </w:pPr>
      <w:r>
        <w:t xml:space="preserve">This section describes the minimum performance criteria for operation of a WIS node.</w:t>
      </w:r>
    </w:p>
    <w:p>
      <w:pPr>
        <w:pStyle w:val="BodyText"/>
      </w:pPr>
      <w:r>
        <w:t xml:space="preserve">TODO: to be completed</w:t>
      </w:r>
    </w:p>
    <w:p>
      <w:pPr>
        <w:pStyle w:val="Heading4"/>
      </w:pPr>
      <w:bookmarkStart w:id="59" w:name="X8bf05b2e0d10427f62345612d639c55cc744267"/>
      <w:r>
        <w:t xml:space="preserve">Provision of system performance metrics</w:t>
      </w:r>
      <w:bookmarkEnd w:id="59"/>
    </w:p>
    <w:p>
      <w:pPr>
        <w:pStyle w:val="FirstParagraph"/>
      </w:pPr>
      <w:r>
        <w:t xml:space="preserve">This section describes how a WIS node should provide metrics to the Global Monitor service and its primary GISC.</w:t>
      </w:r>
    </w:p>
    <w:p>
      <w:pPr>
        <w:pStyle w:val="BodyText"/>
      </w:pPr>
      <w:r>
        <w:t xml:space="preserve">TODO: to be completed</w:t>
      </w:r>
    </w:p>
    <w:p>
      <w:pPr>
        <w:pStyle w:val="Heading3"/>
      </w:pPr>
      <w:bookmarkStart w:id="60" w:name="Xae5d89733bfcf82aaecc9731c04a0fb1d348115"/>
      <w:r>
        <w:t xml:space="preserve">WIS Node reference implementation: wis2box</w:t>
      </w:r>
      <w:bookmarkEnd w:id="60"/>
    </w:p>
    <w:p>
      <w:pPr>
        <w:pStyle w:val="FirstParagraph"/>
      </w:pPr>
      <w:r>
        <w:t xml:space="preserve">Members may use whichever software components they consider most appropriate to comply with the WIS2 Technical Regulations.</w:t>
      </w:r>
    </w:p>
    <w:p>
      <w:pPr>
        <w:pStyle w:val="BodyText"/>
      </w:pPr>
      <w:r>
        <w:t xml:space="preserve">To assist Members participate in WIS2, a freely available, open-source Reference Implementation has been developed: "WIS2 in a box" (referred to as wis2box). It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09"/>
        </w:numPr>
      </w:pPr>
      <w:r>
        <w:t xml:space="preserve">Real-time or archive data and metadata publishing to WIS2 (Publish), including available data transformation and processing pipelines</w:t>
      </w:r>
    </w:p>
    <w:p>
      <w:pPr>
        <w:numPr>
          <w:ilvl w:val="0"/>
          <w:numId w:val="1009"/>
        </w:numPr>
      </w:pPr>
      <w:r>
        <w:t xml:space="preserve">MQTT Message Broker and notification message publication (Subscribe)</w:t>
      </w:r>
    </w:p>
    <w:p>
      <w:pPr>
        <w:numPr>
          <w:ilvl w:val="0"/>
          <w:numId w:val="1009"/>
        </w:numPr>
      </w:pPr>
      <w:r>
        <w:t xml:space="preserve">Object storage server providing raw data access (Download)</w:t>
      </w:r>
    </w:p>
    <w:p>
      <w:pPr>
        <w:numPr>
          <w:ilvl w:val="0"/>
          <w:numId w:val="1009"/>
        </w:numPr>
      </w:pPr>
      <w:r>
        <w:t xml:space="preserve">OGC API server, providing dynamic APIs and Web services for discovery, access, visualization and processing functionality (APIs)</w:t>
      </w:r>
    </w:p>
    <w:p>
      <w:pPr>
        <w:numPr>
          <w:ilvl w:val="0"/>
          <w:numId w:val="1009"/>
        </w:numPr>
      </w:pPr>
      <w:r>
        <w:t xml:space="preserve">Discovery metadata curation / editing tools</w:t>
      </w:r>
    </w:p>
    <w:p>
      <w:pPr>
        <w:numPr>
          <w:ilvl w:val="0"/>
          <w:numId w:val="1009"/>
        </w:numPr>
      </w:pPr>
      <w:r>
        <w:t xml:space="preserve">Notification subscription and real-time download of data upon receipt of notifications.</w:t>
      </w:r>
    </w:p>
    <w:p>
      <w:pPr>
        <w:numPr>
          <w:ilvl w:val="0"/>
          <w:numId w:val="1009"/>
        </w:numPr>
      </w:pPr>
      <w:r>
        <w:t xml:space="preserve">Provision of system performance and data availability metrics</w:t>
      </w:r>
    </w:p>
    <w:p>
      <w:pPr>
        <w:numPr>
          <w:ilvl w:val="0"/>
          <w:numId w:val="1009"/>
        </w:numPr>
      </w:pPr>
      <w:r>
        <w:t xml:space="preserve">The modular design of wis2box makes it simple to extend to meet additional requirements or integrate with existing data management systems.</w:t>
      </w:r>
    </w:p>
    <w:p>
      <w:pPr>
        <w:numPr>
          <w:ilvl w:val="0"/>
          <w:numId w:val="1009"/>
        </w:numPr>
      </w:pPr>
      <w:r>
        <w:t xml:space="preserve">wis2box already provides a useful set of functionality and will continue to evolve and develop throughout the WIS2 pilot phase and beyond.</w:t>
      </w:r>
    </w:p>
    <w:p>
      <w:pPr>
        <w:pStyle w:val="FirstParagraph"/>
      </w:pPr>
      <w:r>
        <w:t xml:space="preserve">Documentation is published in wis2box documentation.</w:t>
      </w:r>
    </w:p>
    <w:p>
      <w:pPr>
        <w:pStyle w:val="BodyText"/>
      </w:pPr>
      <w:r>
        <w:t xml:space="preserve">The project in hosted in GitHub:</w:t>
      </w:r>
      <w:r>
        <w:t xml:space="preserve"> </w:t>
      </w:r>
      <w:hyperlink r:id="rId61">
        <w:r>
          <w:rPr>
            <w:rStyle w:val="Hyperlink"/>
          </w:rPr>
          <w:t xml:space="preserve">https://github.com/wmo-im/wis2box</w:t>
        </w:r>
      </w:hyperlink>
    </w:p>
    <w:p>
      <w:pPr>
        <w:pStyle w:val="Heading2"/>
      </w:pPr>
      <w:bookmarkStart w:id="62" w:name="X9e72a2ecfcdde13f98188c11fb151050efd6b8e"/>
      <w:r>
        <w:t xml:space="preserve">Implementation and operation of a Global Service</w:t>
      </w:r>
      <w:bookmarkEnd w:id="62"/>
    </w:p>
    <w:p>
      <w:pPr>
        <w:pStyle w:val="Heading3"/>
      </w:pPr>
      <w:bookmarkStart w:id="63" w:name="X2413b2167533c41decb1d7ad264ee77ac10f5b8"/>
      <w:r>
        <w:t xml:space="preserve">Procedure for registration of a new Global Service</w:t>
      </w:r>
      <w:bookmarkEnd w:id="63"/>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of centres operating a Global Service, so that collectively, the level of service is 100% (or very close):</w:t>
      </w:r>
      <w:r>
        <w:t xml:space="preserve"> </w:t>
      </w:r>
      <w:r>
        <w:t xml:space="preserve">* Three (3) Global Brokers - Each Global Broker connected to at least two (2) other Global Broker</w:t>
      </w:r>
      <w:r>
        <w:t xml:space="preserve"> </w:t>
      </w:r>
      <w:r>
        <w:t xml:space="preserve">* Three (3) Global Caches - Each Global Cache connected to at least two (2) Global Broker and should be able to download the data from all WIS Nodes providing Core data</w:t>
      </w:r>
      <w:r>
        <w:t xml:space="preserve"> </w:t>
      </w:r>
      <w:r>
        <w:t xml:space="preserve">* Two (2) Global Discovery Catalogues - Each Global Discovery Catalogue connected to at least one (1) Global Broker</w:t>
      </w:r>
      <w:r>
        <w:t xml:space="preserve"> </w:t>
      </w:r>
      <w:r>
        <w:t xml:space="preserve">* Two (2) Global Monitoring Centres - Each Global Monitoring Centre should scrape the metrics from all WIS Nodes and all other Global Service</w:t>
      </w:r>
    </w:p>
    <w:p>
      <w:pPr>
        <w:pStyle w:val="BodyText"/>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A WIS Centre may decide to run the proposed service or may decide to run another one.</w:t>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WMO Secretariat will include the new Global Service in the next fast track cycle of WIS Operation. When endorsed by the President of the Infrastructure Commission, the WIS Centre will be included in the list of Global Service operators.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64" w:name="X92a574e92bd468929fa857fcf361addb0e19130"/>
      <w:r>
        <w:t xml:space="preserve">Performance management and monitoring of a Global Service</w:t>
      </w:r>
      <w:bookmarkEnd w:id="64"/>
    </w:p>
    <w:p>
      <w:pPr>
        <w:pStyle w:val="Heading4"/>
      </w:pPr>
      <w:bookmarkStart w:id="65" w:name="X61b468b8bf7d4308bcaac71a7f66d738b5d312d"/>
      <w:r>
        <w:t xml:space="preserve">Service levels, performance indicators, and fair-usage policies</w:t>
      </w:r>
      <w:bookmarkEnd w:id="65"/>
    </w:p>
    <w:p>
      <w:pPr>
        <w:numPr>
          <w:ilvl w:val="0"/>
          <w:numId w:val="1010"/>
        </w:numPr>
      </w:pPr>
      <w:r>
        <w:t xml:space="preserve">Each WIS Centre operating a WIS2 Node will be responsible in achieving the highest possible level of service based on their resources and capabilities.</w:t>
      </w:r>
    </w:p>
    <w:p>
      <w:pPr>
        <w:numPr>
          <w:ilvl w:val="0"/>
          <w:numId w:val="1010"/>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10"/>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10"/>
        </w:numPr>
      </w:pPr>
      <w:r>
        <w:t xml:space="preserve">A Global Broker:</w:t>
      </w:r>
    </w:p>
    <w:p>
      <w:pPr>
        <w:numPr>
          <w:ilvl w:val="1"/>
          <w:numId w:val="1011"/>
        </w:numPr>
      </w:pPr>
      <w:r>
        <w:t xml:space="preserve">should support a minimum of 200 WIS Nodes or Global Services</w:t>
      </w:r>
    </w:p>
    <w:p>
      <w:pPr>
        <w:numPr>
          <w:ilvl w:val="1"/>
          <w:numId w:val="1011"/>
        </w:numPr>
      </w:pPr>
      <w:r>
        <w:t xml:space="preserve">should support a minimum of 1000 subscribers.</w:t>
      </w:r>
    </w:p>
    <w:p>
      <w:pPr>
        <w:numPr>
          <w:ilvl w:val="1"/>
          <w:numId w:val="1011"/>
        </w:numPr>
      </w:pPr>
      <w:r>
        <w:t xml:space="preserve">should support processing of a minimum of 10000 messages per second</w:t>
      </w:r>
    </w:p>
    <w:p>
      <w:pPr>
        <w:numPr>
          <w:ilvl w:val="0"/>
          <w:numId w:val="1010"/>
        </w:numPr>
      </w:pPr>
      <w:r>
        <w:t xml:space="preserve">A Global Cache:</w:t>
      </w:r>
    </w:p>
    <w:p>
      <w:pPr>
        <w:numPr>
          <w:ilvl w:val="1"/>
          <w:numId w:val="1012"/>
        </w:numPr>
      </w:pPr>
      <w:r>
        <w:t xml:space="preserve">should support a mimimum of 100 GB of data in the cache</w:t>
      </w:r>
    </w:p>
    <w:p>
      <w:pPr>
        <w:numPr>
          <w:ilvl w:val="1"/>
          <w:numId w:val="1012"/>
        </w:numPr>
      </w:pPr>
      <w:r>
        <w:t xml:space="preserve">should support a minimum of 1000 simultaneous downloads</w:t>
      </w:r>
    </w:p>
    <w:p>
      <w:pPr>
        <w:numPr>
          <w:ilvl w:val="1"/>
          <w:numId w:val="1012"/>
        </w:numPr>
      </w:pPr>
      <w:r>
        <w:t xml:space="preserve">could limit the number of simultaneous connections from a user (known by its originating source IP) to 5</w:t>
      </w:r>
    </w:p>
    <w:p>
      <w:pPr>
        <w:numPr>
          <w:ilvl w:val="1"/>
          <w:numId w:val="1012"/>
        </w:numPr>
      </w:pPr>
      <w:r>
        <w:t xml:space="preserve">could limit the bandwidth usage of the service to 1Gb/s</w:t>
      </w:r>
    </w:p>
    <w:p>
      <w:pPr>
        <w:numPr>
          <w:ilvl w:val="0"/>
          <w:numId w:val="1010"/>
        </w:numPr>
      </w:pPr>
      <w:r>
        <w:t xml:space="preserve">A Global Monitor:</w:t>
      </w:r>
    </w:p>
    <w:p>
      <w:pPr>
        <w:numPr>
          <w:ilvl w:val="1"/>
          <w:numId w:val="1013"/>
        </w:numPr>
      </w:pPr>
      <w:r>
        <w:t xml:space="preserve">should support a minimum of 50 metrics providers</w:t>
      </w:r>
    </w:p>
    <w:p>
      <w:pPr>
        <w:numPr>
          <w:ilvl w:val="1"/>
          <w:numId w:val="1013"/>
        </w:numPr>
      </w:pPr>
      <w:r>
        <w:t xml:space="preserve">should support 200 simultaneous access to the dashboard</w:t>
      </w:r>
    </w:p>
    <w:p>
      <w:pPr>
        <w:numPr>
          <w:ilvl w:val="1"/>
          <w:numId w:val="1013"/>
        </w:numPr>
      </w:pPr>
      <w:r>
        <w:t xml:space="preserve">could limit the bandwidth usage of the service to 100Mb/s</w:t>
      </w:r>
    </w:p>
    <w:p>
      <w:pPr>
        <w:numPr>
          <w:ilvl w:val="0"/>
          <w:numId w:val="1010"/>
        </w:numPr>
      </w:pPr>
      <w:r>
        <w:t xml:space="preserve">A Global Discovery Catalogue:</w:t>
      </w:r>
    </w:p>
    <w:p>
      <w:pPr>
        <w:numPr>
          <w:ilvl w:val="1"/>
          <w:numId w:val="1014"/>
        </w:numPr>
      </w:pPr>
      <w:r>
        <w:t xml:space="preserve">should support a minimum of 20000 metadata records</w:t>
      </w:r>
    </w:p>
    <w:p>
      <w:pPr>
        <w:numPr>
          <w:ilvl w:val="1"/>
          <w:numId w:val="1014"/>
        </w:numPr>
      </w:pPr>
      <w:r>
        <w:t xml:space="preserve">should support a minimum of 50 requests per second to the API endpoint</w:t>
      </w:r>
    </w:p>
    <w:p>
      <w:pPr>
        <w:pStyle w:val="Heading4"/>
      </w:pPr>
      <w:bookmarkStart w:id="66" w:name="Xa72ae8cff5a9c823711277b9353d6156c00ce2c"/>
      <w:r>
        <w:t xml:space="preserve">Provision of metrics</w:t>
      </w:r>
      <w:bookmarkEnd w:id="66"/>
    </w:p>
    <w:p>
      <w:pPr>
        <w:pStyle w:val="FirstParagraph"/>
      </w:pPr>
      <w:r>
        <w:t xml:space="preserve">In the following sections and for each Global Service, a set of metrics is defined. Each Global Service will provide those metrics. They will then be ingested by Global Monitoring Services.</w:t>
      </w:r>
    </w:p>
    <w:p>
      <w:pPr>
        <w:pStyle w:val="Heading3"/>
      </w:pPr>
      <w:bookmarkStart w:id="67" w:name="X457e87df81e20dd60341813f33917c04b732591"/>
      <w:r>
        <w:t xml:space="preserve">Global Broker</w:t>
      </w:r>
      <w:bookmarkEnd w:id="67"/>
    </w:p>
    <w:p>
      <w:pPr>
        <w:pStyle w:val="Heading4"/>
      </w:pPr>
      <w:bookmarkStart w:id="68" w:name="Xffd6385210ddd18d3a42c4b75583b265bf38983"/>
      <w:r>
        <w:t xml:space="preserve">Technical considerations</w:t>
      </w:r>
      <w:bookmarkEnd w:id="68"/>
    </w:p>
    <w:p>
      <w:pPr>
        <w:numPr>
          <w:ilvl w:val="0"/>
          <w:numId w:val="1015"/>
        </w:numPr>
      </w:pPr>
      <w:r>
        <w:t xml:space="preserve">As detailed above, there will be at least three (3) instances of Global Broker to ensure highly available, low latency global provision of messages within WIS.</w:t>
      </w:r>
    </w:p>
    <w:p>
      <w:pPr>
        <w:numPr>
          <w:ilvl w:val="0"/>
          <w:numId w:val="1015"/>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15"/>
        </w:numPr>
      </w:pPr>
      <w:r>
        <w:t xml:space="preserve">Every WIS Centre or Global Service must have subscriptions from at least two Global Brokers.</w:t>
      </w:r>
    </w:p>
    <w:p>
      <w:pPr>
        <w:numPr>
          <w:ilvl w:val="0"/>
          <w:numId w:val="1015"/>
        </w:numPr>
      </w:pPr>
      <w:r>
        <w:t xml:space="preserve">For full global coverage, a Global Broker instance will subscribe to messages from at least two (2) other Global Brokers.</w:t>
      </w:r>
    </w:p>
    <w:p>
      <w:pPr>
        <w:numPr>
          <w:ilvl w:val="0"/>
          <w:numId w:val="1015"/>
        </w:numPr>
      </w:pPr>
      <w:r>
        <w:t xml:space="preserve">A Global Broker is built around two software components:</w:t>
      </w:r>
    </w:p>
    <w:p>
      <w:pPr>
        <w:numPr>
          <w:ilvl w:val="1"/>
          <w:numId w:val="1016"/>
        </w:numPr>
      </w:pPr>
      <w:r>
        <w:t xml:space="preserve">An off the shelf broker implementing both MQTT 3.1.1 and MQTT 5.0 in a highly-available setup, typically in a cluster mode. Tools such as EMQX, HiveMQ, VerneMQ are compliant with these requirements. It must be noted that the open source version of Mosquitto cannot be clustered and therefore should not be used as part of a Global Broker.</w:t>
      </w:r>
    </w:p>
    <w:p>
      <w:pPr>
        <w:numPr>
          <w:ilvl w:val="1"/>
          <w:numId w:val="1016"/>
        </w:numPr>
      </w:pPr>
      <w:r>
        <w:t xml:space="preserve">Additional features including anti-loop detection, notification message format compliance, validation of the published topic, and provision of metrics are required.</w:t>
      </w:r>
    </w:p>
    <w:p>
      <w:pPr>
        <w:numPr>
          <w:ilvl w:val="0"/>
          <w:numId w:val="1015"/>
        </w:numPr>
      </w:pPr>
      <w:r>
        <w:t xml:space="preserve">When receiviong a message from a WIS Centre or Global Service broker, The metrics</w:t>
      </w:r>
      <w:r>
        <w:t xml:space="preserve"> </w:t>
      </w:r>
      <w:r>
        <w:rPr>
          <w:rStyle w:val="VerbatimChar"/>
        </w:rPr>
        <w:t xml:space="preserve">wmo_wis2_gb_messages_received_total</w:t>
      </w:r>
      <w:r>
        <w:t xml:space="preserve"> </w:t>
      </w:r>
      <w:r>
        <w:t xml:space="preserve">will be increased by 1.</w:t>
      </w:r>
    </w:p>
    <w:p>
      <w:pPr>
        <w:numPr>
          <w:ilvl w:val="0"/>
          <w:numId w:val="1015"/>
        </w:numPr>
      </w:pPr>
      <w:r>
        <w:t xml:space="preserve">A Global Broker will check if the topic received is valid (a metadata record must exist for a data under this topic), discarding non-compliant messages and raising an alert. The metrics</w:t>
      </w:r>
      <w:r>
        <w:t xml:space="preserve"> </w:t>
      </w:r>
      <w:r>
        <w:rPr>
          <w:rStyle w:val="VerbatimChar"/>
        </w:rPr>
        <w:t xml:space="preserve">wmo_wis2_gb_messages_no_metadata_total</w:t>
      </w:r>
      <w:r>
        <w:t xml:space="preserve"> </w:t>
      </w:r>
      <w:r>
        <w:t xml:space="preserve">will be increased by 1.</w:t>
      </w:r>
    </w:p>
    <w:p>
      <w:pPr>
        <w:numPr>
          <w:ilvl w:val="0"/>
          <w:numId w:val="1015"/>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15"/>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15"/>
        </w:numPr>
      </w:pPr>
      <w:r>
        <w:t xml:space="preserve">During the pre-operational phase (2024), instead of discarding the message in the two situations above, processing will continue.</w:t>
      </w:r>
    </w:p>
    <w:p>
      <w:pPr>
        <w:numPr>
          <w:ilvl w:val="0"/>
          <w:numId w:val="1015"/>
        </w:numPr>
      </w:pPr>
      <w:r>
        <w:t xml:space="preserve">When publishing a message to the local broker, the metrics</w:t>
      </w:r>
      <w:r>
        <w:t xml:space="preserve"> </w:t>
      </w:r>
      <w:r>
        <w:rPr>
          <w:rStyle w:val="VerbatimChar"/>
        </w:rPr>
        <w:t xml:space="preserve">wmo_wis2_gb_messages_published_total</w:t>
      </w:r>
      <w:r>
        <w:t xml:space="preserve"> </w:t>
      </w:r>
      <w:r>
        <w:t xml:space="preserve">will be increased by 1.</w:t>
      </w:r>
    </w:p>
    <w:p>
      <w:pPr>
        <w:numPr>
          <w:ilvl w:val="0"/>
          <w:numId w:val="1015"/>
        </w:numPr>
      </w:pPr>
      <w:r>
        <w:t xml:space="preserve">All aboved defined metrics will be made avalaible on HTTPS endpoints that the Global Monitor will ingest from regularly.</w:t>
      </w:r>
    </w:p>
    <w:p>
      <w:pPr>
        <w:numPr>
          <w:ilvl w:val="0"/>
          <w:numId w:val="1015"/>
        </w:numPr>
      </w:pPr>
      <w:r>
        <w:t xml:space="preserve">As a convention Global Broker centre-id will be</w:t>
      </w:r>
      <w:r>
        <w:t xml:space="preserve"> </w:t>
      </w:r>
      <w:r>
        <w:rPr>
          <w:rStyle w:val="VerbatimChar"/>
        </w:rPr>
        <w:t xml:space="preserve">tld-centre-name-globalbroker</w:t>
      </w:r>
      <w:r>
        <w:t xml:space="preserve">.</w:t>
      </w:r>
    </w:p>
    <w:p>
      <w:pPr>
        <w:numPr>
          <w:ilvl w:val="0"/>
          <w:numId w:val="1015"/>
        </w:numPr>
      </w:pPr>
      <w:r>
        <w:t xml:space="preserve">The figure xxx provides an illustration of the workflow followed by a Global Broker when getting a message.</w:t>
      </w:r>
    </w:p>
    <w:p>
      <w:pPr>
        <w:pStyle w:val="Heading3"/>
      </w:pPr>
      <w:bookmarkStart w:id="69" w:name="X3757fd838d3368c80e2243a833cf028c5b7f1b3"/>
      <w:r>
        <w:t xml:space="preserve">Global Cache</w:t>
      </w:r>
      <w:bookmarkEnd w:id="69"/>
    </w:p>
    <w:p>
      <w:pPr>
        <w:pStyle w:val="Heading4"/>
      </w:pPr>
      <w:bookmarkStart w:id="70" w:name="X786d3f3a1e3b20eb2f4f60f868fc4d4fcbe1071"/>
      <w:r>
        <w:t xml:space="preserve">Technical considerations</w:t>
      </w:r>
      <w:bookmarkEnd w:id="70"/>
    </w:p>
    <w:p>
      <w:pPr>
        <w:numPr>
          <w:ilvl w:val="0"/>
          <w:numId w:val="1017"/>
        </w:numPr>
      </w:pPr>
      <w:r>
        <w:t xml:space="preserve">The Global Cache will contain copies of real-time and near real-time data designated as "core" within the WMO Unified Data Policy (Resolution 1).</w:t>
      </w:r>
    </w:p>
    <w:p>
      <w:pPr>
        <w:numPr>
          <w:ilvl w:val="0"/>
          <w:numId w:val="1017"/>
        </w:numPr>
      </w:pPr>
      <w:r>
        <w:t xml:space="preserve">During the initial stages of the WIS2 pilot phase Global Cache instances will provide open access to their cached content. Access control mechanisms may be added later.</w:t>
      </w:r>
    </w:p>
    <w:p>
      <w:pPr>
        <w:numPr>
          <w:ilvl w:val="0"/>
          <w:numId w:val="1017"/>
        </w:numPr>
      </w:pPr>
      <w:r>
        <w:t xml:space="preserve">A Global Cache instance will host data objects copied from NC/DCPCs. These are persisted as files.</w:t>
      </w:r>
    </w:p>
    <w:p>
      <w:pPr>
        <w:numPr>
          <w:ilvl w:val="0"/>
          <w:numId w:val="1017"/>
        </w:numPr>
      </w:pPr>
      <w:r>
        <w:t xml:space="preserve">A Global Cache instance will publish notification messages advertising availability of the data objects it holds. The notification messages will follow the standard structure (see 4.3 Notification message format and structure).</w:t>
      </w:r>
    </w:p>
    <w:p>
      <w:pPr>
        <w:numPr>
          <w:ilvl w:val="0"/>
          <w:numId w:val="1017"/>
        </w:numPr>
      </w:pPr>
      <w:r>
        <w:t xml:space="preserve">A Global Cache instance will use the standard topic structure in their local message brokers (see WIS2 messages 4.4 Standard topic hierarchy).</w:t>
      </w:r>
    </w:p>
    <w:p>
      <w:pPr>
        <w:numPr>
          <w:ilvl w:val="0"/>
          <w:numId w:val="1017"/>
        </w:numPr>
      </w:pPr>
      <w:r>
        <w:t xml:space="preserve">There will be multiple Global Cache instances to ensure highly available, low latency global provision of real-time and near real-time "core" data within WIS.</w:t>
      </w:r>
    </w:p>
    <w:p>
      <w:pPr>
        <w:numPr>
          <w:ilvl w:val="0"/>
          <w:numId w:val="1017"/>
        </w:numPr>
      </w:pPr>
      <w:r>
        <w:t xml:space="preserve">Global Cache instances may attempt to download cacheable data objects from all originating centres with "cacheable" content. A Global Cache instance will also download data objects from other instances. This ensures the instance has full global coverage, mitigating where direct download from an originating centre is not possible.</w:t>
      </w:r>
    </w:p>
    <w:p>
      <w:pPr>
        <w:numPr>
          <w:ilvl w:val="0"/>
          <w:numId w:val="1017"/>
        </w:numPr>
      </w:pPr>
      <w:r>
        <w:t xml:space="preserve">For full global coverage, a Global Cache instance will download Data Objects and discovery metadata records from other instances.</w:t>
      </w:r>
    </w:p>
    <w:p>
      <w:pPr>
        <w:numPr>
          <w:ilvl w:val="0"/>
          <w:numId w:val="1017"/>
        </w:numPr>
      </w:pPr>
      <w:r>
        <w:t xml:space="preserve">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17"/>
        </w:numPr>
      </w:pPr>
      <w:r>
        <w:t xml:space="preserve">A Global Cache will store a full set of discovery metadata records. This is not an additional metadata catalogue that Data Consumers can search and browse – it provides a complete set of discovery metadata records to support populating a Global Discovery Catalogue instance.</w:t>
      </w:r>
    </w:p>
    <w:p>
      <w:pPr>
        <w:numPr>
          <w:ilvl w:val="0"/>
          <w:numId w:val="1017"/>
        </w:numPr>
      </w:pPr>
      <w:r>
        <w:t xml:space="preserve">A Global Cache is designed to support real-time distribution of content. Data Consumers access data objects from a Global Cache instance by resolving the URL in a "data availability" notification message and downloading the file.</w:t>
      </w:r>
    </w:p>
    <w:p>
      <w:pPr>
        <w:numPr>
          <w:ilvl w:val="0"/>
          <w:numId w:val="1017"/>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pStyle w:val="FirstParagraph"/>
      </w:pPr>
      <w:r>
        <w:t xml:space="preserve">TODO: to be completed</w:t>
      </w:r>
    </w:p>
    <w:p>
      <w:pPr>
        <w:pStyle w:val="Heading4"/>
      </w:pPr>
      <w:bookmarkStart w:id="71" w:name="Xc6a761dae7c2ab8ca53d55e2bb6a1eee7d9f700"/>
      <w:r>
        <w:t xml:space="preserve">Practices and procedures</w:t>
      </w:r>
      <w:bookmarkEnd w:id="71"/>
    </w:p>
    <w:p>
      <w:pPr>
        <w:pStyle w:val="FirstParagraph"/>
      </w:pPr>
      <w:r>
        <w:t xml:space="preserve">The following procedures will be described here once validated through testing during the WIS2 pilot phase:</w:t>
      </w:r>
      <w:r>
        <w:t xml:space="preserve"> </w:t>
      </w:r>
      <w:r>
        <w:t xml:space="preserve">* Assigning a Global Cache to a NC or DCPC</w:t>
      </w:r>
      <w:r>
        <w:t xml:space="preserve"> </w:t>
      </w:r>
      <w:r>
        <w:t xml:space="preserve">* Lifecycle management of discovery metadata records stored in the Global Cache.</w:t>
      </w:r>
    </w:p>
    <w:p>
      <w:pPr>
        <w:pStyle w:val="BodyText"/>
      </w:pPr>
      <w:r>
        <w:t xml:space="preserve">TODO: to be completed</w:t>
      </w:r>
    </w:p>
    <w:p>
      <w:pPr>
        <w:pStyle w:val="Heading3"/>
      </w:pPr>
      <w:bookmarkStart w:id="72" w:name="X7afed62fce9c77dc9763966ede44c55358b9618"/>
      <w:r>
        <w:t xml:space="preserve">Global Discovery Catalogue</w:t>
      </w:r>
      <w:bookmarkEnd w:id="72"/>
    </w:p>
    <w:p>
      <w:pPr>
        <w:pStyle w:val="Heading4"/>
      </w:pPr>
      <w:bookmarkStart w:id="73" w:name="Xfb2e666548741befe53fbe311ab83706f224432"/>
      <w:r>
        <w:t xml:space="preserve">Technical considerations</w:t>
      </w:r>
      <w:bookmarkEnd w:id="73"/>
    </w:p>
    <w:p>
      <w:pPr>
        <w:numPr>
          <w:ilvl w:val="0"/>
          <w:numId w:val="1018"/>
        </w:numPr>
      </w:pPr>
      <w:r>
        <w:t xml:space="preserve">The Global Discovery Catalogue provides Data Consumers with a mechanism to discover the Datasets of interest, as well as, how to interact with and find out more information about those Datasets.</w:t>
      </w:r>
    </w:p>
    <w:p>
      <w:pPr>
        <w:numPr>
          <w:ilvl w:val="0"/>
          <w:numId w:val="1018"/>
        </w:numPr>
      </w:pPr>
      <w:r>
        <w:t xml:space="preserve">The Global Discovery Catalogue implements the OGC API – Records – Part 1: Core standard.</w:t>
      </w:r>
    </w:p>
    <w:p>
      <w:pPr>
        <w:numPr>
          <w:ilvl w:val="0"/>
          <w:numId w:val="1018"/>
        </w:numPr>
      </w:pPr>
      <w:r>
        <w:t xml:space="preserve">The Global Discovery Catalogue advertises the availability of Datasets and how/where to access them or subscribe to updates, it does not advertise the availability of individual Data Objects that comprise a dataset (i.e., data files).</w:t>
      </w:r>
    </w:p>
    <w:p>
      <w:pPr>
        <w:numPr>
          <w:ilvl w:val="0"/>
          <w:numId w:val="1018"/>
        </w:numPr>
      </w:pPr>
      <w:r>
        <w:t xml:space="preserve">A single Global Discovery Catalogue instance is sufficient for WIS2.</w:t>
      </w:r>
    </w:p>
    <w:p>
      <w:pPr>
        <w:numPr>
          <w:ilvl w:val="0"/>
          <w:numId w:val="1018"/>
        </w:numPr>
      </w:pPr>
      <w:r>
        <w:t xml:space="preserve">Multiple Global Discovery Catalogue instances may be deployed for resilience.</w:t>
      </w:r>
    </w:p>
    <w:p>
      <w:pPr>
        <w:numPr>
          <w:ilvl w:val="0"/>
          <w:numId w:val="1018"/>
        </w:numPr>
      </w:pPr>
      <w:r>
        <w:t xml:space="preserve">Global Discovery Catalogue instances operate independently of each other – each Global Discovery Catalogue instance will hold all discovery metadata records. There is no need to synchronise between Global Discovery Catalogue instances.</w:t>
      </w:r>
    </w:p>
    <w:p>
      <w:pPr>
        <w:numPr>
          <w:ilvl w:val="0"/>
          <w:numId w:val="1018"/>
        </w:numPr>
      </w:pPr>
      <w:r>
        <w:t xml:space="preserve">A Global Discovery Catalogue is populated with discovery metadata records from a Global Cache instance – receiving messages about availability of discovery metadata records via a Global Broker.</w:t>
      </w:r>
    </w:p>
    <w:p>
      <w:pPr>
        <w:numPr>
          <w:ilvl w:val="0"/>
          <w:numId w:val="1018"/>
        </w:numPr>
      </w:pPr>
      <w:r>
        <w:t xml:space="preserve">A Global Discovery Catalogue should connect to more than one Global Broker instance to ensure that no messages are lost in the event of a Global Broker failure. A Global Discovery Catalogue instance shall discard duplicate messages as needed.</w:t>
      </w:r>
    </w:p>
    <w:p>
      <w:pPr>
        <w:numPr>
          <w:ilvl w:val="0"/>
          <w:numId w:val="1018"/>
        </w:numPr>
      </w:pPr>
      <w:r>
        <w:t xml:space="preserve">A Global Discovery Catalogue will validate discovery metadata records against the WMO Core Metadata Profile version 2 (WCMP2), discarding non-compliant records and raising an alert.</w:t>
      </w:r>
    </w:p>
    <w:p>
      <w:pPr>
        <w:numPr>
          <w:ilvl w:val="0"/>
          <w:numId w:val="1018"/>
        </w:numPr>
      </w:pPr>
      <w:r>
        <w:t xml:space="preserve">A Global Discovery Catalogue will update discovery metadata records it receives to add links for subscription URLs at Global Broker instances.</w:t>
      </w:r>
    </w:p>
    <w:p>
      <w:pPr>
        <w:numPr>
          <w:ilvl w:val="0"/>
          <w:numId w:val="1018"/>
        </w:numPr>
      </w:pPr>
      <w:r>
        <w:t xml:space="preserve">A Global Discovery Catalogue should applying faceting capability as specified in the cataloguing considerations of the WCMP2 specification as defined in OGC API - Records.</w:t>
      </w:r>
    </w:p>
    <w:p>
      <w:pPr>
        <w:numPr>
          <w:ilvl w:val="0"/>
          <w:numId w:val="1018"/>
        </w:numPr>
      </w:pPr>
      <w:r>
        <w:t xml:space="preserve">A Global Discovery Catalogue shall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18"/>
        </w:numPr>
      </w:pPr>
      <w:r>
        <w:t xml:space="preserve">A Global Discovery Catalogue shall periodically assess the discovery metadata provided by NCs and DCPCs against a set of key performance indicators (KPIs) in support of continuous improvement. Suggestions for improvement are shared with the originating NC or DCPC and their primary GISC.</w:t>
      </w:r>
    </w:p>
    <w:p>
      <w:pPr>
        <w:numPr>
          <w:ilvl w:val="0"/>
          <w:numId w:val="1018"/>
        </w:numPr>
      </w:pPr>
      <w:r>
        <w:t xml:space="preserve">A Global Discovery Catalogue shall generate and store a zipfile of all WCMP2 records once a day, that shall be made be accessible via HTTP.</w:t>
      </w:r>
    </w:p>
    <w:p>
      <w:pPr>
        <w:numPr>
          <w:ilvl w:val="0"/>
          <w:numId w:val="1018"/>
        </w:numPr>
      </w:pPr>
      <w:r>
        <w:t xml:space="preserve">A Global Discovery Catalogue shall then publish a WIS2 Notification Message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pStyle w:val="FirstParagraph"/>
      </w:pPr>
      <w:r>
        <w:t xml:space="preserve">TODO: to be completed</w:t>
      </w:r>
    </w:p>
    <w:p>
      <w:pPr>
        <w:pStyle w:val="Heading4"/>
      </w:pPr>
      <w:bookmarkStart w:id="74" w:name="X9b96528b68355c2d8f1e08d2aface04eb4f4da9"/>
      <w:r>
        <w:t xml:space="preserve">Practices and procedures</w:t>
      </w:r>
      <w:bookmarkEnd w:id="74"/>
    </w:p>
    <w:p>
      <w:pPr>
        <w:pStyle w:val="FirstParagraph"/>
      </w:pPr>
      <w:r>
        <w:t xml:space="preserve">The following procedures will be described here once validated through testing during the WIS2 pilot phase:</w:t>
      </w:r>
    </w:p>
    <w:p>
      <w:pPr>
        <w:numPr>
          <w:ilvl w:val="0"/>
          <w:numId w:val="1019"/>
        </w:numPr>
      </w:pPr>
      <w:r>
        <w:t xml:space="preserve">Alerting originating NC or DCPC about malformed or non-compliant discovery metadata records</w:t>
      </w:r>
    </w:p>
    <w:p>
      <w:pPr>
        <w:numPr>
          <w:ilvl w:val="0"/>
          <w:numId w:val="1019"/>
        </w:numPr>
      </w:pPr>
      <w:r>
        <w:t xml:space="preserve">Providing feedback to NC and DCPC about how to improve their discovery metadata</w:t>
      </w:r>
    </w:p>
    <w:p>
      <w:pPr>
        <w:numPr>
          <w:ilvl w:val="0"/>
          <w:numId w:val="1019"/>
        </w:numPr>
      </w:pPr>
      <w:r>
        <w:t xml:space="preserve">Removing discovery metadata for a Dataset on request</w:t>
      </w:r>
    </w:p>
    <w:p>
      <w:pPr>
        <w:numPr>
          <w:ilvl w:val="0"/>
          <w:numId w:val="1019"/>
        </w:numPr>
      </w:pPr>
      <w:r>
        <w:t xml:space="preserve">‘Bootstrapping’ a Global Discovery Catalogue instance from the Global Cache</w:t>
      </w:r>
    </w:p>
    <w:p>
      <w:pPr>
        <w:pStyle w:val="FirstParagraph"/>
      </w:pPr>
      <w:r>
        <w:t xml:space="preserve">TODO: to be completed</w:t>
      </w:r>
    </w:p>
    <w:p>
      <w:pPr>
        <w:pStyle w:val="Heading3"/>
      </w:pPr>
      <w:bookmarkStart w:id="75" w:name="X4e88c05a27e698b3d133af3a43b16886494a2e2"/>
      <w:r>
        <w:t xml:space="preserve">Global Monitor</w:t>
      </w:r>
      <w:bookmarkEnd w:id="75"/>
    </w:p>
    <w:p>
      <w:pPr>
        <w:pStyle w:val="Heading4"/>
      </w:pPr>
      <w:bookmarkStart w:id="76" w:name="Xd139f35e1c8e20bb300c6e70a06e779eeaccbe8"/>
      <w:r>
        <w:t xml:space="preserve">Technical Considerations</w:t>
      </w:r>
      <w:bookmarkEnd w:id="76"/>
    </w:p>
    <w:p>
      <w:pPr>
        <w:numPr>
          <w:ilvl w:val="0"/>
          <w:numId w:val="1020"/>
        </w:numPr>
      </w:pPr>
      <w:r>
        <w:t xml:space="preserve">WIS standardises how system performance and data availability metrics are published from WIS nodes and Global Services.</w:t>
      </w:r>
    </w:p>
    <w:p>
      <w:pPr>
        <w:numPr>
          <w:ilvl w:val="0"/>
          <w:numId w:val="1020"/>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20"/>
        </w:numPr>
      </w:pPr>
      <w:r>
        <w:t xml:space="preserve">The Global Monitor will collect metrics as defined in the OpenMetrics standard.</w:t>
      </w:r>
    </w:p>
    <w:p>
      <w:pPr>
        <w:numPr>
          <w:ilvl w:val="0"/>
          <w:numId w:val="1020"/>
        </w:numPr>
      </w:pPr>
      <w:r>
        <w:t xml:space="preserve">The Global Monitor will monitor the 'health' (i.e., performance) of WIS2 Node as well as Global Service instances.</w:t>
      </w:r>
    </w:p>
    <w:p>
      <w:pPr>
        <w:numPr>
          <w:ilvl w:val="0"/>
          <w:numId w:val="1020"/>
        </w:numPr>
      </w:pPr>
      <w:r>
        <w:t xml:space="preserve">The Global Monitor will provide a Web-based ‘dashboard’ that displays the WIS system performance and data availability. The WIS Operations and Management team, in close collaboration with the Global Services will define the content of the dashboard.</w:t>
      </w:r>
    </w:p>
    <w:p>
      <w:pPr>
        <w:numPr>
          <w:ilvl w:val="0"/>
          <w:numId w:val="1020"/>
        </w:numPr>
      </w:pPr>
      <w:r>
        <w:t xml:space="preserve">The Global Monitor, through the metrics provided, will be able to detect issues. In this case, Global Monitor will publish a Notification Message in the monitoring topic, as define by the WIS Operations and Monitoring team.</w:t>
      </w:r>
      <w:r>
        <w:t xml:space="preserve"> </w:t>
      </w:r>
      <w:r>
        <w:t xml:space="preserve">TODO: to be completed</w:t>
      </w:r>
    </w:p>
    <w:p>
      <w:pPr>
        <w:pStyle w:val="Heading2"/>
      </w:pPr>
      <w:bookmarkStart w:id="77" w:name="Xeeabc229dc8912ba5f974878e5a5a11961b3b62"/>
      <w:r>
        <w:t xml:space="preserve">Operations</w:t>
      </w:r>
      <w:bookmarkEnd w:id="77"/>
    </w:p>
    <w:p>
      <w:pPr>
        <w:pStyle w:val="Heading1"/>
      </w:pPr>
      <w:bookmarkStart w:id="78" w:name="X50d015487b8112b45846fafc9cb4c294f9c1543"/>
      <w:r>
        <w:t xml:space="preserve">PART III</w:t>
      </w:r>
      <w:bookmarkEnd w:id="78"/>
    </w:p>
    <w:p>
      <w:pPr>
        <w:pStyle w:val="Heading2"/>
      </w:pPr>
      <w:bookmarkStart w:id="79" w:name="Xf663b84f8b08bef805756b15e1319003d76fa52"/>
      <w:r>
        <w:t xml:space="preserve">Information management</w:t>
      </w:r>
      <w:bookmarkEnd w:id="79"/>
    </w:p>
    <w:p>
      <w:pPr>
        <w:pStyle w:val="Heading3"/>
      </w:pPr>
      <w:bookmarkStart w:id="80" w:name="X1ea7cbd003469405f98a7976943980a7b23bcee"/>
      <w:r>
        <w:t xml:space="preserve">Introduction</w:t>
      </w:r>
      <w:bookmarkEnd w:id="80"/>
    </w:p>
    <w:p>
      <w:pPr>
        <w:pStyle w:val="Heading4"/>
      </w:pPr>
      <w:bookmarkStart w:id="81" w:name="Xca774f64942a7f7563fb94bb05ba7dab3a26d69"/>
      <w:r>
        <w:t xml:space="preserve">Background</w:t>
      </w:r>
      <w:bookmarkEnd w:id="81"/>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82" w:name="Xc8210088bf4711be4456d26326179eb58b8f5b4"/>
      <w:r>
        <w:t xml:space="preserve">Scope</w:t>
      </w:r>
      <w:bookmarkEnd w:id="82"/>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21"/>
        </w:numPr>
      </w:pPr>
      <w:r>
        <w:t xml:space="preserve">Planning, information creation and acquisition. Creation of information using internal and external data sources and the acquisition of information from various sources.</w:t>
      </w:r>
    </w:p>
    <w:p>
      <w:pPr>
        <w:numPr>
          <w:ilvl w:val="0"/>
          <w:numId w:val="1021"/>
        </w:numPr>
      </w:pPr>
      <w:r>
        <w:t xml:space="preserve">Representation and metadata. Standards to represent metadata, data and information are of primary importance to enable interoperability and long-term usability of the information.</w:t>
      </w:r>
    </w:p>
    <w:p>
      <w:pPr>
        <w:numPr>
          <w:ilvl w:val="0"/>
          <w:numId w:val="1021"/>
        </w:numPr>
      </w:pPr>
      <w:r>
        <w:t xml:space="preserve">Publication and exchange of information. The creation and publication of discovery metadata in a standardized format enabling users to discover, access and retrieve the information.</w:t>
      </w:r>
    </w:p>
    <w:p>
      <w:pPr>
        <w:numPr>
          <w:ilvl w:val="0"/>
          <w:numId w:val="1021"/>
        </w:numPr>
      </w:pPr>
      <w:r>
        <w:t xml:space="preserve">Usage and communication. Publication of guidance material on the use of published information, including on the limitations and suitability of the information and any licensing terms.</w:t>
      </w:r>
    </w:p>
    <w:p>
      <w:pPr>
        <w:numPr>
          <w:ilvl w:val="0"/>
          <w:numId w:val="1021"/>
        </w:numPr>
      </w:pPr>
      <w:r>
        <w:t xml:space="preserve">Storage, archival and disposal. Policies and procedures for business continuity and disaster recovery, as well as retention and disposal.</w:t>
      </w:r>
    </w:p>
    <w:p>
      <w:pPr>
        <w:pStyle w:val="Heading4"/>
      </w:pPr>
      <w:bookmarkStart w:id="83" w:name="Xc4a1ede03be40f12a45db53a22503ecdd576f28"/>
      <w:r>
        <w:t xml:space="preserve">Intended audience</w:t>
      </w:r>
      <w:bookmarkEnd w:id="83"/>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22"/>
        </w:numPr>
      </w:pPr>
      <w:r>
        <w:t xml:space="preserve">Information producers or creators (those who produce or acquire the information - they need to ensure the scientific quality of the underpinning information).</w:t>
      </w:r>
    </w:p>
    <w:p>
      <w:pPr>
        <w:numPr>
          <w:ilvl w:val="0"/>
          <w:numId w:val="1022"/>
        </w:numPr>
      </w:pPr>
      <w:r>
        <w:t xml:space="preserve">Information managers (those who manage information).</w:t>
      </w:r>
    </w:p>
    <w:p>
      <w:pPr>
        <w:numPr>
          <w:ilvl w:val="0"/>
          <w:numId w:val="1022"/>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22"/>
        </w:numPr>
      </w:pPr>
      <w:r>
        <w:t xml:space="preserve">Service providers (those who disseminate the information - they are responsible for ensuring information availability and maintaining capability for easy and secure access to the information).</w:t>
      </w:r>
    </w:p>
    <w:p>
      <w:pPr>
        <w:numPr>
          <w:ilvl w:val="0"/>
          <w:numId w:val="1022"/>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84" w:name="Xc94de5166ce838056d764e2813060631f45545e"/>
      <w:r>
        <w:t xml:space="preserve">Principles of information management</w:t>
      </w:r>
      <w:bookmarkEnd w:id="84"/>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85" w:name="Xced3bf5985e11d5bf9ea318c067f81c51dd90bb"/>
      <w:r>
        <w:t xml:space="preserve">Principle 1: Information is a valued asset</w:t>
      </w:r>
      <w:bookmarkEnd w:id="85"/>
    </w:p>
    <w:p>
      <w:pPr>
        <w:numPr>
          <w:ilvl w:val="0"/>
          <w:numId w:val="1023"/>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23"/>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86" w:name="X2b4305e580dff0ab586fbedd336c10ae1a05bc9"/>
      <w:r>
        <w:t xml:space="preserve">Principle 2: Information must be managed</w:t>
      </w:r>
      <w:bookmarkEnd w:id="86"/>
    </w:p>
    <w:p>
      <w:pPr>
        <w:numPr>
          <w:ilvl w:val="0"/>
          <w:numId w:val="1024"/>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24"/>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24"/>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87" w:name="X24cab0a09ccdca3e752f0ecd6d0ff5456c284f3"/>
      <w:r>
        <w:t xml:space="preserve">Principle 3: Information must be fit for purpose</w:t>
      </w:r>
      <w:bookmarkEnd w:id="87"/>
    </w:p>
    <w:p>
      <w:pPr>
        <w:numPr>
          <w:ilvl w:val="0"/>
          <w:numId w:val="1025"/>
        </w:numPr>
      </w:pPr>
      <w:r>
        <w:t xml:space="preserve">Information should be developed and managed in accordance with its function and use for internal and external users.</w:t>
      </w:r>
    </w:p>
    <w:p>
      <w:pPr>
        <w:numPr>
          <w:ilvl w:val="0"/>
          <w:numId w:val="1025"/>
        </w:numPr>
      </w:pPr>
      <w:r>
        <w:t xml:space="preserve">WMO Centres should regularly assess information to ensure that it is fit for its purpose and that processes, procedures, and documentation are adequate.</w:t>
      </w:r>
    </w:p>
    <w:p>
      <w:pPr>
        <w:numPr>
          <w:ilvl w:val="0"/>
          <w:numId w:val="1025"/>
        </w:numPr>
      </w:pPr>
      <w:r>
        <w:t xml:space="preserve">Processes should be consistent with the general provisions and principles of quality management as described in the WMO Technical Regulations (WMO-No. 49).</w:t>
      </w:r>
    </w:p>
    <w:p>
      <w:pPr>
        <w:pStyle w:val="Heading4"/>
      </w:pPr>
      <w:bookmarkStart w:id="88" w:name="X6a00b6457f0c1f3361b337f694a28b174d7bdda"/>
      <w:r>
        <w:t xml:space="preserve">Principle 4: Information must be standardized and interoperable</w:t>
      </w:r>
      <w:bookmarkEnd w:id="88"/>
    </w:p>
    <w:p>
      <w:pPr>
        <w:numPr>
          <w:ilvl w:val="0"/>
          <w:numId w:val="1026"/>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26"/>
        </w:numPr>
      </w:pPr>
      <w:r>
        <w:t xml:space="preserve">Standardization is essential for structured information such as dataset definitions and metadata to support interoperability.</w:t>
      </w:r>
    </w:p>
    <w:p>
      <w:pPr>
        <w:numPr>
          <w:ilvl w:val="0"/>
          <w:numId w:val="1026"/>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26"/>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26"/>
        </w:numPr>
      </w:pPr>
      <w:r>
        <w:t xml:space="preserve">The use of closed and proprietary standards is strongly discouraged.</w:t>
      </w:r>
    </w:p>
    <w:p>
      <w:pPr>
        <w:pStyle w:val="Heading4"/>
      </w:pPr>
      <w:bookmarkStart w:id="89" w:name="X7a72b7a348aceb0a6c3eeef09fd9dc18fc224a0"/>
      <w:r>
        <w:t xml:space="preserve">Principle 5: Information must be well documented</w:t>
      </w:r>
      <w:bookmarkEnd w:id="89"/>
    </w:p>
    <w:p>
      <w:pPr>
        <w:numPr>
          <w:ilvl w:val="0"/>
          <w:numId w:val="1027"/>
        </w:numPr>
      </w:pPr>
      <w:r>
        <w:t xml:space="preserve">WMO centres should comprehensively document information processes, policies, and procedures to facilitate broad and long-term use.</w:t>
      </w:r>
    </w:p>
    <w:p>
      <w:pPr>
        <w:numPr>
          <w:ilvl w:val="0"/>
          <w:numId w:val="1027"/>
        </w:numPr>
      </w:pPr>
      <w:r>
        <w:t xml:space="preserve">WMO centres should keep documentation up to date to ensure full traceability of processes along the information lifecycle, particularly for its creation.</w:t>
      </w:r>
    </w:p>
    <w:p>
      <w:pPr>
        <w:numPr>
          <w:ilvl w:val="0"/>
          <w:numId w:val="1027"/>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90" w:name="Xf201bbec5eea25bb7367115a98b8129aa22d6b9"/>
      <w:r>
        <w:t xml:space="preserve">Principle 6: Information must be discoverable, accessible and retrievable</w:t>
      </w:r>
      <w:bookmarkEnd w:id="90"/>
    </w:p>
    <w:p>
      <w:pPr>
        <w:numPr>
          <w:ilvl w:val="0"/>
          <w:numId w:val="1028"/>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28"/>
        </w:numPr>
      </w:pPr>
      <w:r>
        <w:t xml:space="preserve">For information to be easily retrievable once discovered, it should be accessible using standard data exchange protocols.</w:t>
      </w:r>
    </w:p>
    <w:p>
      <w:pPr>
        <w:pStyle w:val="Heading4"/>
      </w:pPr>
      <w:bookmarkStart w:id="91" w:name="Xad9a69e02a46804a1cafca89aee5aabe4560385"/>
      <w:r>
        <w:t xml:space="preserve">Principle 7: Information should be reusable</w:t>
      </w:r>
      <w:bookmarkEnd w:id="91"/>
    </w:p>
    <w:p>
      <w:pPr>
        <w:numPr>
          <w:ilvl w:val="0"/>
          <w:numId w:val="1029"/>
        </w:numPr>
      </w:pPr>
      <w:r>
        <w:t xml:space="preserve">In order to maximize the economic benefits of an information asset it should be made as widely available and as accessible as possible.</w:t>
      </w:r>
    </w:p>
    <w:p>
      <w:pPr>
        <w:numPr>
          <w:ilvl w:val="0"/>
          <w:numId w:val="1029"/>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29"/>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92"/>
      </w:r>
    </w:p>
    <w:p>
      <w:pPr>
        <w:pStyle w:val="Heading4"/>
      </w:pPr>
      <w:bookmarkStart w:id="94" w:name="X985b53b52432ebd6bb65899337d26b4ccfeefb9"/>
      <w:r>
        <w:t xml:space="preserve">Principle 8: Information management is subject to accountability and governance.</w:t>
      </w:r>
      <w:bookmarkEnd w:id="94"/>
    </w:p>
    <w:p>
      <w:pPr>
        <w:numPr>
          <w:ilvl w:val="0"/>
          <w:numId w:val="1030"/>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30"/>
        </w:numPr>
      </w:pPr>
      <w:r>
        <w:t xml:space="preserve">information management practices, procedures and protocols, including well-defined roles, responsibilities and restrictions on managing the information;</w:t>
      </w:r>
    </w:p>
    <w:p>
      <w:pPr>
        <w:numPr>
          <w:ilvl w:val="0"/>
          <w:numId w:val="1030"/>
        </w:numPr>
      </w:pPr>
      <w:r>
        <w:t xml:space="preserve">definition and enforcement of appropriate retention policy, taking into account stakeholder needs and variations in value over the information lifecycle;</w:t>
      </w:r>
    </w:p>
    <w:p>
      <w:pPr>
        <w:numPr>
          <w:ilvl w:val="0"/>
          <w:numId w:val="1030"/>
        </w:numPr>
      </w:pPr>
      <w:r>
        <w:t xml:space="preserve">licensing and defining and enforcing any access restrictions.</w:t>
      </w:r>
    </w:p>
    <w:p>
      <w:pPr>
        <w:numPr>
          <w:ilvl w:val="0"/>
          <w:numId w:val="1030"/>
        </w:numPr>
      </w:pPr>
      <w:r>
        <w:t xml:space="preserve">The designated owner should have budget and decision-making authority about preservation and data usage, including passing ownership to another authority.</w:t>
      </w:r>
    </w:p>
    <w:p>
      <w:pPr>
        <w:pStyle w:val="Heading3"/>
      </w:pPr>
      <w:bookmarkStart w:id="95" w:name="X78a249a2cf11ac86cd7d6d498271963ba9dd080"/>
      <w:r>
        <w:t xml:space="preserve">The information management lifecycle</w:t>
      </w:r>
      <w:bookmarkEnd w:id="95"/>
    </w:p>
    <w:p>
      <w:pPr>
        <w:pStyle w:val="Heading4"/>
      </w:pPr>
      <w:bookmarkStart w:id="96" w:name="X43f9398da9c2eb974194c1e60a2fdc80e1bfc87"/>
      <w:r>
        <w:t xml:space="preserve">Overview</w:t>
      </w:r>
      <w:bookmarkEnd w:id="96"/>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31"/>
        </w:numPr>
      </w:pPr>
      <w:r>
        <w:t xml:space="preserve">Planning, creation and acquisition</w:t>
      </w:r>
    </w:p>
    <w:p>
      <w:pPr>
        <w:numPr>
          <w:ilvl w:val="0"/>
          <w:numId w:val="1031"/>
        </w:numPr>
      </w:pPr>
      <w:r>
        <w:t xml:space="preserve">Representation and metadata</w:t>
      </w:r>
    </w:p>
    <w:p>
      <w:pPr>
        <w:numPr>
          <w:ilvl w:val="0"/>
          <w:numId w:val="1031"/>
        </w:numPr>
      </w:pPr>
      <w:r>
        <w:t xml:space="preserve">Publication and exchange</w:t>
      </w:r>
    </w:p>
    <w:p>
      <w:pPr>
        <w:numPr>
          <w:ilvl w:val="0"/>
          <w:numId w:val="1031"/>
        </w:numPr>
      </w:pPr>
      <w:r>
        <w:t xml:space="preserve">Usage and communication</w:t>
      </w:r>
    </w:p>
    <w:p>
      <w:pPr>
        <w:numPr>
          <w:ilvl w:val="0"/>
          <w:numId w:val="1031"/>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97" w:name="Xb3f0671d8925fa193cc843a6c5ac3eb64409810"/>
      <w:r>
        <w:t xml:space="preserve">Overarching requirements</w:t>
      </w:r>
      <w:bookmarkEnd w:id="97"/>
    </w:p>
    <w:p>
      <w:pPr>
        <w:pStyle w:val="Heading5"/>
      </w:pPr>
      <w:bookmarkStart w:id="98" w:name="X46bef04a53b25a1a07899f714aadd7ab888e2c5"/>
      <w:r>
        <w:t xml:space="preserve">Governance</w:t>
      </w:r>
      <w:bookmarkEnd w:id="98"/>
    </w:p>
    <w:p>
      <w:pPr>
        <w:numPr>
          <w:ilvl w:val="0"/>
          <w:numId w:val="1032"/>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32"/>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32"/>
        </w:numPr>
      </w:pPr>
      <w:r>
        <w:t xml:space="preserve">WMO centres should establish a board or leadership group to develop and regularly review such a governance structure and ensure compliance with its requirements.</w:t>
      </w:r>
    </w:p>
    <w:p>
      <w:pPr>
        <w:pStyle w:val="Heading5"/>
      </w:pPr>
      <w:bookmarkStart w:id="99" w:name="X983d5959bc8486b1ce731c329c055fcbbc55a03"/>
      <w:r>
        <w:t xml:space="preserve">Documentation</w:t>
      </w:r>
      <w:bookmarkEnd w:id="99"/>
    </w:p>
    <w:p>
      <w:pPr>
        <w:numPr>
          <w:ilvl w:val="0"/>
          <w:numId w:val="1033"/>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33"/>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00" w:name="Xc1748e8f7038b0e2d79f80c2501fb09e121bdc5"/>
      <w:r>
        <w:t xml:space="preserve">Aspects of the information management lifecycle</w:t>
      </w:r>
      <w:bookmarkEnd w:id="100"/>
    </w:p>
    <w:p>
      <w:pPr>
        <w:pStyle w:val="Heading5"/>
      </w:pPr>
      <w:bookmarkStart w:id="101" w:name="Xb3fb7be77fcbfe5935f83c52aa59c7c4f68f9ed"/>
      <w:r>
        <w:t xml:space="preserve">Planning, information creation and acquisition</w:t>
      </w:r>
      <w:bookmarkEnd w:id="101"/>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34"/>
        </w:numPr>
      </w:pPr>
      <w:r>
        <w:t xml:space="preserve">Why the information is required</w:t>
      </w:r>
    </w:p>
    <w:p>
      <w:pPr>
        <w:numPr>
          <w:ilvl w:val="0"/>
          <w:numId w:val="1034"/>
        </w:numPr>
      </w:pPr>
      <w:r>
        <w:t xml:space="preserve">How it will be collected or created</w:t>
      </w:r>
    </w:p>
    <w:p>
      <w:pPr>
        <w:numPr>
          <w:ilvl w:val="0"/>
          <w:numId w:val="1034"/>
        </w:numPr>
      </w:pPr>
      <w:r>
        <w:t xml:space="preserve">How it will be stored</w:t>
      </w:r>
    </w:p>
    <w:p>
      <w:pPr>
        <w:numPr>
          <w:ilvl w:val="0"/>
          <w:numId w:val="1034"/>
        </w:numPr>
      </w:pPr>
      <w:r>
        <w:t xml:space="preserve">Whether it will be exchanged with other users and under what policy</w:t>
      </w:r>
    </w:p>
    <w:p>
      <w:pPr>
        <w:numPr>
          <w:ilvl w:val="0"/>
          <w:numId w:val="1034"/>
        </w:numPr>
      </w:pPr>
      <w:r>
        <w:t xml:space="preserve">Where it should be submitted for long term archival</w:t>
      </w:r>
    </w:p>
    <w:p>
      <w:pPr>
        <w:numPr>
          <w:ilvl w:val="0"/>
          <w:numId w:val="1034"/>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02" w:name="X0fb41f5d69e3c0e08742406b46184bce7272db1"/>
      <w:r>
        <w:t xml:space="preserve">Representation and metadata</w:t>
      </w:r>
      <w:bookmarkEnd w:id="102"/>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03" w:name="X9141f665603210a069fd950d3a70a10fce81a4b"/>
      <w:r>
        <w:t xml:space="preserve">Publication and exchange of information</w:t>
      </w:r>
      <w:bookmarkEnd w:id="103"/>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04">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05">
        <w:r>
          <w:rPr>
            <w:rStyle w:val="Hyperlink"/>
          </w:rPr>
          <w:t xml:space="preserve">https://community.wmo.int/news/operational-newsletter</w:t>
        </w:r>
      </w:hyperlink>
    </w:p>
    <w:p>
      <w:pPr>
        <w:pStyle w:val="Heading5"/>
      </w:pPr>
      <w:bookmarkStart w:id="106" w:name="X3943a915dab0acd14a551cc23fe1ab4fc5b6d08"/>
      <w:r>
        <w:t xml:space="preserve">Usage and communication</w:t>
      </w:r>
      <w:bookmarkEnd w:id="106"/>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35"/>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35"/>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07" w:name="Xc49f3d2ac2c1a4985f413e4e33375d67ca4edae"/>
      <w:r>
        <w:t xml:space="preserve">Storage, archival and disposal</w:t>
      </w:r>
      <w:bookmarkEnd w:id="107"/>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08" w:name="Xcde52b855ebe88b41febf339572171c6eff9f00"/>
      <w:r>
        <w:t xml:space="preserve">Other considerations</w:t>
      </w:r>
      <w:bookmarkEnd w:id="108"/>
    </w:p>
    <w:p>
      <w:pPr>
        <w:pStyle w:val="Heading4"/>
      </w:pPr>
      <w:bookmarkStart w:id="109" w:name="Xaaae0965b9c1bfef7ff2e90d054b0b5d3ba2f74"/>
      <w:r>
        <w:t xml:space="preserve">Technology and technology migration</w:t>
      </w:r>
      <w:bookmarkEnd w:id="109"/>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10" w:name="X4be09f68f287a055be5a28deacf8bb1b4bf1904"/>
      <w:r>
        <w:t xml:space="preserve">Information security</w:t>
      </w:r>
      <w:bookmarkEnd w:id="110"/>
    </w:p>
    <w:p>
      <w:pPr>
        <w:pStyle w:val="FirstParagraph"/>
      </w:pPr>
      <w:r>
        <w:t xml:space="preserve">Further information on information security and best practices can be found in the WMO Guide to Information Technology Security (WMO-No. 1115).</w:t>
      </w:r>
    </w:p>
    <w:p>
      <w:pPr>
        <w:pStyle w:val="Heading1"/>
      </w:pPr>
      <w:bookmarkStart w:id="111" w:name="X21cd127bd20f258a1e62ea9ca51972219f0b892"/>
      <w:r>
        <w:t xml:space="preserve">PART IV</w:t>
      </w:r>
      <w:bookmarkEnd w:id="111"/>
    </w:p>
    <w:p>
      <w:pPr>
        <w:pStyle w:val="Heading2"/>
      </w:pPr>
      <w:bookmarkStart w:id="112" w:name="X450d2800ceddee769150bb96f748c14ec1a5fef"/>
      <w:r>
        <w:t xml:space="preserve">Security</w:t>
      </w:r>
      <w:bookmarkEnd w:id="112"/>
    </w:p>
    <w:p>
      <w:pPr>
        <w:pStyle w:val="FirstParagraph"/>
      </w:pPr>
      <w:r>
        <w:t xml:space="preserve">This section will introduce some concepts on the measures a publisher or a global service can implement to decrease the risk of cyber attacks.</w:t>
      </w:r>
    </w:p>
    <w:p>
      <w:pPr>
        <w:pStyle w:val="Heading1"/>
      </w:pPr>
      <w:bookmarkStart w:id="113" w:name="X3305ea5abe6b1fb2cabf7a817df7b030491936b"/>
      <w:r>
        <w:t xml:space="preserve">PART V</w:t>
      </w:r>
      <w:bookmarkEnd w:id="113"/>
    </w:p>
    <w:p>
      <w:pPr>
        <w:pStyle w:val="Heading2"/>
      </w:pPr>
      <w:bookmarkStart w:id="114" w:name="Xb01b72941e106f40026e8313cebe8325cd24f8c"/>
      <w:r>
        <w:t xml:space="preserve">Competencies</w:t>
      </w:r>
      <w:bookmarkEnd w:id="11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92">
    <w:p>
      <w:pPr>
        <w:pStyle w:val="FootnoteText"/>
      </w:pPr>
      <w:r>
        <w:rPr>
          <w:rStyle w:val="FootnoteReference"/>
        </w:rPr>
        <w:footnoteRef/>
      </w:r>
      <w:r>
        <w:t xml:space="preserve"> </w:t>
      </w:r>
      <w:hyperlink r:id="rId93">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4"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05"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1" Target="https://github.com/wmo-im/wis2box" TargetMode="External" /><Relationship Type="http://schemas.openxmlformats.org/officeDocument/2006/relationships/hyperlink" Id="rId93" Target="https://go-fair.org"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04"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05"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1" Target="https://github.com/wmo-im/wis2box" TargetMode="External" /><Relationship Type="http://schemas.openxmlformats.org/officeDocument/2006/relationships/hyperlink" Id="rId93" Target="https://go-fair.org"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2024-01-08T18:42:07Z</dcterms:created>
  <dcterms:modified xsi:type="dcterms:W3CDTF">2024-01-08T18:42:07Z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2024-01-08</vt:lpwstr>
  </property>
</Properties>
</file>