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2023-10-19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549204531ac4cfafaf6f31089837a83c8a77192"/>
      <w:r>
        <w:t xml:space="preserve">PART I</w:t>
      </w:r>
      <w:bookmarkEnd w:id="29"/>
    </w:p>
    <w:p>
      <w:pPr>
        <w:pStyle w:val="Heading2"/>
      </w:pPr>
      <w:bookmarkStart w:id="30" w:name="X8ad6d83ca5456e17bb30d90ea30f42b90d405cd"/>
      <w:r>
        <w:t xml:space="preserve">Introduction of WIS2</w:t>
      </w:r>
      <w:bookmarkEnd w:id="30"/>
    </w:p>
    <w:p>
      <w:pPr>
        <w:pStyle w:val="Heading3"/>
      </w:pPr>
      <w:bookmarkStart w:id="31" w:name="X649734682fa6bb6e7ce1c01b3ac7eafb10be68f"/>
      <w:r>
        <w:t xml:space="preserve">Why WIS2?</w:t>
      </w:r>
      <w:bookmarkEnd w:id="31"/>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3"/>
      </w:pPr>
      <w:bookmarkStart w:id="32" w:name="Xae0f14ad2e7328b34afbdffe57c62b893a9ff26"/>
      <w:r>
        <w:t xml:space="preserve">What is WIS2?</w:t>
      </w:r>
      <w:bookmarkEnd w:id="32"/>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3"/>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4"/>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3"/>
      </w:pPr>
      <w:bookmarkStart w:id="35" w:name="X90222933da14900ccee9ac904f28227ea8423df"/>
      <w:r>
        <w:t xml:space="preserve">Why are datasets so important?</w:t>
      </w:r>
      <w:bookmarkEnd w:id="35"/>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6"/>
      </w:r>
      <w:r>
        <w:t xml:space="preserve"> </w:t>
      </w:r>
      <w:r>
        <w:rPr>
          <w:rStyle w:val="FootnoteReference"/>
        </w:rPr>
        <w:footnoteReference w:id="37"/>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2"/>
      </w:pPr>
      <w:bookmarkStart w:id="38" w:name="X36a36d20ed8b57daac55eb3f88e6dde10183c57"/>
      <w:r>
        <w:t xml:space="preserve">Data consumer</w:t>
      </w:r>
      <w:bookmarkEnd w:id="38"/>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9" w:name="X88563ffdd7356ee45e6c49c64c2245633db4908"/>
      <w:r>
        <w:t xml:space="preserve">How to search the Global Discovery Catalogue to find Datasets</w:t>
      </w:r>
      <w:bookmarkEnd w:id="39"/>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0" w:name="X2bf408fdf972204c7fe8c8bfcecd849f33d2c04"/>
      <w:r>
        <w:t xml:space="preserve">How to subscribe to notifications about availability of new data</w:t>
      </w:r>
      <w:bookmarkEnd w:id="40"/>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2" w:name="Xd05779fe503e173308862c77264285c3349f6ff"/>
      <w:r>
        <w:t xml:space="preserve">How to download data from the Global Cache and WIS nodes</w:t>
      </w:r>
      <w:bookmarkEnd w:id="42"/>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3" w:name="X41f7bb3170fbe6ad35852cc4a96af8efdea000a"/>
      <w:r>
        <w:t xml:space="preserve">Additional sections of interest to a Data Consumer (TODO: fix crossref)</w:t>
      </w:r>
      <w:bookmarkEnd w:id="43"/>
    </w:p>
    <w:p>
      <w:pPr>
        <w:numPr>
          <w:ilvl w:val="0"/>
          <w:numId w:val="1010"/>
        </w:numPr>
      </w:pPr>
      <w:r>
        <w:t xml:space="preserve">1.2 What is WIS2?</w:t>
      </w:r>
    </w:p>
    <w:p>
      <w:pPr>
        <w:numPr>
          <w:ilvl w:val="0"/>
          <w:numId w:val="1010"/>
        </w:numPr>
      </w:pPr>
      <w:r>
        <w:t xml:space="preserve">1.3 Why are Datasets so important?</w:t>
      </w:r>
    </w:p>
    <w:p>
      <w:pPr>
        <w:pStyle w:val="Heading2"/>
      </w:pPr>
      <w:bookmarkStart w:id="44" w:name="X6cb1def057f1992ce4f8f7eebf9044ec834d943"/>
      <w:r>
        <w:t xml:space="preserve">Data publisher</w:t>
      </w:r>
      <w:bookmarkEnd w:id="44"/>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5" w:name="Xac616973940976592176a2b0324f72453ca8011"/>
      <w:r>
        <w:t xml:space="preserve">How to publish Dataset discovery metadata to the Global Discovery Catalogue</w:t>
      </w:r>
      <w:bookmarkEnd w:id="45"/>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6" w:name="Xed1b426268a2c143d39ee07b05662eb36fa83ad"/>
      <w:r>
        <w:t xml:space="preserve">How to publish data notifications</w:t>
      </w:r>
      <w:bookmarkEnd w:id="46"/>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7" w:name="Xc4bb7e2999901fa2b6eee397a938e54d554c9f0"/>
      <w:r>
        <w:t xml:space="preserve">How to publish data to the Global Broker</w:t>
      </w:r>
      <w:bookmarkEnd w:id="47"/>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8" w:name="X27c3714cbd41941b233815ec66585da0909fd6e"/>
      <w:r>
        <w:t xml:space="preserve">PART II</w:t>
      </w:r>
      <w:bookmarkEnd w:id="48"/>
    </w:p>
    <w:p>
      <w:pPr>
        <w:pStyle w:val="Heading2"/>
      </w:pPr>
      <w:bookmarkStart w:id="49" w:name="Xee31e45694d178744a29089d70d1cd98c260b58"/>
      <w:r>
        <w:t xml:space="preserve">WIS2 Architecture</w:t>
      </w:r>
      <w:bookmarkEnd w:id="49"/>
    </w:p>
    <w:p>
      <w:pPr>
        <w:pStyle w:val="Heading2"/>
      </w:pPr>
      <w:bookmarkStart w:id="50" w:name="X6eb8c0f1dda61c30be79bb5fe513cc6e308df74"/>
      <w:r>
        <w:t xml:space="preserve">Implementation and operation of WIS2 Node</w:t>
      </w:r>
      <w:bookmarkEnd w:id="50"/>
    </w:p>
    <w:p>
      <w:pPr>
        <w:pStyle w:val="Heading3"/>
      </w:pPr>
      <w:bookmarkStart w:id="51" w:name="X2dc45f7e3308f894d44a9e549266f7a5068a5e5"/>
      <w:r>
        <w:t xml:space="preserve">Practices and procedures</w:t>
      </w:r>
      <w:bookmarkEnd w:id="51"/>
    </w:p>
    <w:p>
      <w:pPr>
        <w:pStyle w:val="Heading4"/>
      </w:pPr>
      <w:bookmarkStart w:id="52" w:name="X2f3309e4993c5808b61e22f79cb053ac9aed9e2"/>
      <w:r>
        <w:t xml:space="preserve">Registration and decommissioning of a WIS node</w:t>
      </w:r>
      <w:bookmarkEnd w:id="52"/>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53" w:name="Xf767dc45d10fda218afde6b3036463a48df52ca"/>
      <w:r>
        <w:t xml:space="preserve">Registration and removal of a Dataset</w:t>
      </w:r>
      <w:bookmarkEnd w:id="53"/>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4" w:name="X3289680ea2f7d4109aa6428f322d340e91d0957"/>
      <w:r>
        <w:t xml:space="preserve">Connecting with Global Services</w:t>
      </w:r>
      <w:bookmarkEnd w:id="54"/>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5" w:name="Xf27b1f0223a14cb62d964158e83b2aa83f010f8"/>
      <w:r>
        <w:t xml:space="preserve">Publishing data, discovery metadata, and notification messages</w:t>
      </w:r>
      <w:bookmarkEnd w:id="55"/>
    </w:p>
    <w:p>
      <w:pPr>
        <w:pStyle w:val="Heading4"/>
      </w:pPr>
      <w:bookmarkStart w:id="56" w:name="X62d67b478702f8c797216a8f6868a0b35e7d516"/>
      <w:r>
        <w:t xml:space="preserve">Discovery metadata</w:t>
      </w:r>
      <w:bookmarkEnd w:id="56"/>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7" w:name="X1570affaafae1bfedcbec5b9543c51eae060db5"/>
      <w:r>
        <w:t xml:space="preserve">Notification messages</w:t>
      </w:r>
      <w:bookmarkEnd w:id="57"/>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8" w:name="X05ad229d6065a3fb9e9fa952b4fa2f12120cd4a"/>
      <w:r>
        <w:t xml:space="preserve">Data</w:t>
      </w:r>
      <w:bookmarkEnd w:id="58"/>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11"/>
        </w:numPr>
      </w:pPr>
      <w:r>
        <w:t xml:space="preserve">Web Accessible Folders (WAF) – a Web-based folder structure listing the data object files by name .</w:t>
      </w:r>
    </w:p>
    <w:p>
      <w:pPr>
        <w:numPr>
          <w:ilvl w:val="0"/>
          <w:numId w:val="1011"/>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12"/>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12"/>
        </w:numPr>
      </w:pPr>
      <w:r>
        <w:t xml:space="preserve">Data Consumers are insulated from the complexities of how a Data Publisher chooses to persist their data. The Web API can provide access to Datasets in a way that is easy for users to understand.</w:t>
      </w:r>
    </w:p>
    <w:p>
      <w:pPr>
        <w:numPr>
          <w:ilvl w:val="0"/>
          <w:numId w:val="1012"/>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9" w:name="X4c61f413c1bd3d905b4c8f2b481e7faf4997b39"/>
      <w:r>
        <w:t xml:space="preserve">Publication and topic selection</w:t>
      </w:r>
      <w:bookmarkEnd w:id="59"/>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60" w:name="X88471e81d2325170fe741992b384283916f363b"/>
      <w:r>
        <w:t xml:space="preserve">Performance management</w:t>
      </w:r>
      <w:bookmarkEnd w:id="60"/>
    </w:p>
    <w:p>
      <w:pPr>
        <w:pStyle w:val="Heading4"/>
      </w:pPr>
      <w:bookmarkStart w:id="61" w:name="Xe6d7c72f985dadd42293bc857d52add7d42ea2b"/>
      <w:r>
        <w:t xml:space="preserve">Service levels and performance indicators</w:t>
      </w:r>
      <w:bookmarkEnd w:id="61"/>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62" w:name="X8bf05b2e0d10427f62345612d639c55cc744267"/>
      <w:r>
        <w:t xml:space="preserve">Provision of system performance metrics</w:t>
      </w:r>
      <w:bookmarkEnd w:id="62"/>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63" w:name="Xae5d89733bfcf82aaecc9731c04a0fb1d348115"/>
      <w:r>
        <w:t xml:space="preserve">WIS Node reference implementation: wis2box</w:t>
      </w:r>
      <w:bookmarkEnd w:id="63"/>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13"/>
        </w:numPr>
      </w:pPr>
      <w:r>
        <w:t xml:space="preserve">Real-time or archive data and metadata publishing to WIS2 (Publish), including available data transformation and processing pipelines</w:t>
      </w:r>
    </w:p>
    <w:p>
      <w:pPr>
        <w:numPr>
          <w:ilvl w:val="0"/>
          <w:numId w:val="1013"/>
        </w:numPr>
      </w:pPr>
      <w:r>
        <w:t xml:space="preserve">MQTT Message Broker and notification message publication (Subscribe)</w:t>
      </w:r>
    </w:p>
    <w:p>
      <w:pPr>
        <w:numPr>
          <w:ilvl w:val="0"/>
          <w:numId w:val="1013"/>
        </w:numPr>
      </w:pPr>
      <w:r>
        <w:t xml:space="preserve">Object storage server providing raw data access (Download)</w:t>
      </w:r>
    </w:p>
    <w:p>
      <w:pPr>
        <w:numPr>
          <w:ilvl w:val="0"/>
          <w:numId w:val="1013"/>
        </w:numPr>
      </w:pPr>
      <w:r>
        <w:t xml:space="preserve">OGC API server, providing dynamic APIs and Web services for discovery, access, visualization and processing functionality (APIs)</w:t>
      </w:r>
    </w:p>
    <w:p>
      <w:pPr>
        <w:numPr>
          <w:ilvl w:val="0"/>
          <w:numId w:val="1013"/>
        </w:numPr>
      </w:pPr>
      <w:r>
        <w:t xml:space="preserve">Discovery metadata curation / editing tools</w:t>
      </w:r>
    </w:p>
    <w:p>
      <w:pPr>
        <w:numPr>
          <w:ilvl w:val="0"/>
          <w:numId w:val="1013"/>
        </w:numPr>
      </w:pPr>
      <w:r>
        <w:t xml:space="preserve">Notification subscription and real-time download of data upon receipt of notifications.</w:t>
      </w:r>
    </w:p>
    <w:p>
      <w:pPr>
        <w:numPr>
          <w:ilvl w:val="0"/>
          <w:numId w:val="1013"/>
        </w:numPr>
      </w:pPr>
      <w:r>
        <w:t xml:space="preserve">Provision of system performance and data availability metrics</w:t>
      </w:r>
    </w:p>
    <w:p>
      <w:pPr>
        <w:numPr>
          <w:ilvl w:val="0"/>
          <w:numId w:val="1013"/>
        </w:numPr>
      </w:pPr>
      <w:r>
        <w:t xml:space="preserve">The modular design of wis2box makes it simple to extend to meet additional requirements or integrate with existing data management systems.</w:t>
      </w:r>
    </w:p>
    <w:p>
      <w:pPr>
        <w:numPr>
          <w:ilvl w:val="0"/>
          <w:numId w:val="1013"/>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64">
        <w:r>
          <w:rPr>
            <w:rStyle w:val="Hyperlink"/>
          </w:rPr>
          <w:t xml:space="preserve">https://github.com/wmo-im/wis2box</w:t>
        </w:r>
      </w:hyperlink>
    </w:p>
    <w:p>
      <w:pPr>
        <w:pStyle w:val="Heading2"/>
      </w:pPr>
      <w:bookmarkStart w:id="65" w:name="X9e72a2ecfcdde13f98188c11fb151050efd6b8e"/>
      <w:r>
        <w:t xml:space="preserve">Implementation and operation of a Global Service</w:t>
      </w:r>
      <w:bookmarkEnd w:id="65"/>
    </w:p>
    <w:p>
      <w:pPr>
        <w:pStyle w:val="Heading3"/>
      </w:pPr>
      <w:bookmarkStart w:id="66" w:name="X2413b2167533c41decb1d7ad264ee77ac10f5b8"/>
      <w:r>
        <w:t xml:space="preserve">Procedure for registration of a new Global Service</w:t>
      </w:r>
      <w:bookmarkEnd w:id="66"/>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3"/>
      </w:pPr>
      <w:bookmarkStart w:id="67" w:name="X92a574e92bd468929fa857fcf361addb0e19130"/>
      <w:r>
        <w:t xml:space="preserve">Performance management and monitoring of a Global Service</w:t>
      </w:r>
      <w:bookmarkEnd w:id="67"/>
    </w:p>
    <w:p>
      <w:pPr>
        <w:pStyle w:val="Heading4"/>
      </w:pPr>
      <w:bookmarkStart w:id="68" w:name="X61b468b8bf7d4308bcaac71a7f66d738b5d312d"/>
      <w:r>
        <w:t xml:space="preserve">Service levels, performance indicators, and fair-usage policies</w:t>
      </w:r>
      <w:bookmarkEnd w:id="68"/>
    </w:p>
    <w:p>
      <w:pPr>
        <w:pStyle w:val="FirstParagraph"/>
      </w:pPr>
      <w:r>
        <w:t xml:space="preserve">TODO: to be completed</w:t>
      </w:r>
    </w:p>
    <w:p>
      <w:pPr>
        <w:pStyle w:val="Heading4"/>
      </w:pPr>
      <w:bookmarkStart w:id="69" w:name="Xa72ae8cff5a9c823711277b9353d6156c00ce2c"/>
      <w:r>
        <w:t xml:space="preserve">Provision of metrics</w:t>
      </w:r>
      <w:bookmarkEnd w:id="69"/>
    </w:p>
    <w:p>
      <w:pPr>
        <w:pStyle w:val="FirstParagraph"/>
      </w:pPr>
      <w:r>
        <w:t xml:space="preserve">TODO: to be completed</w:t>
      </w:r>
    </w:p>
    <w:p>
      <w:pPr>
        <w:pStyle w:val="Heading3"/>
      </w:pPr>
      <w:bookmarkStart w:id="70" w:name="X457e87df81e20dd60341813f33917c04b732591"/>
      <w:r>
        <w:t xml:space="preserve">Global Broker</w:t>
      </w:r>
      <w:bookmarkEnd w:id="70"/>
    </w:p>
    <w:p>
      <w:pPr>
        <w:pStyle w:val="Heading4"/>
      </w:pPr>
      <w:bookmarkStart w:id="71" w:name="Xffd6385210ddd18d3a42c4b75583b265bf38983"/>
      <w:r>
        <w:t xml:space="preserve">Technical considerations</w:t>
      </w:r>
      <w:bookmarkEnd w:id="71"/>
    </w:p>
    <w:p>
      <w:pPr>
        <w:numPr>
          <w:ilvl w:val="0"/>
          <w:numId w:val="1014"/>
        </w:numPr>
      </w:pPr>
      <w:r>
        <w:t xml:space="preserve">There will be multiple Global Broker instances to ensure highly available, low latency global provision of messages within WIS.</w:t>
      </w:r>
    </w:p>
    <w:p>
      <w:pPr>
        <w:numPr>
          <w:ilvl w:val="0"/>
          <w:numId w:val="1014"/>
        </w:numPr>
      </w:pPr>
      <w:r>
        <w:t xml:space="preserve">A Global Broker instance subscribes to messages from NC/DCPCs and other Global Brokers</w:t>
      </w:r>
    </w:p>
    <w:p>
      <w:pPr>
        <w:numPr>
          <w:ilvl w:val="0"/>
          <w:numId w:val="1014"/>
        </w:numPr>
      </w:pPr>
      <w:r>
        <w:t xml:space="preserve">A Global Broker instance will subscribe to messages from a subset of NC/DCPCs and republish them.</w:t>
      </w:r>
    </w:p>
    <w:p>
      <w:pPr>
        <w:numPr>
          <w:ilvl w:val="0"/>
          <w:numId w:val="1014"/>
        </w:numPr>
      </w:pPr>
      <w:r>
        <w:t xml:space="preserve">At least one Global Broker will subscribe to messages from every NC/DCPC.</w:t>
      </w:r>
    </w:p>
    <w:p>
      <w:pPr>
        <w:numPr>
          <w:ilvl w:val="0"/>
          <w:numId w:val="1014"/>
        </w:numPr>
      </w:pPr>
      <w:r>
        <w:t xml:space="preserve">For full global coverage, a Global Broker instance will subscribe to messages from other Global Broker instances and republish them.</w:t>
      </w:r>
    </w:p>
    <w:p>
      <w:pPr>
        <w:numPr>
          <w:ilvl w:val="0"/>
          <w:numId w:val="1014"/>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14"/>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14"/>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14"/>
        </w:numPr>
      </w:pPr>
      <w:r>
        <w:t xml:space="preserve">Standard topic hierarchy</w:t>
      </w:r>
    </w:p>
    <w:p>
      <w:pPr>
        <w:numPr>
          <w:ilvl w:val="1"/>
          <w:numId w:val="1015"/>
        </w:numPr>
      </w:pPr>
      <w:r>
        <w:t xml:space="preserve">A Global Broker will validate notification messages against the standard format (see Notification message format and structure), discarding non-compliant messages and raising an alert.</w:t>
      </w:r>
    </w:p>
    <w:p>
      <w:pPr>
        <w:numPr>
          <w:ilvl w:val="1"/>
          <w:numId w:val="1015"/>
        </w:numPr>
      </w:pPr>
      <w:r>
        <w:t xml:space="preserve">A Global Broker is built around two software components:</w:t>
      </w:r>
    </w:p>
    <w:p>
      <w:pPr>
        <w:numPr>
          <w:ilvl w:val="2"/>
          <w:numId w:val="1016"/>
        </w:numPr>
      </w:pPr>
      <w:r>
        <w:t xml:space="preserve">An off the shelf broker implementing both MQTT 3.1.1 and MQTT 5.0 in a highly-available setup (cluster)Tools such as EMQX, HiveMQ, VerneMQ are compliant with these requirements.</w:t>
      </w:r>
    </w:p>
    <w:p>
      <w:pPr>
        <w:numPr>
          <w:ilvl w:val="2"/>
          <w:numId w:val="1016"/>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4"/>
      </w:pPr>
      <w:bookmarkStart w:id="72" w:name="Xc6a761dae7c2ab8ca53d55e2bb6a1eee7d9f700"/>
      <w:r>
        <w:t xml:space="preserve">Practices and procedures</w:t>
      </w:r>
      <w:bookmarkEnd w:id="72"/>
    </w:p>
    <w:p>
      <w:pPr>
        <w:pStyle w:val="FirstParagraph"/>
      </w:pPr>
      <w:r>
        <w:t xml:space="preserve">The following procedures will be described here once validated through testing during the WIS2 pilot phase:</w:t>
      </w:r>
    </w:p>
    <w:p>
      <w:pPr>
        <w:numPr>
          <w:ilvl w:val="0"/>
          <w:numId w:val="1017"/>
        </w:numPr>
      </w:pPr>
      <w:r>
        <w:t xml:space="preserve">Assigning a Global Broker to a NC or DCPC</w:t>
      </w:r>
    </w:p>
    <w:p>
      <w:pPr>
        <w:numPr>
          <w:ilvl w:val="0"/>
          <w:numId w:val="1017"/>
        </w:numPr>
      </w:pPr>
      <w:r>
        <w:t xml:space="preserve">Alerting originating NC or DCPC about malformed or non-compliant messages</w:t>
      </w:r>
    </w:p>
    <w:p>
      <w:pPr>
        <w:pStyle w:val="FirstParagraph"/>
      </w:pPr>
      <w:r>
        <w:t xml:space="preserve">TODO: to be completed</w:t>
      </w:r>
    </w:p>
    <w:p>
      <w:pPr>
        <w:pStyle w:val="Heading3"/>
      </w:pPr>
      <w:bookmarkStart w:id="73" w:name="X3757fd838d3368c80e2243a833cf028c5b7f1b3"/>
      <w:r>
        <w:t xml:space="preserve">Global Cache</w:t>
      </w:r>
      <w:bookmarkEnd w:id="73"/>
    </w:p>
    <w:p>
      <w:pPr>
        <w:pStyle w:val="Heading4"/>
      </w:pPr>
      <w:bookmarkStart w:id="74" w:name="X786d3f3a1e3b20eb2f4f60f868fc4d4fcbe1071"/>
      <w:r>
        <w:t xml:space="preserve">Technical considerations</w:t>
      </w:r>
      <w:bookmarkEnd w:id="74"/>
    </w:p>
    <w:p>
      <w:pPr>
        <w:numPr>
          <w:ilvl w:val="0"/>
          <w:numId w:val="1018"/>
        </w:numPr>
      </w:pPr>
      <w:r>
        <w:t xml:space="preserve">The Global Cache will contain copies of real-time and near real-time data designated as "core" within the WMO Unified Data Policy (Resolution 1).</w:t>
      </w:r>
    </w:p>
    <w:p>
      <w:pPr>
        <w:numPr>
          <w:ilvl w:val="0"/>
          <w:numId w:val="1018"/>
        </w:numPr>
      </w:pPr>
      <w:r>
        <w:t xml:space="preserve">During the initial stages of the WIS2 pilot phase Global Cache instances will provide open access to their cached content. Access control mechanisms may be added later.</w:t>
      </w:r>
    </w:p>
    <w:p>
      <w:pPr>
        <w:numPr>
          <w:ilvl w:val="0"/>
          <w:numId w:val="1018"/>
        </w:numPr>
      </w:pPr>
      <w:r>
        <w:t xml:space="preserve">A Global Cache instance will host data objects copied from NC/DCPCs. These are persisted as files.</w:t>
      </w:r>
    </w:p>
    <w:p>
      <w:pPr>
        <w:numPr>
          <w:ilvl w:val="0"/>
          <w:numId w:val="1018"/>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18"/>
        </w:numPr>
      </w:pPr>
      <w:r>
        <w:t xml:space="preserve">A Global Cache instance will use the standard topic structure in their local message brokers (see WIS2 messages 4.4 Standard topic hierarchy).</w:t>
      </w:r>
    </w:p>
    <w:p>
      <w:pPr>
        <w:numPr>
          <w:ilvl w:val="0"/>
          <w:numId w:val="1018"/>
        </w:numPr>
      </w:pPr>
      <w:r>
        <w:t xml:space="preserve">There will be multiple Global Cache instances to ensure highly available, low latency global provision of real-time and near real-time "core" data within WIS.</w:t>
      </w:r>
    </w:p>
    <w:p>
      <w:pPr>
        <w:numPr>
          <w:ilvl w:val="0"/>
          <w:numId w:val="1018"/>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18"/>
        </w:numPr>
      </w:pPr>
      <w:r>
        <w:t xml:space="preserve">For full global coverage, a Global Cache instance will download Data Objects and discovery metadata records from other instances.</w:t>
      </w:r>
    </w:p>
    <w:p>
      <w:pPr>
        <w:numPr>
          <w:ilvl w:val="0"/>
          <w:numId w:val="1018"/>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18"/>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18"/>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18"/>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4"/>
      </w:pPr>
      <w:bookmarkStart w:id="75" w:name="X9b96528b68355c2d8f1e08d2aface04eb4f4da9"/>
      <w:r>
        <w:t xml:space="preserve">Practices and procedures</w:t>
      </w:r>
      <w:bookmarkEnd w:id="75"/>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3"/>
      </w:pPr>
      <w:bookmarkStart w:id="76" w:name="X7afed62fce9c77dc9763966ede44c55358b9618"/>
      <w:r>
        <w:t xml:space="preserve">Global Discovery Catalogue</w:t>
      </w:r>
      <w:bookmarkEnd w:id="76"/>
    </w:p>
    <w:p>
      <w:pPr>
        <w:pStyle w:val="Heading4"/>
      </w:pPr>
      <w:bookmarkStart w:id="77" w:name="Xfb2e666548741befe53fbe311ab83706f224432"/>
      <w:r>
        <w:t xml:space="preserve">Technical considerations</w:t>
      </w:r>
      <w:bookmarkEnd w:id="77"/>
    </w:p>
    <w:p>
      <w:pPr>
        <w:numPr>
          <w:ilvl w:val="0"/>
          <w:numId w:val="1019"/>
        </w:numPr>
      </w:pPr>
      <w:r>
        <w:t xml:space="preserve">The Global Discovery Catalogue provides Data Consumers with a mechanism to discover the Datasets of interest, as well as, how to interact with and find out more information about those Datasets.</w:t>
      </w:r>
    </w:p>
    <w:p>
      <w:pPr>
        <w:numPr>
          <w:ilvl w:val="0"/>
          <w:numId w:val="1019"/>
        </w:numPr>
      </w:pPr>
      <w:r>
        <w:t xml:space="preserve">The Global Discovery Catalogue implements the OGC API – Records – Part 1: Core standard.</w:t>
      </w:r>
    </w:p>
    <w:p>
      <w:pPr>
        <w:numPr>
          <w:ilvl w:val="0"/>
          <w:numId w:val="1019"/>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19"/>
        </w:numPr>
      </w:pPr>
      <w:r>
        <w:t xml:space="preserve">A single Global Discovery Catalogue instance is sufficient for WIS2.</w:t>
      </w:r>
    </w:p>
    <w:p>
      <w:pPr>
        <w:numPr>
          <w:ilvl w:val="0"/>
          <w:numId w:val="1019"/>
        </w:numPr>
      </w:pPr>
      <w:r>
        <w:t xml:space="preserve">Multiple Global Discovery Catalogue instances may be deployed for resilience.</w:t>
      </w:r>
    </w:p>
    <w:p>
      <w:pPr>
        <w:numPr>
          <w:ilvl w:val="0"/>
          <w:numId w:val="1019"/>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19"/>
        </w:numPr>
      </w:pPr>
      <w:r>
        <w:t xml:space="preserve">A Global Discovery Catalogue is populated with discovery metadata records from a Global Cache instance – receiving messages about availability of discovery metadata records via a Global Broker.</w:t>
      </w:r>
    </w:p>
    <w:p>
      <w:pPr>
        <w:numPr>
          <w:ilvl w:val="0"/>
          <w:numId w:val="1019"/>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19"/>
        </w:numPr>
      </w:pPr>
      <w:r>
        <w:t xml:space="preserve">A Global Discovery Catalogue will validate discovery metadata records against the WMO Core Metadata Profile version 2 (WCMP2), discarding non-compliant records and raising an alert.</w:t>
      </w:r>
    </w:p>
    <w:p>
      <w:pPr>
        <w:numPr>
          <w:ilvl w:val="0"/>
          <w:numId w:val="1019"/>
        </w:numPr>
      </w:pPr>
      <w:r>
        <w:t xml:space="preserve">A Global Discovery Catalogue will update discovery metadata records it receives to add links for subscription URLs at Global Broker instances.</w:t>
      </w:r>
    </w:p>
    <w:p>
      <w:pPr>
        <w:numPr>
          <w:ilvl w:val="0"/>
          <w:numId w:val="1019"/>
        </w:numPr>
      </w:pPr>
      <w:r>
        <w:t xml:space="preserve">A Global Discovery Catalogue should applying faceting capability as specified in the cataloguing considerations of the WCMP2 specification as defined in OGC API - Records.</w:t>
      </w:r>
    </w:p>
    <w:p>
      <w:pPr>
        <w:numPr>
          <w:ilvl w:val="0"/>
          <w:numId w:val="1019"/>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19"/>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4"/>
      </w:pPr>
      <w:bookmarkStart w:id="78" w:name="X4cbbd7919f310ffd0c7fa24b9e626d418975302"/>
      <w:r>
        <w:t xml:space="preserve">Practices and procedures</w:t>
      </w:r>
      <w:bookmarkEnd w:id="78"/>
    </w:p>
    <w:p>
      <w:pPr>
        <w:pStyle w:val="FirstParagraph"/>
      </w:pPr>
      <w:r>
        <w:t xml:space="preserve">The following procedures will be described here once validated through testing during the WIS2 pilot phase:</w:t>
      </w:r>
    </w:p>
    <w:p>
      <w:pPr>
        <w:numPr>
          <w:ilvl w:val="0"/>
          <w:numId w:val="1020"/>
        </w:numPr>
      </w:pPr>
      <w:r>
        <w:t xml:space="preserve">Alerting originating NC or DCPC about malformed or non-compliant discovery metadata records</w:t>
      </w:r>
    </w:p>
    <w:p>
      <w:pPr>
        <w:numPr>
          <w:ilvl w:val="0"/>
          <w:numId w:val="1020"/>
        </w:numPr>
      </w:pPr>
      <w:r>
        <w:t xml:space="preserve">Providing feedback to NC and DCPC about how to improve their discovery metadata</w:t>
      </w:r>
    </w:p>
    <w:p>
      <w:pPr>
        <w:numPr>
          <w:ilvl w:val="0"/>
          <w:numId w:val="1020"/>
        </w:numPr>
      </w:pPr>
      <w:r>
        <w:t xml:space="preserve">Removing discovery metadata for a Dataset on request</w:t>
      </w:r>
    </w:p>
    <w:p>
      <w:pPr>
        <w:numPr>
          <w:ilvl w:val="0"/>
          <w:numId w:val="1020"/>
        </w:numPr>
      </w:pPr>
      <w:r>
        <w:t xml:space="preserve">‘Bootstrapping’ a Global Discovery Catalogue instance from the Global Cache</w:t>
      </w:r>
    </w:p>
    <w:p>
      <w:pPr>
        <w:pStyle w:val="FirstParagraph"/>
      </w:pPr>
      <w:r>
        <w:t xml:space="preserve">TODO: to be completed</w:t>
      </w:r>
    </w:p>
    <w:p>
      <w:pPr>
        <w:pStyle w:val="Heading3"/>
      </w:pPr>
      <w:bookmarkStart w:id="79" w:name="X4e88c05a27e698b3d133af3a43b16886494a2e2"/>
      <w:r>
        <w:t xml:space="preserve">Global Monitor</w:t>
      </w:r>
      <w:bookmarkEnd w:id="79"/>
    </w:p>
    <w:p>
      <w:pPr>
        <w:pStyle w:val="Heading4"/>
      </w:pPr>
      <w:bookmarkStart w:id="80" w:name="Xd139f35e1c8e20bb300c6e70a06e779eeaccbe8"/>
      <w:r>
        <w:t xml:space="preserve">Technical Considerations</w:t>
      </w:r>
      <w:bookmarkEnd w:id="80"/>
    </w:p>
    <w:p>
      <w:pPr>
        <w:numPr>
          <w:ilvl w:val="0"/>
          <w:numId w:val="1021"/>
        </w:numPr>
      </w:pPr>
      <w:r>
        <w:t xml:space="preserve">WIS2 standardises how system performance and data availability metrics are published from WIS nodes and Global Services.</w:t>
      </w:r>
    </w:p>
    <w:p>
      <w:pPr>
        <w:numPr>
          <w:ilvl w:val="0"/>
          <w:numId w:val="1021"/>
        </w:numPr>
      </w:pPr>
      <w:r>
        <w:t xml:space="preserve">The Global Monitor will collect metrics as defined in the OpenMetrics standard.</w:t>
      </w:r>
    </w:p>
    <w:p>
      <w:pPr>
        <w:numPr>
          <w:ilvl w:val="0"/>
          <w:numId w:val="1021"/>
        </w:numPr>
      </w:pPr>
      <w:r>
        <w:t xml:space="preserve">The Global Monitor will monitor the 'health' (i.e., performance) of components at NC/DCPC as well as Global Service instances.</w:t>
      </w:r>
    </w:p>
    <w:p>
      <w:pPr>
        <w:numPr>
          <w:ilvl w:val="0"/>
          <w:numId w:val="1021"/>
        </w:numPr>
      </w:pPr>
      <w:r>
        <w:t xml:space="preserve">The Global Monitor will provide a Web-based ‘dashboard’ that displays the WIS2 system performance and data availability.</w:t>
      </w:r>
    </w:p>
    <w:p>
      <w:pPr>
        <w:pStyle w:val="FirstParagraph"/>
      </w:pPr>
      <w:r>
        <w:t xml:space="preserve">TODO: to be completed</w:t>
      </w:r>
    </w:p>
    <w:p>
      <w:pPr>
        <w:pStyle w:val="Heading4"/>
      </w:pPr>
      <w:bookmarkStart w:id="81" w:name="X65596701c5807e744b049093822fd643b9d3aca"/>
      <w:r>
        <w:t xml:space="preserve">Practices and procedures</w:t>
      </w:r>
      <w:bookmarkEnd w:id="81"/>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2"/>
      </w:pPr>
      <w:bookmarkStart w:id="82" w:name="Xeeabc229dc8912ba5f974878e5a5a11961b3b62"/>
      <w:r>
        <w:t xml:space="preserve">Operations</w:t>
      </w:r>
      <w:bookmarkEnd w:id="82"/>
    </w:p>
    <w:p>
      <w:pPr>
        <w:pStyle w:val="Heading1"/>
      </w:pPr>
      <w:bookmarkStart w:id="83" w:name="X50d015487b8112b45846fafc9cb4c294f9c1543"/>
      <w:r>
        <w:t xml:space="preserve">PART III</w:t>
      </w:r>
      <w:bookmarkEnd w:id="83"/>
    </w:p>
    <w:p>
      <w:pPr>
        <w:pStyle w:val="Heading2"/>
      </w:pPr>
      <w:bookmarkStart w:id="84" w:name="Xf663b84f8b08bef805756b15e1319003d76fa52"/>
      <w:r>
        <w:t xml:space="preserve">Information management</w:t>
      </w:r>
      <w:bookmarkEnd w:id="84"/>
    </w:p>
    <w:p>
      <w:pPr>
        <w:pStyle w:val="Heading3"/>
      </w:pPr>
      <w:bookmarkStart w:id="85" w:name="X1ea7cbd003469405f98a7976943980a7b23bcee"/>
      <w:r>
        <w:t xml:space="preserve">Introduction</w:t>
      </w:r>
      <w:bookmarkEnd w:id="85"/>
    </w:p>
    <w:p>
      <w:pPr>
        <w:pStyle w:val="Heading4"/>
      </w:pPr>
      <w:bookmarkStart w:id="86" w:name="Xca774f64942a7f7563fb94bb05ba7dab3a26d69"/>
      <w:r>
        <w:t xml:space="preserve">Background</w:t>
      </w:r>
      <w:bookmarkEnd w:id="86"/>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87" w:name="Xc8210088bf4711be4456d26326179eb58b8f5b4"/>
      <w:r>
        <w:t xml:space="preserve">Scope</w:t>
      </w:r>
      <w:bookmarkEnd w:id="87"/>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22"/>
        </w:numPr>
      </w:pPr>
      <w:r>
        <w:t xml:space="preserve">Planning, information creation and acquisition. Creation of information using internal and external data sources and the acquisition of information from various sources.</w:t>
      </w:r>
    </w:p>
    <w:p>
      <w:pPr>
        <w:numPr>
          <w:ilvl w:val="0"/>
          <w:numId w:val="1022"/>
        </w:numPr>
      </w:pPr>
      <w:r>
        <w:t xml:space="preserve">Representation and metadata. Standards to represent metadata, data and information are of primary importance to enable interoperability and long-term usability of the information.</w:t>
      </w:r>
    </w:p>
    <w:p>
      <w:pPr>
        <w:numPr>
          <w:ilvl w:val="0"/>
          <w:numId w:val="1022"/>
        </w:numPr>
      </w:pPr>
      <w:r>
        <w:t xml:space="preserve">Publication and exchange of information. The creation and publication of discovery metadata in a standardized format enabling users to discover, access and retrieve the information.</w:t>
      </w:r>
    </w:p>
    <w:p>
      <w:pPr>
        <w:numPr>
          <w:ilvl w:val="0"/>
          <w:numId w:val="1022"/>
        </w:numPr>
      </w:pPr>
      <w:r>
        <w:t xml:space="preserve">Usage and communication. Publication of guidance material on the use of published information, including on the limitations and suitability of the information and any licensing terms.</w:t>
      </w:r>
    </w:p>
    <w:p>
      <w:pPr>
        <w:numPr>
          <w:ilvl w:val="0"/>
          <w:numId w:val="1022"/>
        </w:numPr>
      </w:pPr>
      <w:r>
        <w:t xml:space="preserve">Storage, archival and disposal. Policies and procedures for business continuity and disaster recovery, as well as retention and disposal.</w:t>
      </w:r>
    </w:p>
    <w:p>
      <w:pPr>
        <w:pStyle w:val="Heading4"/>
      </w:pPr>
      <w:bookmarkStart w:id="88" w:name="Xc4a1ede03be40f12a45db53a22503ecdd576f28"/>
      <w:r>
        <w:t xml:space="preserve">Intended audience</w:t>
      </w:r>
      <w:bookmarkEnd w:id="88"/>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23"/>
        </w:numPr>
      </w:pPr>
      <w:r>
        <w:t xml:space="preserve">Information producers or creators (those who produce or acquire the information - they need to ensure the scientific quality of the underpinning information).</w:t>
      </w:r>
    </w:p>
    <w:p>
      <w:pPr>
        <w:numPr>
          <w:ilvl w:val="0"/>
          <w:numId w:val="1023"/>
        </w:numPr>
      </w:pPr>
      <w:r>
        <w:t xml:space="preserve">Information managers (those who manage information).</w:t>
      </w:r>
    </w:p>
    <w:p>
      <w:pPr>
        <w:numPr>
          <w:ilvl w:val="0"/>
          <w:numId w:val="1023"/>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23"/>
        </w:numPr>
      </w:pPr>
      <w:r>
        <w:t xml:space="preserve">Service providers (those who disseminate the information - they are responsible for ensuring information availability and maintaining capability for easy and secure access to the information).</w:t>
      </w:r>
    </w:p>
    <w:p>
      <w:pPr>
        <w:numPr>
          <w:ilvl w:val="0"/>
          <w:numId w:val="1023"/>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89" w:name="Xc94de5166ce838056d764e2813060631f45545e"/>
      <w:r>
        <w:t xml:space="preserve">Principles of information management</w:t>
      </w:r>
      <w:bookmarkEnd w:id="89"/>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90" w:name="Xced3bf5985e11d5bf9ea318c067f81c51dd90bb"/>
      <w:r>
        <w:t xml:space="preserve">Principle 1: Information is a valued asset</w:t>
      </w:r>
      <w:bookmarkEnd w:id="90"/>
    </w:p>
    <w:p>
      <w:pPr>
        <w:numPr>
          <w:ilvl w:val="0"/>
          <w:numId w:val="1024"/>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24"/>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91" w:name="X2b4305e580dff0ab586fbedd336c10ae1a05bc9"/>
      <w:r>
        <w:t xml:space="preserve">Principle 2: Information must be managed</w:t>
      </w:r>
      <w:bookmarkEnd w:id="91"/>
    </w:p>
    <w:p>
      <w:pPr>
        <w:numPr>
          <w:ilvl w:val="0"/>
          <w:numId w:val="1025"/>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25"/>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25"/>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92" w:name="X24cab0a09ccdca3e752f0ecd6d0ff5456c284f3"/>
      <w:r>
        <w:t xml:space="preserve">Principle 3: Information must be fit for purpose</w:t>
      </w:r>
      <w:bookmarkEnd w:id="92"/>
    </w:p>
    <w:p>
      <w:pPr>
        <w:numPr>
          <w:ilvl w:val="0"/>
          <w:numId w:val="1026"/>
        </w:numPr>
      </w:pPr>
      <w:r>
        <w:t xml:space="preserve">Information should be developed and managed in accordance with its function and use for internal and external users.</w:t>
      </w:r>
    </w:p>
    <w:p>
      <w:pPr>
        <w:numPr>
          <w:ilvl w:val="0"/>
          <w:numId w:val="1026"/>
        </w:numPr>
      </w:pPr>
      <w:r>
        <w:t xml:space="preserve">WMO Centres should regularly assess information to ensure that it is fit for its purpose and that processes, procedures, and documentation are adequate.</w:t>
      </w:r>
    </w:p>
    <w:p>
      <w:pPr>
        <w:numPr>
          <w:ilvl w:val="0"/>
          <w:numId w:val="1026"/>
        </w:numPr>
      </w:pPr>
      <w:r>
        <w:t xml:space="preserve">Processes should be consistent with the general provisions and principles of quality management as described in the WMO Technical Regulations (WMO-No. 49).</w:t>
      </w:r>
    </w:p>
    <w:p>
      <w:pPr>
        <w:pStyle w:val="Heading4"/>
      </w:pPr>
      <w:bookmarkStart w:id="93" w:name="X6a00b6457f0c1f3361b337f694a28b174d7bdda"/>
      <w:r>
        <w:t xml:space="preserve">Principle 4: Information must be standardized and interoperable</w:t>
      </w:r>
      <w:bookmarkEnd w:id="93"/>
    </w:p>
    <w:p>
      <w:pPr>
        <w:numPr>
          <w:ilvl w:val="0"/>
          <w:numId w:val="1027"/>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27"/>
        </w:numPr>
      </w:pPr>
      <w:r>
        <w:t xml:space="preserve">Standardization is essential for structured information such as dataset definitions and metadata to support interoperability.</w:t>
      </w:r>
    </w:p>
    <w:p>
      <w:pPr>
        <w:numPr>
          <w:ilvl w:val="0"/>
          <w:numId w:val="1027"/>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27"/>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27"/>
        </w:numPr>
      </w:pPr>
      <w:r>
        <w:t xml:space="preserve">The use of closed and proprietary standards is strongly discouraged.</w:t>
      </w:r>
    </w:p>
    <w:p>
      <w:pPr>
        <w:pStyle w:val="Heading4"/>
      </w:pPr>
      <w:bookmarkStart w:id="94" w:name="X7a72b7a348aceb0a6c3eeef09fd9dc18fc224a0"/>
      <w:r>
        <w:t xml:space="preserve">Principle 5: Information must be well documented</w:t>
      </w:r>
      <w:bookmarkEnd w:id="94"/>
    </w:p>
    <w:p>
      <w:pPr>
        <w:numPr>
          <w:ilvl w:val="0"/>
          <w:numId w:val="1028"/>
        </w:numPr>
      </w:pPr>
      <w:r>
        <w:t xml:space="preserve">WMO centres should comprehensively document information processes, policies, and procedures to facilitate broad and long-term use.</w:t>
      </w:r>
    </w:p>
    <w:p>
      <w:pPr>
        <w:numPr>
          <w:ilvl w:val="0"/>
          <w:numId w:val="1028"/>
        </w:numPr>
      </w:pPr>
      <w:r>
        <w:t xml:space="preserve">WMO centres should keep documentation up to date to ensure full traceability of processes along the information lifecycle, particularly for its creation.</w:t>
      </w:r>
    </w:p>
    <w:p>
      <w:pPr>
        <w:numPr>
          <w:ilvl w:val="0"/>
          <w:numId w:val="1028"/>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95" w:name="Xf201bbec5eea25bb7367115a98b8129aa22d6b9"/>
      <w:r>
        <w:t xml:space="preserve">Principle 6: Information must be discoverable, accessible and retrievable</w:t>
      </w:r>
      <w:bookmarkEnd w:id="95"/>
    </w:p>
    <w:p>
      <w:pPr>
        <w:numPr>
          <w:ilvl w:val="0"/>
          <w:numId w:val="1029"/>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29"/>
        </w:numPr>
      </w:pPr>
      <w:r>
        <w:t xml:space="preserve">For information to be easily retrievable once discovered, it should be accessible using standard data exchange protocols.</w:t>
      </w:r>
    </w:p>
    <w:p>
      <w:pPr>
        <w:pStyle w:val="Heading4"/>
      </w:pPr>
      <w:bookmarkStart w:id="96" w:name="Xad9a69e02a46804a1cafca89aee5aabe4560385"/>
      <w:r>
        <w:t xml:space="preserve">Principle 7: Information should be reusable</w:t>
      </w:r>
      <w:bookmarkEnd w:id="96"/>
    </w:p>
    <w:p>
      <w:pPr>
        <w:numPr>
          <w:ilvl w:val="0"/>
          <w:numId w:val="1030"/>
        </w:numPr>
      </w:pPr>
      <w:r>
        <w:t xml:space="preserve">In order to maximize the economic benefits of an information asset it should be made as widely available and as accessible as possible.</w:t>
      </w:r>
    </w:p>
    <w:p>
      <w:pPr>
        <w:numPr>
          <w:ilvl w:val="0"/>
          <w:numId w:val="1030"/>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30"/>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97"/>
      </w:r>
    </w:p>
    <w:p>
      <w:pPr>
        <w:pStyle w:val="Heading4"/>
      </w:pPr>
      <w:bookmarkStart w:id="99" w:name="X985b53b52432ebd6bb65899337d26b4ccfeefb9"/>
      <w:r>
        <w:t xml:space="preserve">Principle 8: Information management is subject to accountability and governance.</w:t>
      </w:r>
      <w:bookmarkEnd w:id="99"/>
    </w:p>
    <w:p>
      <w:pPr>
        <w:numPr>
          <w:ilvl w:val="0"/>
          <w:numId w:val="1031"/>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31"/>
        </w:numPr>
      </w:pPr>
      <w:r>
        <w:t xml:space="preserve">information management practices, procedures and protocols, including well-defined roles, responsibilities and restrictions on managing the information;</w:t>
      </w:r>
    </w:p>
    <w:p>
      <w:pPr>
        <w:numPr>
          <w:ilvl w:val="0"/>
          <w:numId w:val="1031"/>
        </w:numPr>
      </w:pPr>
      <w:r>
        <w:t xml:space="preserve">definition and enforcement of appropriate retention policy, taking into account stakeholder needs and variations in value over the information lifecycle;</w:t>
      </w:r>
    </w:p>
    <w:p>
      <w:pPr>
        <w:numPr>
          <w:ilvl w:val="0"/>
          <w:numId w:val="1031"/>
        </w:numPr>
      </w:pPr>
      <w:r>
        <w:t xml:space="preserve">licensing and defining and enforcing any access restrictions.</w:t>
      </w:r>
    </w:p>
    <w:p>
      <w:pPr>
        <w:numPr>
          <w:ilvl w:val="0"/>
          <w:numId w:val="1031"/>
        </w:numPr>
      </w:pPr>
      <w:r>
        <w:t xml:space="preserve">The designated owner should have budget and decision-making authority about preservation and data usage, including passing ownership to another authority.</w:t>
      </w:r>
    </w:p>
    <w:p>
      <w:pPr>
        <w:pStyle w:val="Heading3"/>
      </w:pPr>
      <w:bookmarkStart w:id="100" w:name="X78a249a2cf11ac86cd7d6d498271963ba9dd080"/>
      <w:r>
        <w:t xml:space="preserve">The information management lifecycle</w:t>
      </w:r>
      <w:bookmarkEnd w:id="100"/>
    </w:p>
    <w:p>
      <w:pPr>
        <w:pStyle w:val="Heading4"/>
      </w:pPr>
      <w:bookmarkStart w:id="101" w:name="X43f9398da9c2eb974194c1e60a2fdc80e1bfc87"/>
      <w:r>
        <w:t xml:space="preserve">Overview</w:t>
      </w:r>
      <w:bookmarkEnd w:id="101"/>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32"/>
        </w:numPr>
      </w:pPr>
      <w:r>
        <w:t xml:space="preserve">Planning, creation and acquisition</w:t>
      </w:r>
    </w:p>
    <w:p>
      <w:pPr>
        <w:numPr>
          <w:ilvl w:val="0"/>
          <w:numId w:val="1032"/>
        </w:numPr>
      </w:pPr>
      <w:r>
        <w:t xml:space="preserve">Representation and metadata</w:t>
      </w:r>
    </w:p>
    <w:p>
      <w:pPr>
        <w:numPr>
          <w:ilvl w:val="0"/>
          <w:numId w:val="1032"/>
        </w:numPr>
      </w:pPr>
      <w:r>
        <w:t xml:space="preserve">Publication and exchange</w:t>
      </w:r>
    </w:p>
    <w:p>
      <w:pPr>
        <w:numPr>
          <w:ilvl w:val="0"/>
          <w:numId w:val="1032"/>
        </w:numPr>
      </w:pPr>
      <w:r>
        <w:t xml:space="preserve">Usage and communication</w:t>
      </w:r>
    </w:p>
    <w:p>
      <w:pPr>
        <w:numPr>
          <w:ilvl w:val="0"/>
          <w:numId w:val="1032"/>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02" w:name="Xb3f0671d8925fa193cc843a6c5ac3eb64409810"/>
      <w:r>
        <w:t xml:space="preserve">Overarching requirements</w:t>
      </w:r>
      <w:bookmarkEnd w:id="102"/>
    </w:p>
    <w:p>
      <w:pPr>
        <w:pStyle w:val="Heading5"/>
      </w:pPr>
      <w:bookmarkStart w:id="103" w:name="X46bef04a53b25a1a07899f714aadd7ab888e2c5"/>
      <w:r>
        <w:t xml:space="preserve">Governance</w:t>
      </w:r>
      <w:bookmarkEnd w:id="103"/>
    </w:p>
    <w:p>
      <w:pPr>
        <w:numPr>
          <w:ilvl w:val="0"/>
          <w:numId w:val="1033"/>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33"/>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33"/>
        </w:numPr>
      </w:pPr>
      <w:r>
        <w:t xml:space="preserve">WMO centres should establish a board or leadership group to develop and regularly review such a governance structure and ensure compliance with its requirements.</w:t>
      </w:r>
    </w:p>
    <w:p>
      <w:pPr>
        <w:pStyle w:val="Heading5"/>
      </w:pPr>
      <w:bookmarkStart w:id="104" w:name="X983d5959bc8486b1ce731c329c055fcbbc55a03"/>
      <w:r>
        <w:t xml:space="preserve">Documentation</w:t>
      </w:r>
      <w:bookmarkEnd w:id="104"/>
    </w:p>
    <w:p>
      <w:pPr>
        <w:numPr>
          <w:ilvl w:val="0"/>
          <w:numId w:val="1034"/>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34"/>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05" w:name="Xc1748e8f7038b0e2d79f80c2501fb09e121bdc5"/>
      <w:r>
        <w:t xml:space="preserve">Aspects of the information management lifecycle</w:t>
      </w:r>
      <w:bookmarkEnd w:id="105"/>
    </w:p>
    <w:p>
      <w:pPr>
        <w:pStyle w:val="Heading5"/>
      </w:pPr>
      <w:bookmarkStart w:id="106" w:name="Xb3fb7be77fcbfe5935f83c52aa59c7c4f68f9ed"/>
      <w:r>
        <w:t xml:space="preserve">Planning, information creation and acquisition</w:t>
      </w:r>
      <w:bookmarkEnd w:id="106"/>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35"/>
        </w:numPr>
      </w:pPr>
      <w:r>
        <w:t xml:space="preserve">Why the information is required</w:t>
      </w:r>
    </w:p>
    <w:p>
      <w:pPr>
        <w:numPr>
          <w:ilvl w:val="0"/>
          <w:numId w:val="1035"/>
        </w:numPr>
      </w:pPr>
      <w:r>
        <w:t xml:space="preserve">How it will be collected or created</w:t>
      </w:r>
    </w:p>
    <w:p>
      <w:pPr>
        <w:numPr>
          <w:ilvl w:val="0"/>
          <w:numId w:val="1035"/>
        </w:numPr>
      </w:pPr>
      <w:r>
        <w:t xml:space="preserve">How it will be stored</w:t>
      </w:r>
    </w:p>
    <w:p>
      <w:pPr>
        <w:numPr>
          <w:ilvl w:val="0"/>
          <w:numId w:val="1035"/>
        </w:numPr>
      </w:pPr>
      <w:r>
        <w:t xml:space="preserve">Whether it will be exchanged with other users and under what policy</w:t>
      </w:r>
    </w:p>
    <w:p>
      <w:pPr>
        <w:numPr>
          <w:ilvl w:val="0"/>
          <w:numId w:val="1035"/>
        </w:numPr>
      </w:pPr>
      <w:r>
        <w:t xml:space="preserve">Where it should be submitted for long term archival</w:t>
      </w:r>
    </w:p>
    <w:p>
      <w:pPr>
        <w:numPr>
          <w:ilvl w:val="0"/>
          <w:numId w:val="1035"/>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07" w:name="X0fb41f5d69e3c0e08742406b46184bce7272db1"/>
      <w:r>
        <w:t xml:space="preserve">Representation and metadata</w:t>
      </w:r>
      <w:bookmarkEnd w:id="107"/>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08" w:name="X9141f665603210a069fd950d3a70a10fce81a4b"/>
      <w:r>
        <w:t xml:space="preserve">Publication and exchange of information</w:t>
      </w:r>
      <w:bookmarkEnd w:id="108"/>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09">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10">
        <w:r>
          <w:rPr>
            <w:rStyle w:val="Hyperlink"/>
          </w:rPr>
          <w:t xml:space="preserve">https://community.wmo.int/news/operational-newsletter</w:t>
        </w:r>
      </w:hyperlink>
    </w:p>
    <w:p>
      <w:pPr>
        <w:pStyle w:val="Heading5"/>
      </w:pPr>
      <w:bookmarkStart w:id="111" w:name="X3943a915dab0acd14a551cc23fe1ab4fc5b6d08"/>
      <w:r>
        <w:t xml:space="preserve">Usage and communication</w:t>
      </w:r>
      <w:bookmarkEnd w:id="11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36"/>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36"/>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12" w:name="Xc49f3d2ac2c1a4985f413e4e33375d67ca4edae"/>
      <w:r>
        <w:t xml:space="preserve">Storage, archival and disposal</w:t>
      </w:r>
      <w:bookmarkEnd w:id="11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13" w:name="Xcde52b855ebe88b41febf339572171c6eff9f00"/>
      <w:r>
        <w:t xml:space="preserve">Other considerations</w:t>
      </w:r>
      <w:bookmarkEnd w:id="113"/>
    </w:p>
    <w:p>
      <w:pPr>
        <w:pStyle w:val="Heading4"/>
      </w:pPr>
      <w:bookmarkStart w:id="114" w:name="Xaaae0965b9c1bfef7ff2e90d054b0b5d3ba2f74"/>
      <w:r>
        <w:t xml:space="preserve">Technology and technology migration</w:t>
      </w:r>
      <w:bookmarkEnd w:id="114"/>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15" w:name="X4be09f68f287a055be5a28deacf8bb1b4bf1904"/>
      <w:r>
        <w:t xml:space="preserve">Information security</w:t>
      </w:r>
      <w:bookmarkEnd w:id="115"/>
    </w:p>
    <w:p>
      <w:pPr>
        <w:pStyle w:val="FirstParagraph"/>
      </w:pPr>
      <w:r>
        <w:t xml:space="preserve">Further information on information security and best practices can be found in the WMO Guide to Information Technology Security (WMO-No. 1115).</w:t>
      </w:r>
    </w:p>
    <w:p>
      <w:pPr>
        <w:pStyle w:val="Heading1"/>
      </w:pPr>
      <w:bookmarkStart w:id="116" w:name="X21cd127bd20f258a1e62ea9ca51972219f0b892"/>
      <w:r>
        <w:t xml:space="preserve">PART IV</w:t>
      </w:r>
      <w:bookmarkEnd w:id="116"/>
    </w:p>
    <w:p>
      <w:pPr>
        <w:pStyle w:val="Heading2"/>
      </w:pPr>
      <w:bookmarkStart w:id="117" w:name="X450d2800ceddee769150bb96f748c14ec1a5fef"/>
      <w:r>
        <w:t xml:space="preserve">Security</w:t>
      </w:r>
      <w:bookmarkEnd w:id="117"/>
    </w:p>
    <w:p>
      <w:pPr>
        <w:pStyle w:val="FirstParagraph"/>
      </w:pPr>
      <w:r>
        <w:t xml:space="preserve">This section will introduce some concepts on the measures a publisher or a global service can implement to decrease the risk of cyber attacks.</w:t>
      </w:r>
    </w:p>
    <w:p>
      <w:pPr>
        <w:pStyle w:val="Heading1"/>
      </w:pPr>
      <w:bookmarkStart w:id="118" w:name="X3305ea5abe6b1fb2cabf7a817df7b030491936b"/>
      <w:r>
        <w:t xml:space="preserve">PART V</w:t>
      </w:r>
      <w:bookmarkEnd w:id="118"/>
    </w:p>
    <w:p>
      <w:pPr>
        <w:pStyle w:val="Heading2"/>
      </w:pPr>
      <w:bookmarkStart w:id="119" w:name="Xb01b72941e106f40026e8313cebe8325cd24f8c"/>
      <w:r>
        <w:t xml:space="preserve">Competencies</w:t>
      </w:r>
      <w:bookmarkEnd w:id="11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4">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6">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7">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97">
    <w:p>
      <w:pPr>
        <w:pStyle w:val="FootnoteText"/>
      </w:pPr>
      <w:r>
        <w:rPr>
          <w:rStyle w:val="FootnoteReference"/>
        </w:rPr>
        <w:footnoteRef/>
      </w:r>
      <w:r>
        <w:t xml:space="preserve"> </w:t>
      </w:r>
      <w:hyperlink r:id="rId98">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10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github.com/wmo-im/wis2box" TargetMode="External" /><Relationship Type="http://schemas.openxmlformats.org/officeDocument/2006/relationships/hyperlink" Id="rId98" Target="https://go-fair.org" TargetMode="External" /></Relationships>
</file>

<file path=word/_rels/footnotes.xml.rels><?xml version="1.0" encoding="UTF-8"?>
<Relationships xmlns="http://schemas.openxmlformats.org/package/2006/relationships"><Relationship Type="http://schemas.openxmlformats.org/officeDocument/2006/relationships/hyperlink" Id="rId10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github.com/wmo-im/wis2box" TargetMode="External" /><Relationship Type="http://schemas.openxmlformats.org/officeDocument/2006/relationships/hyperlink" Id="rId98" Target="https://go-fai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2023-10-19T16:06:25Z</dcterms:created>
  <dcterms:modified xsi:type="dcterms:W3CDTF">2023-10-19T16:06:25Z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2023-10-19</vt:lpwstr>
  </property>
</Properties>
</file>