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2"/>
      </w:pPr>
      <w:bookmarkStart w:id="83" w:name="X88471e81d2325170fe741992b384283916f363b"/>
      <w:r>
        <w:t xml:space="preserve">Performance management</w:t>
      </w:r>
      <w:bookmarkEnd w:id="83"/>
    </w:p>
    <w:p>
      <w:pPr>
        <w:pStyle w:val="Heading3"/>
      </w:pPr>
      <w:bookmarkStart w:id="84" w:name="Xe6d7c72f985dadd42293bc857d52add7d42ea2b"/>
      <w:r>
        <w:t xml:space="preserve">Service levels and performance indicators</w:t>
      </w:r>
      <w:bookmarkEnd w:id="8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5" w:name="X8bf05b2e0d10427f62345612d639c55cc744267"/>
      <w:r>
        <w:t xml:space="preserve">Provision of system performance metrics</w:t>
      </w:r>
      <w:bookmarkEnd w:id="8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6" w:name="Xae5d89733bfcf82aaecc9731c04a0fb1d348115"/>
      <w:r>
        <w:t xml:space="preserve">WIS Node reference implementation: wis2box</w:t>
      </w:r>
      <w:bookmarkEnd w:id="8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7">
        <w:r>
          <w:rPr>
            <w:rStyle w:val="Hyperlink"/>
          </w:rPr>
          <w:t xml:space="preserve">https://github.com/wmo-im/wis2box</w:t>
        </w:r>
      </w:hyperlink>
    </w:p>
    <w:p>
      <w:pPr>
        <w:pStyle w:val="Heading1"/>
      </w:pPr>
      <w:bookmarkStart w:id="88" w:name="X9e72a2ecfcdde13f98188c11fb151050efd6b8e"/>
      <w:r>
        <w:t xml:space="preserve">Implementation and operation of a Global Service</w:t>
      </w:r>
      <w:bookmarkEnd w:id="88"/>
    </w:p>
    <w:p>
      <w:pPr>
        <w:pStyle w:val="Heading2"/>
      </w:pPr>
      <w:bookmarkStart w:id="89" w:name="X2413b2167533c41decb1d7ad264ee77ac10f5b8"/>
      <w:r>
        <w:t xml:space="preserve">Procedure for registration of a new Global Service</w:t>
      </w:r>
      <w:bookmarkEnd w:id="8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0" w:name="X92a574e92bd468929fa857fcf361addb0e19130"/>
      <w:r>
        <w:t xml:space="preserve">Performance management and monitoring of a Global Service</w:t>
      </w:r>
      <w:bookmarkEnd w:id="90"/>
    </w:p>
    <w:p>
      <w:pPr>
        <w:pStyle w:val="Heading3"/>
      </w:pPr>
      <w:bookmarkStart w:id="91" w:name="X61b468b8bf7d4308bcaac71a7f66d738b5d312d"/>
      <w:r>
        <w:t xml:space="preserve">Service levels, performance indicators, and fair-usage policies</w:t>
      </w:r>
      <w:bookmarkEnd w:id="91"/>
    </w:p>
    <w:p>
      <w:pPr>
        <w:pStyle w:val="FirstParagraph"/>
      </w:pPr>
      <w:r>
        <w:t xml:space="preserve">TODO: to be completed</w:t>
      </w:r>
    </w:p>
    <w:p>
      <w:pPr>
        <w:pStyle w:val="Heading3"/>
      </w:pPr>
      <w:bookmarkStart w:id="92" w:name="Xa72ae8cff5a9c823711277b9353d6156c00ce2c"/>
      <w:r>
        <w:t xml:space="preserve">Provision of metrics</w:t>
      </w:r>
      <w:bookmarkEnd w:id="92"/>
    </w:p>
    <w:p>
      <w:pPr>
        <w:pStyle w:val="FirstParagraph"/>
      </w:pPr>
      <w:r>
        <w:t xml:space="preserve">TODO: to be completed</w:t>
      </w:r>
    </w:p>
    <w:p>
      <w:pPr>
        <w:pStyle w:val="Heading2"/>
      </w:pPr>
      <w:bookmarkStart w:id="93" w:name="X457e87df81e20dd60341813f33917c04b732591"/>
      <w:r>
        <w:t xml:space="preserve">Global Broker</w:t>
      </w:r>
      <w:bookmarkEnd w:id="93"/>
    </w:p>
    <w:p>
      <w:pPr>
        <w:pStyle w:val="Heading3"/>
      </w:pPr>
      <w:bookmarkStart w:id="94" w:name="Xffd6385210ddd18d3a42c4b75583b265bf38983"/>
      <w:r>
        <w:t xml:space="preserve">Technical considerations</w:t>
      </w:r>
      <w:bookmarkEnd w:id="9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5" w:name="Xc6a761dae7c2ab8ca53d55e2bb6a1eee7d9f700"/>
      <w:r>
        <w:t xml:space="preserve">Practices and procedures</w:t>
      </w:r>
      <w:bookmarkEnd w:id="95"/>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6" w:name="X3757fd838d3368c80e2243a833cf028c5b7f1b3"/>
      <w:r>
        <w:t xml:space="preserve">Global Cache</w:t>
      </w:r>
      <w:bookmarkEnd w:id="96"/>
    </w:p>
    <w:p>
      <w:pPr>
        <w:pStyle w:val="Heading3"/>
      </w:pPr>
      <w:bookmarkStart w:id="97" w:name="X786d3f3a1e3b20eb2f4f60f868fc4d4fcbe1071"/>
      <w:r>
        <w:t xml:space="preserve">Technical considerations</w:t>
      </w:r>
      <w:bookmarkEnd w:id="97"/>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8" w:name="X9b96528b68355c2d8f1e08d2aface04eb4f4da9"/>
      <w:r>
        <w:t xml:space="preserve">Practices and procedures</w:t>
      </w:r>
      <w:bookmarkEnd w:id="9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99" w:name="X7afed62fce9c77dc9763966ede44c55358b9618"/>
      <w:r>
        <w:t xml:space="preserve">Global Discovery Catalogue</w:t>
      </w:r>
      <w:bookmarkEnd w:id="99"/>
    </w:p>
    <w:p>
      <w:pPr>
        <w:pStyle w:val="Heading3"/>
      </w:pPr>
      <w:bookmarkStart w:id="100" w:name="Xfb2e666548741befe53fbe311ab83706f224432"/>
      <w:r>
        <w:t xml:space="preserve">Technical considerations</w:t>
      </w:r>
      <w:bookmarkEnd w:id="100"/>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1" w:name="X4cbbd7919f310ffd0c7fa24b9e626d418975302"/>
      <w:r>
        <w:t xml:space="preserve">Practices and procedures</w:t>
      </w:r>
      <w:bookmarkEnd w:id="101"/>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2" w:name="X4e88c05a27e698b3d133af3a43b16886494a2e2"/>
      <w:r>
        <w:t xml:space="preserve">Global Monitor</w:t>
      </w:r>
      <w:bookmarkEnd w:id="102"/>
    </w:p>
    <w:p>
      <w:pPr>
        <w:pStyle w:val="Heading3"/>
      </w:pPr>
      <w:bookmarkStart w:id="103" w:name="Xd139f35e1c8e20bb300c6e70a06e779eeaccbe8"/>
      <w:r>
        <w:t xml:space="preserve">Technical Considerations</w:t>
      </w:r>
      <w:bookmarkEnd w:id="103"/>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4" w:name="X65596701c5807e744b049093822fd643b9d3aca"/>
      <w:r>
        <w:t xml:space="preserve">Practices and procedures</w:t>
      </w:r>
      <w:bookmarkEnd w:id="10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5" w:name="X2dea23bb21c2c82d8d197559cf4138e03ba1ed8"/>
      <w:r>
        <w:t xml:space="preserve">Coordinating WIS</w:t>
      </w:r>
      <w:bookmarkEnd w:id="105"/>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06" w:name="X71300e622d2911e4530cc19ee89fc86e10f77f3"/>
      <w:r>
        <w:t xml:space="preserve">Supporting WIS centres in their area of responsibility</w:t>
      </w:r>
      <w:bookmarkEnd w:id="10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7" w:name="X5960eeb7b3d381c9d6610f856816ab899959bcc"/>
      <w:r>
        <w:t xml:space="preserve">Performance management</w:t>
      </w:r>
      <w:bookmarkEnd w:id="10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8" w:name="Xb490ca6719810cc7eed87d485417c8bd2dcd0d8"/>
      <w:r>
        <w:t xml:space="preserve">Incident management</w:t>
      </w:r>
      <w:bookmarkEnd w:id="10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09" w:name="Xf663b84f8b08bef805756b15e1319003d76fa52"/>
      <w:r>
        <w:t xml:space="preserve">Information management</w:t>
      </w:r>
      <w:bookmarkEnd w:id="109"/>
    </w:p>
    <w:p>
      <w:pPr>
        <w:pStyle w:val="Heading2"/>
      </w:pPr>
      <w:bookmarkStart w:id="110" w:name="X1ea7cbd003469405f98a7976943980a7b23bcee"/>
      <w:r>
        <w:t xml:space="preserve">Introduction</w:t>
      </w:r>
      <w:bookmarkEnd w:id="110"/>
    </w:p>
    <w:p>
      <w:pPr>
        <w:pStyle w:val="Heading3"/>
      </w:pPr>
      <w:bookmarkStart w:id="111" w:name="Xca774f64942a7f7563fb94bb05ba7dab3a26d69"/>
      <w:r>
        <w:t xml:space="preserve">Background</w:t>
      </w:r>
      <w:bookmarkEnd w:id="11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2" w:name="Xc8210088bf4711be4456d26326179eb58b8f5b4"/>
      <w:r>
        <w:t xml:space="preserve">Scope</w:t>
      </w:r>
      <w:bookmarkEnd w:id="11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3" w:name="Xc4a1ede03be40f12a45db53a22503ecdd576f28"/>
      <w:r>
        <w:t xml:space="preserve">Intended audience</w:t>
      </w:r>
      <w:bookmarkEnd w:id="11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4" w:name="Xc94de5166ce838056d764e2813060631f45545e"/>
      <w:r>
        <w:t xml:space="preserve">Principles of information management</w:t>
      </w:r>
      <w:bookmarkEnd w:id="11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5" w:name="Xced3bf5985e11d5bf9ea318c067f81c51dd90bb"/>
      <w:r>
        <w:t xml:space="preserve">Principle 1: Information is a valued asset</w:t>
      </w:r>
      <w:bookmarkEnd w:id="115"/>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6" w:name="X2b4305e580dff0ab586fbedd336c10ae1a05bc9"/>
      <w:r>
        <w:t xml:space="preserve">Principle 2: Information must be managed</w:t>
      </w:r>
      <w:bookmarkEnd w:id="116"/>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7" w:name="X24cab0a09ccdca3e752f0ecd6d0ff5456c284f3"/>
      <w:r>
        <w:t xml:space="preserve">Principle 3: Information must be fit for purpose</w:t>
      </w:r>
      <w:bookmarkEnd w:id="117"/>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8" w:name="X6a00b6457f0c1f3361b337f694a28b174d7bdda"/>
      <w:r>
        <w:t xml:space="preserve">Principle 4: Information must be standardized and interoperable</w:t>
      </w:r>
      <w:bookmarkEnd w:id="118"/>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19" w:name="X7a72b7a348aceb0a6c3eeef09fd9dc18fc224a0"/>
      <w:r>
        <w:t xml:space="preserve">Principle 5: Information must be well documented</w:t>
      </w:r>
      <w:bookmarkEnd w:id="119"/>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0" w:name="Xf201bbec5eea25bb7367115a98b8129aa22d6b9"/>
      <w:r>
        <w:t xml:space="preserve">Principle 6: Information must be discoverable, accessible and retrievable</w:t>
      </w:r>
      <w:bookmarkEnd w:id="120"/>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1" w:name="Xad9a69e02a46804a1cafca89aee5aabe4560385"/>
      <w:r>
        <w:t xml:space="preserve">Principle 7: Information should be reusable</w:t>
      </w:r>
      <w:bookmarkEnd w:id="121"/>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2"/>
      </w:r>
    </w:p>
    <w:p>
      <w:pPr>
        <w:pStyle w:val="Heading3"/>
      </w:pPr>
      <w:bookmarkStart w:id="124" w:name="X985b53b52432ebd6bb65899337d26b4ccfeefb9"/>
      <w:r>
        <w:t xml:space="preserve">Principle 8: Information management is subject to accountability and governance.</w:t>
      </w:r>
      <w:bookmarkEnd w:id="124"/>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5" w:name="X78a249a2cf11ac86cd7d6d498271963ba9dd080"/>
      <w:r>
        <w:t xml:space="preserve">The information management lifecycle</w:t>
      </w:r>
      <w:bookmarkEnd w:id="125"/>
    </w:p>
    <w:p>
      <w:pPr>
        <w:pStyle w:val="Heading3"/>
      </w:pPr>
      <w:bookmarkStart w:id="126" w:name="X43f9398da9c2eb974194c1e60a2fdc80e1bfc87"/>
      <w:r>
        <w:t xml:space="preserve">Overview</w:t>
      </w:r>
      <w:bookmarkEnd w:id="12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7" w:name="Xb3f0671d8925fa193cc843a6c5ac3eb64409810"/>
      <w:r>
        <w:t xml:space="preserve">Overarching requirements</w:t>
      </w:r>
      <w:bookmarkEnd w:id="127"/>
    </w:p>
    <w:p>
      <w:pPr>
        <w:pStyle w:val="Heading4"/>
      </w:pPr>
      <w:bookmarkStart w:id="128" w:name="X46bef04a53b25a1a07899f714aadd7ab888e2c5"/>
      <w:r>
        <w:t xml:space="preserve">Governance</w:t>
      </w:r>
      <w:bookmarkEnd w:id="128"/>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29" w:name="X983d5959bc8486b1ce731c329c055fcbbc55a03"/>
      <w:r>
        <w:t xml:space="preserve">Documentation</w:t>
      </w:r>
      <w:bookmarkEnd w:id="129"/>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0" w:name="Xc1748e8f7038b0e2d79f80c2501fb09e121bdc5"/>
      <w:r>
        <w:t xml:space="preserve">Aspects of the information management lifecycle</w:t>
      </w:r>
      <w:bookmarkEnd w:id="130"/>
    </w:p>
    <w:p>
      <w:pPr>
        <w:pStyle w:val="Heading4"/>
      </w:pPr>
      <w:bookmarkStart w:id="131" w:name="Xb3fb7be77fcbfe5935f83c52aa59c7c4f68f9ed"/>
      <w:r>
        <w:t xml:space="preserve">Planning, information creation and acquisition</w:t>
      </w:r>
      <w:bookmarkEnd w:id="13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2" w:name="X0fb41f5d69e3c0e08742406b46184bce7272db1"/>
      <w:r>
        <w:t xml:space="preserve">Representation and metadata</w:t>
      </w:r>
      <w:bookmarkEnd w:id="13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3" w:name="X9141f665603210a069fd950d3a70a10fce81a4b"/>
      <w:r>
        <w:t xml:space="preserve">Publication and exchange of information</w:t>
      </w:r>
      <w:bookmarkEnd w:id="13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5">
        <w:r>
          <w:rPr>
            <w:rStyle w:val="Hyperlink"/>
          </w:rPr>
          <w:t xml:space="preserve">https://community.wmo.int/news/operational-newsletter</w:t>
        </w:r>
      </w:hyperlink>
    </w:p>
    <w:p>
      <w:pPr>
        <w:pStyle w:val="Heading4"/>
      </w:pPr>
      <w:bookmarkStart w:id="136" w:name="X3943a915dab0acd14a551cc23fe1ab4fc5b6d08"/>
      <w:r>
        <w:t xml:space="preserve">Usage and communication</w:t>
      </w:r>
      <w:bookmarkEnd w:id="13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7" w:name="Xc49f3d2ac2c1a4985f413e4e33375d67ca4edae"/>
      <w:r>
        <w:t xml:space="preserve">Storage, archival and disposal</w:t>
      </w:r>
      <w:bookmarkEnd w:id="13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8" w:name="Xcde52b855ebe88b41febf339572171c6eff9f00"/>
      <w:r>
        <w:t xml:space="preserve">Other considerations</w:t>
      </w:r>
      <w:bookmarkEnd w:id="138"/>
    </w:p>
    <w:p>
      <w:pPr>
        <w:pStyle w:val="Heading3"/>
      </w:pPr>
      <w:bookmarkStart w:id="139" w:name="Xaaae0965b9c1bfef7ff2e90d054b0b5d3ba2f74"/>
      <w:r>
        <w:t xml:space="preserve">Technology and technology migration</w:t>
      </w:r>
      <w:bookmarkEnd w:id="13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0" w:name="X4be09f68f287a055be5a28deacf8bb1b4bf1904"/>
      <w:r>
        <w:t xml:space="preserve">Information security</w:t>
      </w:r>
      <w:bookmarkEnd w:id="140"/>
    </w:p>
    <w:p>
      <w:pPr>
        <w:pStyle w:val="FirstParagraph"/>
      </w:pPr>
      <w:r>
        <w:t xml:space="preserve">Further information on information security and best practices can be found in the WMO Guide to Information Technology Security (WMO-No. 1115).</w:t>
      </w:r>
    </w:p>
    <w:p>
      <w:pPr>
        <w:pStyle w:val="Heading1"/>
      </w:pPr>
      <w:bookmarkStart w:id="141" w:name="Xb7d2bc154bedbbc0d30f18e7cbf70b2c3be4eb8"/>
      <w:r>
        <w:t xml:space="preserve">Other considerations</w:t>
      </w:r>
      <w:bookmarkEnd w:id="141"/>
    </w:p>
    <w:p>
      <w:pPr>
        <w:pStyle w:val="Heading2"/>
      </w:pPr>
      <w:bookmarkStart w:id="142" w:name="X029cf9da2f3407ef2e101534a8248f7d0992072"/>
      <w:r>
        <w:t xml:space="preserve">Competencies of personnel</w:t>
      </w:r>
      <w:bookmarkEnd w:id="14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3" w:name="X77edce85acc08af2639259fb992184fd872e5f0"/>
      <w:r>
        <w:t xml:space="preserve">Audit and certification of WIS Centres</w:t>
      </w:r>
      <w:bookmarkEnd w:id="14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4" w:name="Xf247e08dba19c84442d408b46528548a4d54b85"/>
      <w:r>
        <w:t xml:space="preserve">Pilot phase deployment configuration</w:t>
      </w:r>
      <w:bookmarkEnd w:id="14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5" w:name="X7dc5ec89ace04afa0dfcc5c2c63a457bc733b57"/>
      <w:r>
        <w:t xml:space="preserve">References</w:t>
      </w:r>
      <w:bookmarkEnd w:id="145"/>
    </w:p>
    <w:p>
      <w:pPr>
        <w:pStyle w:val="Heading2"/>
      </w:pPr>
      <w:bookmarkStart w:id="146" w:name="X5d2487a7c2687258a30f8e4b616762c7c2364cb"/>
      <w:r>
        <w:t xml:space="preserve">Normative</w:t>
      </w:r>
      <w:bookmarkEnd w:id="146"/>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7"/>
      </w:r>
    </w:p>
    <w:p>
      <w:pPr>
        <w:numPr>
          <w:ilvl w:val="0"/>
          <w:numId w:val="1051"/>
        </w:numPr>
      </w:pPr>
      <w:r>
        <w:t xml:space="preserve">WMO: WIS2 Topic Hierarchy</w:t>
      </w:r>
      <w:r>
        <w:t xml:space="preserve"> </w:t>
      </w:r>
      <w:r>
        <w:rPr>
          <w:rStyle w:val="FootnoteReference"/>
        </w:rPr>
        <w:footnoteReference w:id="149"/>
      </w:r>
    </w:p>
    <w:p>
      <w:pPr>
        <w:numPr>
          <w:ilvl w:val="0"/>
          <w:numId w:val="1051"/>
        </w:numPr>
      </w:pPr>
      <w:r>
        <w:t xml:space="preserve">WMO: WIS2 Notification Message format</w:t>
      </w:r>
      <w:r>
        <w:t xml:space="preserve"> </w:t>
      </w:r>
      <w:r>
        <w:rPr>
          <w:rStyle w:val="FootnoteReference"/>
        </w:rPr>
        <w:footnoteReference w:id="151"/>
      </w:r>
    </w:p>
    <w:p>
      <w:pPr>
        <w:numPr>
          <w:ilvl w:val="0"/>
          <w:numId w:val="1051"/>
        </w:numPr>
      </w:pPr>
      <w:r>
        <w:t xml:space="preserve">WMO: WIS2 Metric Hierarchy</w:t>
      </w:r>
      <w:r>
        <w:t xml:space="preserve"> </w:t>
      </w:r>
      <w:r>
        <w:rPr>
          <w:rStyle w:val="FootnoteReference"/>
        </w:rPr>
        <w:footnoteReference w:id="153"/>
      </w:r>
    </w:p>
    <w:p>
      <w:pPr>
        <w:numPr>
          <w:ilvl w:val="0"/>
          <w:numId w:val="1051"/>
        </w:numPr>
      </w:pPr>
      <w:r>
        <w:t xml:space="preserve">W3C: Architecture of the World Wide Web, Volume One</w:t>
      </w:r>
      <w:r>
        <w:t xml:space="preserve"> </w:t>
      </w:r>
      <w:r>
        <w:rPr>
          <w:rStyle w:val="FootnoteReference"/>
        </w:rPr>
        <w:footnoteReference w:id="155"/>
      </w:r>
    </w:p>
    <w:p>
      <w:pPr>
        <w:numPr>
          <w:ilvl w:val="0"/>
          <w:numId w:val="1051"/>
        </w:numPr>
      </w:pPr>
      <w:r>
        <w:t xml:space="preserve">IETF: RFC 3339 Date and Time on the Internet: Timestamps</w:t>
      </w:r>
      <w:r>
        <w:t xml:space="preserve"> </w:t>
      </w:r>
      <w:r>
        <w:rPr>
          <w:rStyle w:val="FootnoteReference"/>
        </w:rPr>
        <w:footnoteReference w:id="157"/>
      </w:r>
    </w:p>
    <w:p>
      <w:pPr>
        <w:numPr>
          <w:ilvl w:val="0"/>
          <w:numId w:val="1051"/>
        </w:numPr>
      </w:pPr>
      <w:r>
        <w:t xml:space="preserve">IETF: RFC 3986 Uniform Resource Identifier: Generic Syntax</w:t>
      </w:r>
      <w:r>
        <w:t xml:space="preserve"> </w:t>
      </w:r>
      <w:r>
        <w:rPr>
          <w:rStyle w:val="FootnoteReference"/>
        </w:rPr>
        <w:footnoteReference w:id="159"/>
      </w:r>
    </w:p>
    <w:p>
      <w:pPr>
        <w:numPr>
          <w:ilvl w:val="0"/>
          <w:numId w:val="1051"/>
        </w:numPr>
      </w:pPr>
      <w:r>
        <w:t xml:space="preserve">IETF: RFC 7946 GeoJSON format</w:t>
      </w:r>
      <w:r>
        <w:t xml:space="preserve"> </w:t>
      </w:r>
      <w:r>
        <w:rPr>
          <w:rStyle w:val="FootnoteReference"/>
        </w:rPr>
        <w:footnoteReference w:id="161"/>
      </w:r>
    </w:p>
    <w:p>
      <w:pPr>
        <w:numPr>
          <w:ilvl w:val="0"/>
          <w:numId w:val="1051"/>
        </w:numPr>
      </w:pPr>
      <w:r>
        <w:t xml:space="preserve">OGC: OGC API-Records - Part 1: Core</w:t>
      </w:r>
      <w:r>
        <w:t xml:space="preserve"> </w:t>
      </w:r>
      <w:r>
        <w:rPr>
          <w:rStyle w:val="FootnoteReference"/>
        </w:rPr>
        <w:footnoteReference w:id="163"/>
      </w:r>
    </w:p>
    <w:p>
      <w:pPr>
        <w:numPr>
          <w:ilvl w:val="0"/>
          <w:numId w:val="1051"/>
        </w:numPr>
      </w:pPr>
      <w:r>
        <w:t xml:space="preserve">OASIS: MQTT 3.1.1 specification</w:t>
      </w:r>
      <w:r>
        <w:t xml:space="preserve"> </w:t>
      </w:r>
      <w:r>
        <w:rPr>
          <w:rStyle w:val="FootnoteReference"/>
        </w:rPr>
        <w:footnoteReference w:id="165"/>
      </w:r>
    </w:p>
    <w:p>
      <w:pPr>
        <w:numPr>
          <w:ilvl w:val="0"/>
          <w:numId w:val="1051"/>
        </w:numPr>
      </w:pPr>
      <w:r>
        <w:t xml:space="preserve">OASIS: MQTT 5.0 specification</w:t>
      </w:r>
      <w:r>
        <w:t xml:space="preserve"> </w:t>
      </w:r>
      <w:r>
        <w:rPr>
          <w:rStyle w:val="FootnoteReference"/>
        </w:rPr>
        <w:footnoteReference w:id="167"/>
      </w:r>
    </w:p>
    <w:p>
      <w:pPr>
        <w:numPr>
          <w:ilvl w:val="0"/>
          <w:numId w:val="1051"/>
        </w:numPr>
      </w:pPr>
      <w:r>
        <w:t xml:space="preserve">: Cloud Native Computing Foundation: OpenMetrics</w:t>
      </w:r>
      <w:r>
        <w:t xml:space="preserve"> </w:t>
      </w:r>
      <w:r>
        <w:rPr>
          <w:rStyle w:val="FootnoteReference"/>
        </w:rPr>
        <w:footnoteReference w:id="169"/>
      </w:r>
    </w:p>
    <w:p>
      <w:pPr>
        <w:pStyle w:val="Heading2"/>
      </w:pPr>
      <w:bookmarkStart w:id="171" w:name="Xc2d5afcdca2b14ba1a2b7f30b0265ea3f726515"/>
      <w:r>
        <w:t xml:space="preserve">Informative</w:t>
      </w:r>
      <w:bookmarkEnd w:id="171"/>
    </w:p>
    <w:p>
      <w:pPr>
        <w:numPr>
          <w:ilvl w:val="0"/>
          <w:numId w:val="1052"/>
        </w:numPr>
      </w:pPr>
      <w:r>
        <w:t xml:space="preserve">WMO: WMO Information System 2.0 Strategy (WMO No. 1213)</w:t>
      </w:r>
      <w:r>
        <w:t xml:space="preserve"> </w:t>
      </w:r>
      <w:r>
        <w:rPr>
          <w:rStyle w:val="FootnoteReference"/>
        </w:rPr>
        <w:footnoteReference w:id="172"/>
      </w:r>
    </w:p>
    <w:p>
      <w:pPr>
        <w:numPr>
          <w:ilvl w:val="0"/>
          <w:numId w:val="1052"/>
        </w:numPr>
      </w:pPr>
      <w:r>
        <w:t xml:space="preserve">WMO: WMO Guidelines on Emerging Data Issues (WMO No. 1239)</w:t>
      </w:r>
      <w:r>
        <w:t xml:space="preserve"> </w:t>
      </w:r>
      <w:r>
        <w:rPr>
          <w:rStyle w:val="FootnoteReference"/>
        </w:rPr>
        <w:footnoteReference w:id="174"/>
      </w:r>
    </w:p>
    <w:p>
      <w:pPr>
        <w:numPr>
          <w:ilvl w:val="0"/>
          <w:numId w:val="1052"/>
        </w:numPr>
      </w:pPr>
      <w:r>
        <w:t xml:space="preserve">W3C: Data on the Web Best Practices</w:t>
      </w:r>
      <w:r>
        <w:t xml:space="preserve"> </w:t>
      </w:r>
      <w:r>
        <w:rPr>
          <w:rStyle w:val="FootnoteReference"/>
        </w:rPr>
        <w:footnoteReference w:id="176"/>
      </w:r>
    </w:p>
    <w:p>
      <w:pPr>
        <w:numPr>
          <w:ilvl w:val="0"/>
          <w:numId w:val="1052"/>
        </w:numPr>
      </w:pPr>
      <w:r>
        <w:t xml:space="preserve">[[w3c-sdw-bp] [W3C/OGC Spatial Data on the Web Best Practices</w:t>
      </w:r>
      <w:r>
        <w:t xml:space="preserve"> </w:t>
      </w:r>
      <w:r>
        <w:rPr>
          <w:rStyle w:val="FootnoteReference"/>
        </w:rPr>
        <w:footnoteReference w:id="178"/>
      </w:r>
    </w:p>
    <w:p>
      <w:pPr>
        <w:numPr>
          <w:ilvl w:val="0"/>
          <w:numId w:val="1052"/>
        </w:numPr>
      </w:pPr>
      <w:r>
        <w:t xml:space="preserve">OGC: Towards a Cloud-Native OGC. Part 1: The Vision:</w:t>
      </w:r>
      <w:r>
        <w:t xml:space="preserve"> </w:t>
      </w:r>
      <w:r>
        <w:rPr>
          <w:rStyle w:val="FootnoteReference"/>
        </w:rPr>
        <w:footnoteReference w:id="180"/>
      </w:r>
    </w:p>
    <w:p>
      <w:pPr>
        <w:numPr>
          <w:ilvl w:val="0"/>
          <w:numId w:val="1052"/>
        </w:numPr>
      </w:pPr>
      <w:r>
        <w:t xml:space="preserve">OGC: Towards a Cloud-Native OGC. Part 2: The Standards:</w:t>
      </w:r>
      <w:r>
        <w:t xml:space="preserve"> </w:t>
      </w:r>
      <w:r>
        <w:rPr>
          <w:rStyle w:val="FootnoteReference"/>
        </w:rPr>
        <w:footnoteReference w:id="182"/>
      </w:r>
    </w:p>
    <w:p>
      <w:pPr>
        <w:numPr>
          <w:ilvl w:val="0"/>
          <w:numId w:val="1052"/>
        </w:numPr>
      </w:pPr>
      <w:r>
        <w:t xml:space="preserve">OpenAPI Initiative: OpenAPI Specification v3.1.0</w:t>
      </w:r>
      <w:r>
        <w:t xml:space="preserve"> </w:t>
      </w:r>
      <w:r>
        <w:rPr>
          <w:rStyle w:val="FootnoteReference"/>
        </w:rPr>
        <w:footnoteReference w:id="184"/>
      </w:r>
    </w:p>
    <w:p>
      <w:pPr>
        <w:numPr>
          <w:ilvl w:val="0"/>
          <w:numId w:val="1052"/>
        </w:numPr>
      </w:pPr>
      <w:r>
        <w:t xml:space="preserve">OGC: OGC API standards</w:t>
      </w:r>
      <w:r>
        <w:t xml:space="preserve"> </w:t>
      </w:r>
      <w:r>
        <w:rPr>
          <w:rStyle w:val="FootnoteReference"/>
        </w:rPr>
        <w:footnoteReference w:id="186"/>
      </w:r>
    </w:p>
    <w:p>
      <w:pPr>
        <w:numPr>
          <w:ilvl w:val="0"/>
          <w:numId w:val="1052"/>
        </w:numPr>
      </w:pPr>
      <w:r>
        <w:t xml:space="preserve">OGC: OGC API – Features – Part 1: Core</w:t>
      </w:r>
      <w:r>
        <w:t xml:space="preserve"> </w:t>
      </w:r>
      <w:r>
        <w:rPr>
          <w:rStyle w:val="FootnoteReference"/>
        </w:rPr>
        <w:footnoteReference w:id="188"/>
      </w:r>
    </w:p>
    <w:p>
      <w:pPr>
        <w:numPr>
          <w:ilvl w:val="0"/>
          <w:numId w:val="1052"/>
        </w:numPr>
      </w:pPr>
      <w:r>
        <w:t xml:space="preserve">OGC: OGC API – Coverages – Part 1: Core draft</w:t>
      </w:r>
      <w:r>
        <w:t xml:space="preserve"> </w:t>
      </w:r>
      <w:r>
        <w:rPr>
          <w:rStyle w:val="FootnoteReference"/>
        </w:rPr>
        <w:footnoteReference w:id="190"/>
      </w:r>
    </w:p>
    <w:p>
      <w:pPr>
        <w:numPr>
          <w:ilvl w:val="0"/>
          <w:numId w:val="1052"/>
        </w:numPr>
      </w:pPr>
      <w:r>
        <w:t xml:space="preserve">OGC: OGC API – Environmental Data Retrieval Standard</w:t>
      </w:r>
      <w:r>
        <w:t xml:space="preserve"> </w:t>
      </w:r>
      <w:r>
        <w:rPr>
          <w:rStyle w:val="FootnoteReference"/>
        </w:rPr>
        <w:footnoteReference w:id="192"/>
      </w:r>
    </w:p>
    <w:p>
      <w:pPr>
        <w:numPr>
          <w:ilvl w:val="0"/>
          <w:numId w:val="1052"/>
        </w:numPr>
      </w:pPr>
      <w:r>
        <w:t xml:space="preserve">schema.org: Schema.org</w:t>
      </w:r>
      <w:r>
        <w:t xml:space="preserve"> </w:t>
      </w:r>
      <w:r>
        <w:rPr>
          <w:rStyle w:val="FootnoteReference"/>
        </w:rPr>
        <w:footnoteReference w:id="194"/>
      </w:r>
    </w:p>
    <w:p>
      <w:pPr>
        <w:numPr>
          <w:ilvl w:val="0"/>
          <w:numId w:val="1052"/>
        </w:numPr>
      </w:pPr>
      <w:r>
        <w:t xml:space="preserve">Spatio Temporal Asset Catalogue: Spatio Temporal Asset Catalogue specification</w:t>
      </w:r>
      <w:r>
        <w:t xml:space="preserve"> </w:t>
      </w:r>
      <w:r>
        <w:rPr>
          <w:rStyle w:val="FootnoteReference"/>
        </w:rPr>
        <w:footnoteReference w:id="196"/>
      </w:r>
    </w:p>
    <w:p>
      <w:pPr>
        <w:numPr>
          <w:ilvl w:val="0"/>
          <w:numId w:val="1052"/>
        </w:numPr>
      </w:pPr>
      <w:r>
        <w:t xml:space="preserve">wis2box: WIS2 in a box</w:t>
      </w:r>
      <w:r>
        <w:t xml:space="preserve"> </w:t>
      </w:r>
      <w:r>
        <w:rPr>
          <w:rStyle w:val="FootnoteReference"/>
        </w:rPr>
        <w:footnoteReference w:id="198"/>
      </w:r>
    </w:p>
    <w:p>
      <w:pPr>
        <w:numPr>
          <w:ilvl w:val="0"/>
          <w:numId w:val="1052"/>
        </w:numPr>
      </w:pPr>
      <w:r>
        <w:t xml:space="preserve">Eclipse Foundation: Eclipse Mosquitto</w:t>
      </w:r>
      <w:r>
        <w:t xml:space="preserve"> </w:t>
      </w:r>
      <w:r>
        <w:rPr>
          <w:rStyle w:val="FootnoteReference"/>
        </w:rPr>
        <w:footnoteReference w:id="200"/>
      </w:r>
    </w:p>
    <w:p>
      <w:pPr>
        <w:numPr>
          <w:ilvl w:val="0"/>
          <w:numId w:val="1052"/>
        </w:numPr>
      </w:pPr>
      <w:r>
        <w:t xml:space="preserve">RabbitMQ: RabbitMQ MQTT plugin</w:t>
      </w:r>
      <w:r>
        <w:t xml:space="preserve"> </w:t>
      </w:r>
      <w:r>
        <w:rPr>
          <w:rStyle w:val="FootnoteReference"/>
        </w:rPr>
        <w:footnoteReference w:id="202"/>
      </w:r>
    </w:p>
    <w:p>
      <w:pPr>
        <w:numPr>
          <w:ilvl w:val="0"/>
          <w:numId w:val="1052"/>
        </w:numPr>
      </w:pPr>
      <w:r>
        <w:t xml:space="preserve">Prometheus: Prometheus</w:t>
      </w:r>
      <w:r>
        <w:t xml:space="preserve"> </w:t>
      </w:r>
      <w:r>
        <w:rPr>
          <w:rStyle w:val="FootnoteReference"/>
        </w:rPr>
        <w:footnoteReference w:id="204"/>
      </w:r>
    </w:p>
    <w:p>
      <w:pPr>
        <w:numPr>
          <w:ilvl w:val="0"/>
          <w:numId w:val="1052"/>
        </w:numPr>
      </w:pPr>
      <w:r>
        <w:t xml:space="preserve">Grafana: Grafana</w:t>
      </w:r>
      <w:r>
        <w:t xml:space="preserve"> </w:t>
      </w:r>
      <w:r>
        <w:rPr>
          <w:rStyle w:val="FootnoteReference"/>
        </w:rPr>
        <w:footnoteReference w:id="206"/>
      </w:r>
    </w:p>
    <w:p>
      <w:pPr>
        <w:pStyle w:val="Heading1"/>
      </w:pPr>
      <w:bookmarkStart w:id="208" w:name="Xb01b72941e106f40026e8313cebe8325cd24f8c"/>
      <w:r>
        <w:t xml:space="preserve">Competencies</w:t>
      </w:r>
      <w:bookmarkEnd w:id="208"/>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09" w:name="X7480a3d18c8145a2ffa48eadb6ea3b928cf864f"/>
      <w:r>
        <w:t xml:space="preserve">Competency 1: manage the physical infrastructure</w:t>
      </w:r>
      <w:bookmarkEnd w:id="209"/>
    </w:p>
    <w:p>
      <w:pPr>
        <w:pStyle w:val="Heading3"/>
      </w:pPr>
      <w:bookmarkStart w:id="210" w:name="Xcd44527bd88e5fbaa6407561877a221682914dd"/>
      <w:r>
        <w:t xml:space="preserve">Competency description</w:t>
      </w:r>
      <w:bookmarkEnd w:id="210"/>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11" w:name="Xbb411079f7791da1117b01b36a796159e7e412b"/>
      <w:r>
        <w:t xml:space="preserve">Performance components</w:t>
      </w:r>
      <w:bookmarkEnd w:id="211"/>
    </w:p>
    <w:p>
      <w:pPr>
        <w:pStyle w:val="Heading3"/>
      </w:pPr>
      <w:bookmarkStart w:id="212" w:name="X3176c045d420c1ea69bfe2cea96a4ad1c5b591d"/>
      <w:r>
        <w:t xml:space="preserve">Management of information technology operations</w:t>
      </w:r>
      <w:bookmarkEnd w:id="212"/>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3" w:name="Xf09529e9b1c18e49653e27f799f5fa00dfb0c43"/>
      <w:r>
        <w:t xml:space="preserve">Management of facilities</w:t>
      </w:r>
      <w:bookmarkEnd w:id="213"/>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4" w:name="X6d241038fef10d7f98fa34de1d89085da67726a"/>
      <w:r>
        <w:t xml:space="preserve">Knowledge and skill requirements</w:t>
      </w:r>
      <w:bookmarkEnd w:id="214"/>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5" w:name="X8dd564dc20a9d919c9c1e2f4242a8d55143fe37"/>
      <w:r>
        <w:t xml:space="preserve">Learning outcomes</w:t>
      </w:r>
      <w:bookmarkEnd w:id="215"/>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6" w:name="X99cbd42e7fd8b8e4a16caacc9fa8072f19a4330"/>
      <w:r>
        <w:t xml:space="preserve">Learning activities</w:t>
      </w:r>
      <w:bookmarkEnd w:id="216"/>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7" w:name="X4c1f0fd53fa5cba689da65bf110f80d5143cd44"/>
      <w:r>
        <w:t xml:space="preserve">Assessment</w:t>
      </w:r>
      <w:bookmarkEnd w:id="217"/>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8" w:name="Xf76ea7e8acf4b5d1c2f413ea2de0cd1e9e8713a"/>
      <w:r>
        <w:t xml:space="preserve">Key learning resources</w:t>
      </w:r>
      <w:bookmarkEnd w:id="218"/>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19" w:name="X98ad3cf5206d98da5cb1e33df361178f67bf832"/>
      <w:r>
        <w:t xml:space="preserve">Competency 2: manage the operational applications</w:t>
      </w:r>
      <w:bookmarkEnd w:id="219"/>
    </w:p>
    <w:p>
      <w:pPr>
        <w:pStyle w:val="Heading3"/>
      </w:pPr>
      <w:bookmarkStart w:id="220" w:name="X3c989973e176d0f53e2a05bd325fcfd8158337a"/>
      <w:r>
        <w:t xml:space="preserve">Competency description</w:t>
      </w:r>
      <w:bookmarkEnd w:id="220"/>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21" w:name="Xc19584f2b6f578ade8f251671a47a7384463b4c"/>
      <w:r>
        <w:t xml:space="preserve">Performance components</w:t>
      </w:r>
      <w:bookmarkEnd w:id="221"/>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22" w:name="Xa19876db18ca14801b637ec9c13459c3e6a2da2"/>
      <w:r>
        <w:t xml:space="preserve">Knowledge and skill requirements</w:t>
      </w:r>
      <w:bookmarkEnd w:id="222"/>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3" w:name="X46aa4b4412898a0536b3d2fe2cc50dbcd2f1500"/>
      <w:r>
        <w:t xml:space="preserve">Learning outcomes</w:t>
      </w:r>
      <w:bookmarkEnd w:id="223"/>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4" w:name="Xb5442281ad52e5215798691a41bd0e5fca568a7"/>
      <w:r>
        <w:t xml:space="preserve">Learning activities</w:t>
      </w:r>
      <w:bookmarkEnd w:id="224"/>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5" w:name="X6292d9416137167136aeeefe700a7951a09277f"/>
      <w:r>
        <w:t xml:space="preserve">Assessment</w:t>
      </w:r>
      <w:bookmarkEnd w:id="225"/>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6" w:name="X04836d37f6b9c5879988cc5d7de5d5aa444e472"/>
      <w:r>
        <w:t xml:space="preserve">Key learning resources</w:t>
      </w:r>
      <w:bookmarkEnd w:id="226"/>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7" w:name="X947cdaf3ac945306c139bb88b3e8895891cae80"/>
      <w:r>
        <w:t xml:space="preserve">Competency 3: manage the data flow</w:t>
      </w:r>
      <w:bookmarkEnd w:id="227"/>
    </w:p>
    <w:p>
      <w:pPr>
        <w:pStyle w:val="Heading3"/>
      </w:pPr>
      <w:bookmarkStart w:id="228" w:name="X098ecc32d3a52c0364fdc13cd422c450d26362d"/>
      <w:r>
        <w:t xml:space="preserve">Competency description</w:t>
      </w:r>
      <w:bookmarkEnd w:id="228"/>
    </w:p>
    <w:p>
      <w:pPr>
        <w:pStyle w:val="FirstParagraph"/>
      </w:pPr>
      <w:r>
        <w:t xml:space="preserve">Manage the collection, processing and distribution of data and products through scheduled and on demand services.</w:t>
      </w:r>
    </w:p>
    <w:p>
      <w:pPr>
        <w:pStyle w:val="Heading3"/>
      </w:pPr>
      <w:bookmarkStart w:id="229" w:name="Xaae308933f818503a268b9f2c046219e5672021"/>
      <w:r>
        <w:t xml:space="preserve">Performance components</w:t>
      </w:r>
      <w:bookmarkEnd w:id="229"/>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30" w:name="Xdbc436b6acd905c39580c77ad04c5e29746520c"/>
      <w:r>
        <w:t xml:space="preserve">Learning outcomes</w:t>
      </w:r>
      <w:bookmarkEnd w:id="230"/>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31" w:name="Xbc69e774f188b1e5ebfe7fdd73ebaede7ea19d9"/>
      <w:r>
        <w:t xml:space="preserve">Learning activities</w:t>
      </w:r>
      <w:bookmarkEnd w:id="231"/>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32" w:name="Xc9a08aa402cd6cf65eeaadbfcfcb4672cf1c9d1"/>
      <w:r>
        <w:t xml:space="preserve">Assessment</w:t>
      </w:r>
      <w:bookmarkEnd w:id="232"/>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3" w:name="Xeda70ac29a9bdb2a21684327d119b88f2565615"/>
      <w:r>
        <w:t xml:space="preserve">Key learning resources</w:t>
      </w:r>
      <w:bookmarkEnd w:id="233"/>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4">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5" w:name="X3e556a6c6ec34748fb9e54797b2aa10a649540f"/>
      <w:r>
        <w:t xml:space="preserve">Competency 4: manage data discovery</w:t>
      </w:r>
      <w:bookmarkEnd w:id="235"/>
    </w:p>
    <w:p>
      <w:pPr>
        <w:pStyle w:val="Heading3"/>
      </w:pPr>
      <w:bookmarkStart w:id="236" w:name="Xb701571c943536ddc1161c95b38effd3fdc1eb6"/>
      <w:r>
        <w:t xml:space="preserve">Competency description</w:t>
      </w:r>
      <w:bookmarkEnd w:id="236"/>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7" w:name="X7e9d61da6dc61ce5e6c7dbdef4b04c6796d2a62"/>
      <w:r>
        <w:t xml:space="preserve">Performance components</w:t>
      </w:r>
      <w:bookmarkEnd w:id="237"/>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8" w:name="X91ad47c7f3c4a12cd4e78c97c251c3e39fd0067"/>
      <w:r>
        <w:t xml:space="preserve">Knowledge and skill requirements</w:t>
      </w:r>
      <w:bookmarkEnd w:id="238"/>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39" w:name="X98f00a2e40096842f93207053139fc17a2e22e2"/>
      <w:r>
        <w:t xml:space="preserve">Learning outcomes</w:t>
      </w:r>
      <w:bookmarkEnd w:id="239"/>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40" w:name="X9e81eec91189e8b6b4f97ccbf958b3b1d96655a"/>
      <w:r>
        <w:t xml:space="preserve">Learning activities</w:t>
      </w:r>
      <w:bookmarkEnd w:id="240"/>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41" w:name="Xe0c8683c0045576f3a0eb82aaf0636a16f84919"/>
      <w:r>
        <w:t xml:space="preserve">Assessment</w:t>
      </w:r>
      <w:bookmarkEnd w:id="241"/>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42" w:name="X07e2699162c66d8571f4c2d92c9856c310dd34c"/>
      <w:r>
        <w:t xml:space="preserve">Competency 5: manage interaction among WIS Centres</w:t>
      </w:r>
      <w:bookmarkEnd w:id="242"/>
    </w:p>
    <w:p>
      <w:pPr>
        <w:pStyle w:val="Heading3"/>
      </w:pPr>
      <w:bookmarkStart w:id="243" w:name="X0490163a2311fb8ba4d387fa80067d57108dfda"/>
      <w:r>
        <w:t xml:space="preserve">Competency description</w:t>
      </w:r>
      <w:bookmarkEnd w:id="243"/>
    </w:p>
    <w:p>
      <w:pPr>
        <w:pStyle w:val="FirstParagraph"/>
      </w:pPr>
      <w:r>
        <w:t xml:space="preserve">Manage relationships and compliance between the participants’ centre and other WIS centres.</w:t>
      </w:r>
    </w:p>
    <w:p>
      <w:pPr>
        <w:pStyle w:val="Heading3"/>
      </w:pPr>
      <w:bookmarkStart w:id="244" w:name="X7774ac46c6aa1e157fa0fdc2e2714cfed1d7d90"/>
      <w:r>
        <w:t xml:space="preserve">Performance components</w:t>
      </w:r>
      <w:bookmarkEnd w:id="244"/>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5" w:name="X4fb9ef5db3fcb0b93105420e22adc9069610da7"/>
      <w:r>
        <w:t xml:space="preserve">Knowledge and skill requirements</w:t>
      </w:r>
      <w:bookmarkEnd w:id="245"/>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6" w:name="X9c30553d5c8da9a95d132841db131d32e103359"/>
      <w:r>
        <w:t xml:space="preserve">Learning outcomes</w:t>
      </w:r>
      <w:bookmarkEnd w:id="246"/>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7" w:name="X6bc70ede52bd03d97b8d6e814c9905a0bee93b8"/>
      <w:r>
        <w:t xml:space="preserve">Learning activities</w:t>
      </w:r>
      <w:bookmarkEnd w:id="247"/>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8" w:name="X12cf4d73403c44b5d8ad7ed74b8a89ee21c8edb"/>
      <w:r>
        <w:t xml:space="preserve">Assessment</w:t>
      </w:r>
      <w:bookmarkEnd w:id="248"/>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49" w:name="X3bb4346c71f9f09dfb147b15a45f742643b6c30"/>
      <w:r>
        <w:t xml:space="preserve">Key learning resources</w:t>
      </w:r>
      <w:bookmarkEnd w:id="249"/>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50" w:name="X34980f338e3a35d903b4a56f19887058638fc71"/>
      <w:r>
        <w:t xml:space="preserve">Local resources</w:t>
      </w:r>
      <w:bookmarkEnd w:id="250"/>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51" w:name="X6c66f9b2f18a9b1b8a79f88d56445ee8f64723a"/>
      <w:r>
        <w:t xml:space="preserve">Competency 6: manage external user interactions</w:t>
      </w:r>
      <w:bookmarkEnd w:id="251"/>
    </w:p>
    <w:p>
      <w:pPr>
        <w:pStyle w:val="Heading3"/>
      </w:pPr>
      <w:bookmarkStart w:id="252" w:name="X258cb87d778ce068283bde0a807e572cf8fc646"/>
      <w:r>
        <w:t xml:space="preserve">Competency description</w:t>
      </w:r>
      <w:bookmarkEnd w:id="252"/>
    </w:p>
    <w:p>
      <w:pPr>
        <w:pStyle w:val="FirstParagraph"/>
      </w:pPr>
      <w:r>
        <w:t xml:space="preserve">Ensure that users, including other centres, data providers and subscribers, can publish and access data and products through WIS.</w:t>
      </w:r>
    </w:p>
    <w:p>
      <w:pPr>
        <w:pStyle w:val="Heading3"/>
      </w:pPr>
      <w:bookmarkStart w:id="253" w:name="X1f689f7c4fb6a67b8c0d756c6ac360a1d5472dd"/>
      <w:r>
        <w:t xml:space="preserve">Performance components</w:t>
      </w:r>
      <w:bookmarkEnd w:id="253"/>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4" w:name="X6f77aeeba34f1cabbaaa4f6f2ac30f489cca818"/>
      <w:r>
        <w:t xml:space="preserve">Knowledge and skill requirements</w:t>
      </w:r>
      <w:bookmarkEnd w:id="254"/>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5" w:name="X4d37bb952db529bd8bba35accd5008c10ed92d5"/>
      <w:r>
        <w:t xml:space="preserve">Learning outcomes</w:t>
      </w:r>
      <w:bookmarkEnd w:id="255"/>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6" w:name="Xbf59f3457639e2fd0975bf42900614caa99712e"/>
      <w:r>
        <w:t xml:space="preserve">Learning activities</w:t>
      </w:r>
      <w:bookmarkEnd w:id="256"/>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7" w:name="X5b7e120d217f721608fc5e6d2957c3ae2f6df45"/>
      <w:r>
        <w:t xml:space="preserve">Assessment</w:t>
      </w:r>
      <w:bookmarkEnd w:id="257"/>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8" w:name="Xa8e02470dc2cbb1339242c2a21d5e9b0e57df11"/>
      <w:r>
        <w:t xml:space="preserve">Key learning resources</w:t>
      </w:r>
      <w:bookmarkEnd w:id="258"/>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59" w:name="X745ff7b3513c22d1789b9f0461b850f03b9478c"/>
      <w:r>
        <w:t xml:space="preserve">Competency 7: manage the operational service</w:t>
      </w:r>
      <w:bookmarkEnd w:id="259"/>
    </w:p>
    <w:p>
      <w:pPr>
        <w:pStyle w:val="Heading3"/>
      </w:pPr>
      <w:bookmarkStart w:id="260" w:name="Xd86a1fcd2c0253adc3dc918e9189bda06dfe197"/>
      <w:r>
        <w:t xml:space="preserve">Competency description</w:t>
      </w:r>
      <w:bookmarkEnd w:id="260"/>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61" w:name="Xf0ce181467a8208aab1c0a7ce31f4953cee6ecc"/>
      <w:r>
        <w:t xml:space="preserve">Performance components</w:t>
      </w:r>
      <w:bookmarkEnd w:id="261"/>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62" w:name="Xf24d31aecef157a070ba6440ec0c4c652849e0e"/>
      <w:r>
        <w:t xml:space="preserve">Knowledge and skill requirements</w:t>
      </w:r>
      <w:bookmarkEnd w:id="262"/>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3" w:name="X807d899bcfafbae5086b8b6d0f9504586a4bf55"/>
      <w:r>
        <w:t xml:space="preserve">Learning outcomes</w:t>
      </w:r>
      <w:bookmarkEnd w:id="263"/>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4" w:name="Xe90cc66308a0f78148e2ed15de251782739e675"/>
      <w:r>
        <w:t xml:space="preserve">Learning activities</w:t>
      </w:r>
      <w:bookmarkEnd w:id="264"/>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5" w:name="X39a8637bf48f75a91882c8400fad847b4df817d"/>
      <w:r>
        <w:t xml:space="preserve">Assessment</w:t>
      </w:r>
      <w:bookmarkEnd w:id="265"/>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6" w:name="Xbfdb832c39042fcbfb7813a95780540a1c2e4dc"/>
      <w:r>
        <w:t xml:space="preserve">Key learning resources</w:t>
      </w:r>
      <w:bookmarkEnd w:id="266"/>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7" w:name="X946ebe6ed733e2babfcea3fe569ce4cf8b0ccf0"/>
      <w:r>
        <w:t xml:space="preserve">Recommended practices for audit and certification of WIS Centres</w:t>
      </w:r>
      <w:bookmarkEnd w:id="267"/>
    </w:p>
    <w:p>
      <w:pPr>
        <w:pStyle w:val="Heading2"/>
      </w:pPr>
      <w:bookmarkStart w:id="268" w:name="X7189df3a15a6aaa00b722934551031eba484b9f"/>
      <w:r>
        <w:t xml:space="preserve">Background</w:t>
      </w:r>
      <w:bookmarkEnd w:id="268"/>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69" w:name="Xafddb1bd41bbf43690f29cb91a0bf700e1b5925"/>
      <w:r>
        <w:t xml:space="preserve">Auditing and certification</w:t>
      </w:r>
      <w:bookmarkEnd w:id="269"/>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70" w:name="X6ff01feb729316dcb1db880bc39972dbf90e8e3"/>
      <w:r>
        <w:t xml:space="preserve">GISC audits</w:t>
      </w:r>
      <w:bookmarkEnd w:id="270"/>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71" w:name="X04c4fd8c93c76053346221f6b7ddb1fabdd2123"/>
      <w:r>
        <w:t xml:space="preserve">Scope of GISC audits</w:t>
      </w:r>
      <w:bookmarkEnd w:id="271"/>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72" w:name="X31970d9b26eb972e49798f8ced8d53f6784b18d"/>
      <w:r>
        <w:t xml:space="preserve">DCPC certification</w:t>
      </w:r>
      <w:bookmarkEnd w:id="272"/>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3" w:name="Xbec9e7ab93e03ef32856c7d9489b0d043813c59"/>
      <w:r>
        <w:t xml:space="preserve">Verification of compliance of NCs</w:t>
      </w:r>
      <w:bookmarkEnd w:id="273"/>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4" w:name="X3385611eba59cfabe7412774c526738dbd0fa96"/>
      <w:r>
        <w:t xml:space="preserve">The review cycle</w:t>
      </w:r>
      <w:bookmarkEnd w:id="274"/>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5" w:name="Xb100ad31746e4c37a33356bbdf597a59eec1106"/>
      <w:r>
        <w:t xml:space="preserve">Review of DCPCs</w:t>
      </w:r>
      <w:bookmarkEnd w:id="275"/>
    </w:p>
    <w:p>
      <w:pPr>
        <w:pStyle w:val="FirstParagraph"/>
      </w:pPr>
      <w:r>
        <w:t xml:space="preserve">The DCPC review cycle will be eight years. Reviews will cover all aspects of WIS compliance.</w:t>
      </w:r>
    </w:p>
    <w:p>
      <w:pPr>
        <w:pStyle w:val="Heading3"/>
      </w:pPr>
      <w:bookmarkStart w:id="276" w:name="X44ec3ae2cb3a855ee03f7a15b46a6e8559ff6d6"/>
      <w:r>
        <w:t xml:space="preserve">Review of NCs</w:t>
      </w:r>
      <w:bookmarkEnd w:id="276"/>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7" w:name="Xa0852bd6b652253c92942d988fc2ca7cd825174"/>
      <w:r>
        <w:t xml:space="preserve">Ad hoc audits or reviews</w:t>
      </w:r>
      <w:bookmarkEnd w:id="277"/>
    </w:p>
    <w:p>
      <w:pPr>
        <w:pStyle w:val="FirstParagraph"/>
      </w:pPr>
      <w:r>
        <w:t xml:space="preserve">An ad hoc audit or review can be requested by the president of INFCOM due, for example, to non-conformance causing problems with WIS operations.</w:t>
      </w:r>
    </w:p>
    <w:p>
      <w:pPr>
        <w:pStyle w:val="Heading2"/>
      </w:pPr>
      <w:bookmarkStart w:id="278" w:name="X9ab13a3e1cbb37015c8f4dc14c50a3a9a73af89"/>
      <w:r>
        <w:t xml:space="preserve">Audit or review outcome</w:t>
      </w:r>
      <w:bookmarkEnd w:id="278"/>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79" w:name="Xf4a1e64e74945af47752f37fd83d713f9b4fb08"/>
      <w:r>
        <w:t xml:space="preserve">Format of report</w:t>
      </w:r>
      <w:bookmarkEnd w:id="279"/>
    </w:p>
    <w:p>
      <w:pPr>
        <w:pStyle w:val="FirstParagraph"/>
      </w:pPr>
      <w:r>
        <w:t xml:space="preserve">The Expert Team on Audit and Certification will use a template for final reports, although the content will reflect the areas audited.</w:t>
      </w:r>
    </w:p>
    <w:p>
      <w:pPr>
        <w:pStyle w:val="Heading2"/>
      </w:pPr>
      <w:bookmarkStart w:id="280" w:name="X3fe9238d52e17f5173416070b32debd7ef65d08"/>
      <w:r>
        <w:t xml:space="preserve">Public notification of type of INFCOM endorsement</w:t>
      </w:r>
      <w:bookmarkEnd w:id="280"/>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81" w:name="X8530bb5edb799f3a94a5cf8af0dfd264749ebae"/>
      <w:r>
        <w:t xml:space="preserve">Review of audits with qualification</w:t>
      </w:r>
      <w:bookmarkEnd w:id="281"/>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2">
    <w:p>
      <w:pPr>
        <w:pStyle w:val="FootnoteText"/>
      </w:pPr>
      <w:r>
        <w:rPr>
          <w:rStyle w:val="FootnoteReference"/>
        </w:rPr>
        <w:footnoteRef/>
      </w:r>
      <w:r>
        <w:t xml:space="preserve"> </w:t>
      </w:r>
      <w:hyperlink r:id="rId123">
        <w:r>
          <w:rPr>
            <w:rStyle w:val="Hyperlink"/>
          </w:rPr>
          <w:t xml:space="preserve">https://go-fair.org</w:t>
        </w:r>
      </w:hyperlink>
    </w:p>
  </w:footnote>
  <w:footnote w:id="147">
    <w:p>
      <w:pPr>
        <w:pStyle w:val="FootnoteText"/>
      </w:pPr>
      <w:r>
        <w:rPr>
          <w:rStyle w:val="FootnoteReference"/>
        </w:rPr>
        <w:footnoteRef/>
      </w:r>
      <w:r>
        <w:t xml:space="preserve"> </w:t>
      </w:r>
      <w:hyperlink r:id="rId148">
        <w:r>
          <w:rPr>
            <w:rStyle w:val="Hyperlink"/>
          </w:rPr>
          <w:t xml:space="preserve">https://wmo-im.github.io/wcmp2</w:t>
        </w:r>
      </w:hyperlink>
    </w:p>
  </w:footnote>
  <w:footnote w:id="149">
    <w:p>
      <w:pPr>
        <w:pStyle w:val="FootnoteText"/>
      </w:pPr>
      <w:r>
        <w:rPr>
          <w:rStyle w:val="FootnoteReference"/>
        </w:rPr>
        <w:footnoteRef/>
      </w:r>
      <w:r>
        <w:t xml:space="preserve"> </w:t>
      </w:r>
      <w:hyperlink r:id="rId150">
        <w:r>
          <w:rPr>
            <w:rStyle w:val="Hyperlink"/>
          </w:rPr>
          <w:t xml:space="preserve">https://github.com/wmo-im/wis2-topic-hierarchy</w:t>
        </w:r>
      </w:hyperlink>
    </w:p>
  </w:footnote>
  <w:footnote w:id="151">
    <w:p>
      <w:pPr>
        <w:pStyle w:val="FootnoteText"/>
      </w:pPr>
      <w:r>
        <w:rPr>
          <w:rStyle w:val="FootnoteReference"/>
        </w:rPr>
        <w:footnoteRef/>
      </w:r>
      <w:r>
        <w:t xml:space="preserve"> </w:t>
      </w:r>
      <w:hyperlink r:id="rId152">
        <w:r>
          <w:rPr>
            <w:rStyle w:val="Hyperlink"/>
          </w:rPr>
          <w:t xml:space="preserve">https://wmo-im.github.io/wis2-notification-message</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55">
    <w:p>
      <w:pPr>
        <w:pStyle w:val="FootnoteText"/>
      </w:pPr>
      <w:r>
        <w:rPr>
          <w:rStyle w:val="FootnoteReference"/>
        </w:rPr>
        <w:footnoteRef/>
      </w:r>
      <w:r>
        <w:t xml:space="preserve"> </w:t>
      </w:r>
      <w:hyperlink r:id="rId156">
        <w:r>
          <w:rPr>
            <w:rStyle w:val="Hyperlink"/>
          </w:rPr>
          <w:t xml:space="preserve">https://www.w3.org/TR/webarch</w:t>
        </w:r>
      </w:hyperlink>
    </w:p>
  </w:footnote>
  <w:footnote w:id="157">
    <w:p>
      <w:pPr>
        <w:pStyle w:val="FootnoteText"/>
      </w:pPr>
      <w:r>
        <w:rPr>
          <w:rStyle w:val="FootnoteReference"/>
        </w:rPr>
        <w:footnoteRef/>
      </w:r>
      <w:r>
        <w:t xml:space="preserve"> </w:t>
      </w:r>
      <w:hyperlink r:id="rId158">
        <w:r>
          <w:rPr>
            <w:rStyle w:val="Hyperlink"/>
          </w:rPr>
          <w:t xml:space="preserve">https://www.ietf.org/rfc/rfc3339.txt</w:t>
        </w:r>
      </w:hyperlink>
    </w:p>
  </w:footnote>
  <w:footnote w:id="159">
    <w:p>
      <w:pPr>
        <w:pStyle w:val="FootnoteText"/>
      </w:pPr>
      <w:r>
        <w:rPr>
          <w:rStyle w:val="FootnoteReference"/>
        </w:rPr>
        <w:footnoteRef/>
      </w:r>
      <w:r>
        <w:t xml:space="preserve"> </w:t>
      </w:r>
      <w:hyperlink r:id="rId160">
        <w:r>
          <w:rPr>
            <w:rStyle w:val="Hyperlink"/>
          </w:rPr>
          <w:t xml:space="preserve">https://www.ietf.org/rfc/rfc3986.txt</w:t>
        </w:r>
      </w:hyperlink>
    </w:p>
  </w:footnote>
  <w:footnote w:id="161">
    <w:p>
      <w:pPr>
        <w:pStyle w:val="FootnoteText"/>
      </w:pPr>
      <w:r>
        <w:rPr>
          <w:rStyle w:val="FootnoteReference"/>
        </w:rPr>
        <w:footnoteRef/>
      </w:r>
      <w:r>
        <w:t xml:space="preserve"> </w:t>
      </w:r>
      <w:hyperlink r:id="rId162">
        <w:r>
          <w:rPr>
            <w:rStyle w:val="Hyperlink"/>
          </w:rPr>
          <w:t xml:space="preserve">https://www.ietf.org/rfc/rfc7946.txt</w:t>
        </w:r>
      </w:hyperlink>
    </w:p>
  </w:footnote>
  <w:footnote w:id="163">
    <w:p>
      <w:pPr>
        <w:pStyle w:val="FootnoteText"/>
      </w:pPr>
      <w:r>
        <w:rPr>
          <w:rStyle w:val="FootnoteReference"/>
        </w:rPr>
        <w:footnoteRef/>
      </w:r>
      <w:r>
        <w:t xml:space="preserve"> </w:t>
      </w:r>
      <w:hyperlink r:id="rId164">
        <w:r>
          <w:rPr>
            <w:rStyle w:val="Hyperlink"/>
          </w:rPr>
          <w:t xml:space="preserve">https://docs.ogc.org/DRAFTS/20-004.html</w:t>
        </w:r>
      </w:hyperlink>
    </w:p>
  </w:footnote>
  <w:footnote w:id="165">
    <w:p>
      <w:pPr>
        <w:pStyle w:val="FootnoteText"/>
      </w:pPr>
      <w:r>
        <w:rPr>
          <w:rStyle w:val="FootnoteReference"/>
        </w:rPr>
        <w:footnoteRef/>
      </w:r>
      <w:r>
        <w:t xml:space="preserve"> </w:t>
      </w:r>
      <w:hyperlink r:id="rId166">
        <w:r>
          <w:rPr>
            <w:rStyle w:val="Hyperlink"/>
          </w:rPr>
          <w:t xml:space="preserve">https://docs.oasis-open.org/mqtt/mqtt/v3.1.1/os/mqtt-v3.1.1-os.html</w:t>
        </w:r>
      </w:hyperlink>
    </w:p>
  </w:footnote>
  <w:footnote w:id="167">
    <w:p>
      <w:pPr>
        <w:pStyle w:val="FootnoteText"/>
      </w:pPr>
      <w:r>
        <w:rPr>
          <w:rStyle w:val="FootnoteReference"/>
        </w:rPr>
        <w:footnoteRef/>
      </w:r>
      <w:r>
        <w:t xml:space="preserve"> </w:t>
      </w:r>
      <w:hyperlink r:id="rId168">
        <w:r>
          <w:rPr>
            <w:rStyle w:val="Hyperlink"/>
          </w:rPr>
          <w:t xml:space="preserve">https://docs.oasis-open.org/mqtt/mqtt/v5.0/mqtt-v5.0.html</w:t>
        </w:r>
      </w:hyperlink>
    </w:p>
  </w:footnote>
  <w:footnote w:id="169">
    <w:p>
      <w:pPr>
        <w:pStyle w:val="FootnoteText"/>
      </w:pPr>
      <w:r>
        <w:rPr>
          <w:rStyle w:val="FootnoteReference"/>
        </w:rPr>
        <w:footnoteRef/>
      </w:r>
      <w:r>
        <w:t xml:space="preserve"> </w:t>
      </w:r>
      <w:hyperlink r:id="rId170">
        <w:r>
          <w:rPr>
            <w:rStyle w:val="Hyperlink"/>
          </w:rPr>
          <w:t xml:space="preserve">https://openmetrics.io</w:t>
        </w:r>
      </w:hyperlink>
    </w:p>
  </w:footnote>
  <w:footnote w:id="172">
    <w:p>
      <w:pPr>
        <w:pStyle w:val="FootnoteText"/>
      </w:pPr>
      <w:r>
        <w:rPr>
          <w:rStyle w:val="FootnoteReference"/>
        </w:rPr>
        <w:footnoteRef/>
      </w:r>
      <w:r>
        <w:t xml:space="preserve"> </w:t>
      </w:r>
      <w:hyperlink r:id="rId173">
        <w:r>
          <w:rPr>
            <w:rStyle w:val="Hyperlink"/>
          </w:rPr>
          <w:t xml:space="preserve">https://library.wmo.int/index.php?lvl=notice_display&amp;id=20422</w:t>
        </w:r>
      </w:hyperlink>
    </w:p>
  </w:footnote>
  <w:footnote w:id="174">
    <w:p>
      <w:pPr>
        <w:pStyle w:val="FootnoteText"/>
      </w:pPr>
      <w:r>
        <w:rPr>
          <w:rStyle w:val="FootnoteReference"/>
        </w:rPr>
        <w:footnoteRef/>
      </w:r>
      <w:r>
        <w:t xml:space="preserve"> </w:t>
      </w:r>
      <w:hyperlink r:id="rId175">
        <w:r>
          <w:rPr>
            <w:rStyle w:val="Hyperlink"/>
          </w:rPr>
          <w:t xml:space="preserve">https://library.wmo.int/index.php?lvl=notice_display&amp;id=21644</w:t>
        </w:r>
      </w:hyperlink>
    </w:p>
  </w:footnote>
  <w:footnote w:id="176">
    <w:p>
      <w:pPr>
        <w:pStyle w:val="FootnoteText"/>
      </w:pPr>
      <w:r>
        <w:rPr>
          <w:rStyle w:val="FootnoteReference"/>
        </w:rPr>
        <w:footnoteRef/>
      </w:r>
      <w:r>
        <w:t xml:space="preserve"> </w:t>
      </w:r>
      <w:hyperlink r:id="rId177">
        <w:r>
          <w:rPr>
            <w:rStyle w:val="Hyperlink"/>
          </w:rPr>
          <w:t xml:space="preserve">https://www.w3.org/TR/dwbp</w:t>
        </w:r>
      </w:hyperlink>
    </w:p>
  </w:footnote>
  <w:footnote w:id="178">
    <w:p>
      <w:pPr>
        <w:pStyle w:val="FootnoteText"/>
      </w:pPr>
      <w:r>
        <w:rPr>
          <w:rStyle w:val="FootnoteReference"/>
        </w:rPr>
        <w:footnoteRef/>
      </w:r>
      <w:r>
        <w:t xml:space="preserve"> </w:t>
      </w:r>
      <w:hyperlink r:id="rId179">
        <w:r>
          <w:rPr>
            <w:rStyle w:val="Hyperlink"/>
          </w:rPr>
          <w:t xml:space="preserve">https://www.w3.org/TR/sdw-bp</w:t>
        </w:r>
      </w:hyperlink>
    </w:p>
  </w:footnote>
  <w:footnote w:id="180">
    <w:p>
      <w:pPr>
        <w:pStyle w:val="FootnoteText"/>
      </w:pPr>
      <w:r>
        <w:rPr>
          <w:rStyle w:val="FootnoteReference"/>
        </w:rPr>
        <w:footnoteRef/>
      </w:r>
      <w:r>
        <w:t xml:space="preserve"> </w:t>
      </w:r>
      <w:hyperlink r:id="rId181">
        <w:r>
          <w:rPr>
            <w:rStyle w:val="Hyperlink"/>
          </w:rPr>
          <w:t xml:space="preserve">https://www.ogc.org/blog-article/towards-a-cloud-native-ogc</w:t>
        </w:r>
      </w:hyperlink>
    </w:p>
  </w:footnote>
  <w:footnote w:id="182">
    <w:p>
      <w:pPr>
        <w:pStyle w:val="FootnoteText"/>
      </w:pPr>
      <w:r>
        <w:rPr>
          <w:rStyle w:val="FootnoteReference"/>
        </w:rPr>
        <w:footnoteRef/>
      </w:r>
      <w:r>
        <w:t xml:space="preserve"> </w:t>
      </w:r>
      <w:hyperlink r:id="rId183">
        <w:r>
          <w:rPr>
            <w:rStyle w:val="Hyperlink"/>
          </w:rPr>
          <w:t xml:space="preserve">https://www.ogc.org/blog-article/towards-a-cloud-native-geospatial-standards-baseline</w:t>
        </w:r>
      </w:hyperlink>
    </w:p>
  </w:footnote>
  <w:footnote w:id="184">
    <w:p>
      <w:pPr>
        <w:pStyle w:val="FootnoteText"/>
      </w:pPr>
      <w:r>
        <w:rPr>
          <w:rStyle w:val="FootnoteReference"/>
        </w:rPr>
        <w:footnoteRef/>
      </w:r>
      <w:r>
        <w:t xml:space="preserve"> </w:t>
      </w:r>
      <w:hyperlink r:id="rId185">
        <w:r>
          <w:rPr>
            <w:rStyle w:val="Hyperlink"/>
          </w:rPr>
          <w:t xml:space="preserve">https://spec.openapis.org/oas/v3.1.0</w:t>
        </w:r>
      </w:hyperlink>
    </w:p>
  </w:footnote>
  <w:footnote w:id="186">
    <w:p>
      <w:pPr>
        <w:pStyle w:val="FootnoteText"/>
      </w:pPr>
      <w:r>
        <w:rPr>
          <w:rStyle w:val="FootnoteReference"/>
        </w:rPr>
        <w:footnoteRef/>
      </w:r>
      <w:r>
        <w:t xml:space="preserve"> </w:t>
      </w:r>
      <w:hyperlink r:id="rId187">
        <w:r>
          <w:rPr>
            <w:rStyle w:val="Hyperlink"/>
          </w:rPr>
          <w:t xml:space="preserve">https://ogcapi.ogc.org</w:t>
        </w:r>
      </w:hyperlink>
    </w:p>
  </w:footnote>
  <w:footnote w:id="188">
    <w:p>
      <w:pPr>
        <w:pStyle w:val="FootnoteText"/>
      </w:pPr>
      <w:r>
        <w:rPr>
          <w:rStyle w:val="FootnoteReference"/>
        </w:rPr>
        <w:footnoteRef/>
      </w:r>
      <w:r>
        <w:t xml:space="preserve"> </w:t>
      </w:r>
      <w:hyperlink r:id="rId189">
        <w:r>
          <w:rPr>
            <w:rStyle w:val="Hyperlink"/>
          </w:rPr>
          <w:t xml:space="preserve">https://docs.opengeospatial.org/is/17-069r4/17-069r4.html</w:t>
        </w:r>
      </w:hyperlink>
    </w:p>
  </w:footnote>
  <w:footnote w:id="190">
    <w:p>
      <w:pPr>
        <w:pStyle w:val="FootnoteText"/>
      </w:pPr>
      <w:r>
        <w:rPr>
          <w:rStyle w:val="FootnoteReference"/>
        </w:rPr>
        <w:footnoteRef/>
      </w:r>
      <w:r>
        <w:t xml:space="preserve"> </w:t>
      </w:r>
      <w:hyperlink r:id="rId191">
        <w:r>
          <w:rPr>
            <w:rStyle w:val="Hyperlink"/>
          </w:rPr>
          <w:t xml:space="preserve">http://docs.ogc.org/DRAFTS/19-087.html</w:t>
        </w:r>
      </w:hyperlink>
    </w:p>
  </w:footnote>
  <w:footnote w:id="192">
    <w:p>
      <w:pPr>
        <w:pStyle w:val="FootnoteText"/>
      </w:pPr>
      <w:r>
        <w:rPr>
          <w:rStyle w:val="FootnoteReference"/>
        </w:rPr>
        <w:footnoteRef/>
      </w:r>
      <w:r>
        <w:t xml:space="preserve"> </w:t>
      </w:r>
      <w:hyperlink r:id="rId193">
        <w:r>
          <w:rPr>
            <w:rStyle w:val="Hyperlink"/>
          </w:rPr>
          <w:t xml:space="preserve">https://docs.ogc.org/is/19-086r5/19-086r5.html</w:t>
        </w:r>
      </w:hyperlink>
    </w:p>
  </w:footnote>
  <w:footnote w:id="194">
    <w:p>
      <w:pPr>
        <w:pStyle w:val="FootnoteText"/>
      </w:pPr>
      <w:r>
        <w:rPr>
          <w:rStyle w:val="FootnoteReference"/>
        </w:rPr>
        <w:footnoteRef/>
      </w:r>
      <w:r>
        <w:t xml:space="preserve"> </w:t>
      </w:r>
      <w:hyperlink r:id="rId195">
        <w:r>
          <w:rPr>
            <w:rStyle w:val="Hyperlink"/>
          </w:rPr>
          <w:t xml:space="preserve">https://schema.org</w:t>
        </w:r>
      </w:hyperlink>
    </w:p>
  </w:footnote>
  <w:footnote w:id="196">
    <w:p>
      <w:pPr>
        <w:pStyle w:val="FootnoteText"/>
      </w:pPr>
      <w:r>
        <w:rPr>
          <w:rStyle w:val="FootnoteReference"/>
        </w:rPr>
        <w:footnoteRef/>
      </w:r>
      <w:r>
        <w:t xml:space="preserve"> </w:t>
      </w:r>
      <w:hyperlink r:id="rId197">
        <w:r>
          <w:rPr>
            <w:rStyle w:val="Hyperlink"/>
          </w:rPr>
          <w:t xml:space="preserve">https://stacspec.org</w:t>
        </w:r>
      </w:hyperlink>
    </w:p>
  </w:footnote>
  <w:footnote w:id="198">
    <w:p>
      <w:pPr>
        <w:pStyle w:val="FootnoteText"/>
      </w:pPr>
      <w:r>
        <w:rPr>
          <w:rStyle w:val="FootnoteReference"/>
        </w:rPr>
        <w:footnoteRef/>
      </w:r>
      <w:r>
        <w:t xml:space="preserve"> </w:t>
      </w:r>
      <w:hyperlink r:id="rId199">
        <w:r>
          <w:rPr>
            <w:rStyle w:val="Hyperlink"/>
          </w:rPr>
          <w:t xml:space="preserve">https://docs.wis2box.wis.wmo.int</w:t>
        </w:r>
      </w:hyperlink>
    </w:p>
  </w:footnote>
  <w:footnote w:id="200">
    <w:p>
      <w:pPr>
        <w:pStyle w:val="FootnoteText"/>
      </w:pPr>
      <w:r>
        <w:rPr>
          <w:rStyle w:val="FootnoteReference"/>
        </w:rPr>
        <w:footnoteRef/>
      </w:r>
      <w:r>
        <w:t xml:space="preserve"> </w:t>
      </w:r>
      <w:hyperlink r:id="rId201">
        <w:r>
          <w:rPr>
            <w:rStyle w:val="Hyperlink"/>
          </w:rPr>
          <w:t xml:space="preserve">https://mosquitto.org</w:t>
        </w:r>
      </w:hyperlink>
    </w:p>
  </w:footnote>
  <w:footnote w:id="202">
    <w:p>
      <w:pPr>
        <w:pStyle w:val="FootnoteText"/>
      </w:pPr>
      <w:r>
        <w:rPr>
          <w:rStyle w:val="FootnoteReference"/>
        </w:rPr>
        <w:footnoteRef/>
      </w:r>
      <w:r>
        <w:t xml:space="preserve"> </w:t>
      </w:r>
      <w:hyperlink r:id="rId203">
        <w:r>
          <w:rPr>
            <w:rStyle w:val="Hyperlink"/>
          </w:rPr>
          <w:t xml:space="preserve">https://www.rabbitmq.com/mqtt.html</w:t>
        </w:r>
      </w:hyperlink>
    </w:p>
  </w:footnote>
  <w:footnote w:id="204">
    <w:p>
      <w:pPr>
        <w:pStyle w:val="FootnoteText"/>
      </w:pPr>
      <w:r>
        <w:rPr>
          <w:rStyle w:val="FootnoteReference"/>
        </w:rPr>
        <w:footnoteRef/>
      </w:r>
      <w:r>
        <w:t xml:space="preserve"> </w:t>
      </w:r>
      <w:hyperlink r:id="rId205">
        <w:r>
          <w:rPr>
            <w:rStyle w:val="Hyperlink"/>
          </w:rPr>
          <w:t xml:space="preserve">https://prometheus.io</w:t>
        </w:r>
      </w:hyperlink>
    </w:p>
  </w:footnote>
  <w:footnote w:id="206">
    <w:p>
      <w:pPr>
        <w:pStyle w:val="FootnoteText"/>
      </w:pPr>
      <w:r>
        <w:rPr>
          <w:rStyle w:val="FootnoteReference"/>
        </w:rPr>
        <w:footnoteRef/>
      </w:r>
      <w:r>
        <w:t xml:space="preserve"> </w:t>
      </w:r>
      <w:hyperlink r:id="rId207">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91" Target="http://docs.ogc.org/DRAFTS/19-087.html" TargetMode="External" /><Relationship Type="http://schemas.openxmlformats.org/officeDocument/2006/relationships/hyperlink" Id="rId234"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6" Target="https://docs.oasis-open.org/mqtt/mqtt/v3.1.1/os/mqtt-v3.1.1-os.html" TargetMode="External" /><Relationship Type="http://schemas.openxmlformats.org/officeDocument/2006/relationships/hyperlink" Id="rId168" Target="https://docs.oasis-open.org/mqtt/mqtt/v5.0/mqtt-v5.0.html" TargetMode="External" /><Relationship Type="http://schemas.openxmlformats.org/officeDocument/2006/relationships/hyperlink" Id="rId164" Target="https://docs.ogc.org/DRAFTS/20-004.html" TargetMode="External" /><Relationship Type="http://schemas.openxmlformats.org/officeDocument/2006/relationships/hyperlink" Id="rId193" Target="https://docs.ogc.org/is/19-086r5/19-086r5.html" TargetMode="External" /><Relationship Type="http://schemas.openxmlformats.org/officeDocument/2006/relationships/hyperlink" Id="rId189" Target="https://docs.opengeospatial.org/is/17-069r4/17-069r4.html" TargetMode="External" /><Relationship Type="http://schemas.openxmlformats.org/officeDocument/2006/relationships/hyperlink" Id="rId199" Target="https://docs.wis2box.wis.wmo.int" TargetMode="External" /><Relationship Type="http://schemas.openxmlformats.org/officeDocument/2006/relationships/hyperlink" Id="rId154" Target="https://github.com/wmo-im/wis2-metric-hierarchy"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7" Target="https://grafana.com" TargetMode="External" /><Relationship Type="http://schemas.openxmlformats.org/officeDocument/2006/relationships/hyperlink" Id="rId173" Target="https://library.wmo.int/index.php?lvl=notice_display&amp;id=20422" TargetMode="External" /><Relationship Type="http://schemas.openxmlformats.org/officeDocument/2006/relationships/hyperlink" Id="rId175" Target="https://library.wmo.int/index.php?lvl=notice_display&amp;id=21644" TargetMode="External" /><Relationship Type="http://schemas.openxmlformats.org/officeDocument/2006/relationships/hyperlink" Id="rId201" Target="https://mosquitto.org" TargetMode="External" /><Relationship Type="http://schemas.openxmlformats.org/officeDocument/2006/relationships/hyperlink" Id="rId187" Target="https://ogcapi.ogc.org" TargetMode="External" /><Relationship Type="http://schemas.openxmlformats.org/officeDocument/2006/relationships/hyperlink" Id="rId170" Target="https://openmetrics.io" TargetMode="External" /><Relationship Type="http://schemas.openxmlformats.org/officeDocument/2006/relationships/hyperlink" Id="rId205" Target="https://prometheus.io" TargetMode="External" /><Relationship Type="http://schemas.openxmlformats.org/officeDocument/2006/relationships/hyperlink" Id="rId195" Target="https://schema.org" TargetMode="External" /><Relationship Type="http://schemas.openxmlformats.org/officeDocument/2006/relationships/hyperlink" Id="rId185" Target="https://spec.openapis.org/oas/v3.1.0" TargetMode="External" /><Relationship Type="http://schemas.openxmlformats.org/officeDocument/2006/relationships/hyperlink" Id="rId197"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2" Target="https://wmo-im.github.io/wis2-notification-message" TargetMode="External" /><Relationship Type="http://schemas.openxmlformats.org/officeDocument/2006/relationships/hyperlink" Id="rId158" Target="https://www.ietf.org/rfc/rfc3339.txt" TargetMode="External" /><Relationship Type="http://schemas.openxmlformats.org/officeDocument/2006/relationships/hyperlink" Id="rId160" Target="https://www.ietf.org/rfc/rfc3986.txt" TargetMode="External" /><Relationship Type="http://schemas.openxmlformats.org/officeDocument/2006/relationships/hyperlink" Id="rId162" Target="https://www.ietf.org/rfc/rfc7946.txt" TargetMode="External" /><Relationship Type="http://schemas.openxmlformats.org/officeDocument/2006/relationships/hyperlink" Id="rId183" Target="https://www.ogc.org/blog-article/towards-a-cloud-native-geospatial-standards-baseline" TargetMode="External" /><Relationship Type="http://schemas.openxmlformats.org/officeDocument/2006/relationships/hyperlink" Id="rId181" Target="https://www.ogc.org/blog-article/towards-a-cloud-native-ogc" TargetMode="External" /><Relationship Type="http://schemas.openxmlformats.org/officeDocument/2006/relationships/hyperlink" Id="rId203" Target="https://www.rabbitmq.com/mqtt.html" TargetMode="External" /><Relationship Type="http://schemas.openxmlformats.org/officeDocument/2006/relationships/hyperlink" Id="rId177" Target="https://www.w3.org/TR/dwbp" TargetMode="External" /><Relationship Type="http://schemas.openxmlformats.org/officeDocument/2006/relationships/hyperlink" Id="rId179" Target="https://www.w3.org/TR/sdw-bp" TargetMode="External" /><Relationship Type="http://schemas.openxmlformats.org/officeDocument/2006/relationships/hyperlink" Id="rId1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91" Target="http://docs.ogc.org/DRAFTS/19-087.html" TargetMode="External" /><Relationship Type="http://schemas.openxmlformats.org/officeDocument/2006/relationships/hyperlink" Id="rId234"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6" Target="https://docs.oasis-open.org/mqtt/mqtt/v3.1.1/os/mqtt-v3.1.1-os.html" TargetMode="External" /><Relationship Type="http://schemas.openxmlformats.org/officeDocument/2006/relationships/hyperlink" Id="rId168" Target="https://docs.oasis-open.org/mqtt/mqtt/v5.0/mqtt-v5.0.html" TargetMode="External" /><Relationship Type="http://schemas.openxmlformats.org/officeDocument/2006/relationships/hyperlink" Id="rId164" Target="https://docs.ogc.org/DRAFTS/20-004.html" TargetMode="External" /><Relationship Type="http://schemas.openxmlformats.org/officeDocument/2006/relationships/hyperlink" Id="rId193" Target="https://docs.ogc.org/is/19-086r5/19-086r5.html" TargetMode="External" /><Relationship Type="http://schemas.openxmlformats.org/officeDocument/2006/relationships/hyperlink" Id="rId189" Target="https://docs.opengeospatial.org/is/17-069r4/17-069r4.html" TargetMode="External" /><Relationship Type="http://schemas.openxmlformats.org/officeDocument/2006/relationships/hyperlink" Id="rId199" Target="https://docs.wis2box.wis.wmo.int" TargetMode="External" /><Relationship Type="http://schemas.openxmlformats.org/officeDocument/2006/relationships/hyperlink" Id="rId154" Target="https://github.com/wmo-im/wis2-metric-hierarchy"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7" Target="https://grafana.com" TargetMode="External" /><Relationship Type="http://schemas.openxmlformats.org/officeDocument/2006/relationships/hyperlink" Id="rId173" Target="https://library.wmo.int/index.php?lvl=notice_display&amp;id=20422" TargetMode="External" /><Relationship Type="http://schemas.openxmlformats.org/officeDocument/2006/relationships/hyperlink" Id="rId175" Target="https://library.wmo.int/index.php?lvl=notice_display&amp;id=21644" TargetMode="External" /><Relationship Type="http://schemas.openxmlformats.org/officeDocument/2006/relationships/hyperlink" Id="rId201" Target="https://mosquitto.org" TargetMode="External" /><Relationship Type="http://schemas.openxmlformats.org/officeDocument/2006/relationships/hyperlink" Id="rId187" Target="https://ogcapi.ogc.org" TargetMode="External" /><Relationship Type="http://schemas.openxmlformats.org/officeDocument/2006/relationships/hyperlink" Id="rId170" Target="https://openmetrics.io" TargetMode="External" /><Relationship Type="http://schemas.openxmlformats.org/officeDocument/2006/relationships/hyperlink" Id="rId205" Target="https://prometheus.io" TargetMode="External" /><Relationship Type="http://schemas.openxmlformats.org/officeDocument/2006/relationships/hyperlink" Id="rId195" Target="https://schema.org" TargetMode="External" /><Relationship Type="http://schemas.openxmlformats.org/officeDocument/2006/relationships/hyperlink" Id="rId185" Target="https://spec.openapis.org/oas/v3.1.0" TargetMode="External" /><Relationship Type="http://schemas.openxmlformats.org/officeDocument/2006/relationships/hyperlink" Id="rId197"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2" Target="https://wmo-im.github.io/wis2-notification-message" TargetMode="External" /><Relationship Type="http://schemas.openxmlformats.org/officeDocument/2006/relationships/hyperlink" Id="rId158" Target="https://www.ietf.org/rfc/rfc3339.txt" TargetMode="External" /><Relationship Type="http://schemas.openxmlformats.org/officeDocument/2006/relationships/hyperlink" Id="rId160" Target="https://www.ietf.org/rfc/rfc3986.txt" TargetMode="External" /><Relationship Type="http://schemas.openxmlformats.org/officeDocument/2006/relationships/hyperlink" Id="rId162" Target="https://www.ietf.org/rfc/rfc7946.txt" TargetMode="External" /><Relationship Type="http://schemas.openxmlformats.org/officeDocument/2006/relationships/hyperlink" Id="rId183" Target="https://www.ogc.org/blog-article/towards-a-cloud-native-geospatial-standards-baseline" TargetMode="External" /><Relationship Type="http://schemas.openxmlformats.org/officeDocument/2006/relationships/hyperlink" Id="rId181" Target="https://www.ogc.org/blog-article/towards-a-cloud-native-ogc" TargetMode="External" /><Relationship Type="http://schemas.openxmlformats.org/officeDocument/2006/relationships/hyperlink" Id="rId203" Target="https://www.rabbitmq.com/mqtt.html" TargetMode="External" /><Relationship Type="http://schemas.openxmlformats.org/officeDocument/2006/relationships/hyperlink" Id="rId177" Target="https://www.w3.org/TR/dwbp" TargetMode="External" /><Relationship Type="http://schemas.openxmlformats.org/officeDocument/2006/relationships/hyperlink" Id="rId179" Target="https://www.w3.org/TR/sdw-bp" TargetMode="External" /><Relationship Type="http://schemas.openxmlformats.org/officeDocument/2006/relationships/hyperlink" Id="rId1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2023-09-26T00:50:34Z</dcterms:created>
  <dcterms:modified xsi:type="dcterms:W3CDTF">2023-09-26T00:50:34Z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