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54.png" ContentType="image/png"/>
  <Override PartName="/word/media/rId55.png" ContentType="image/png"/>
  <Override PartName="/word/media/rId59.png" ContentType="image/png"/>
  <Override PartName="/word/media/rId32.png" ContentType="image/png"/>
  <Override PartName="/word/media/rId52.png" ContentType="image/png"/>
  <Override PartName="/word/media/rId5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8ad6d83ca5456e17bb30d90ea30f42b90d405cd"/>
      <w:r>
        <w:t xml:space="preserve">Introduction of WIS2</w:t>
      </w:r>
      <w:bookmarkEnd w:id="29"/>
    </w:p>
    <w:p>
      <w:pPr>
        <w:pStyle w:val="Heading2"/>
      </w:pPr>
      <w:bookmarkStart w:id="30" w:name="X649734682fa6bb6e7ce1c01b3ac7eafb10be68f"/>
      <w:r>
        <w:t xml:space="preserve">Why WIS2?</w:t>
      </w:r>
      <w:bookmarkEnd w:id="30"/>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2"/>
      </w:pPr>
      <w:bookmarkStart w:id="31" w:name="Xae0f14ad2e7328b34afbdffe57c62b893a9ff26"/>
      <w:r>
        <w:t xml:space="preserve">What is WIS2?</w:t>
      </w:r>
      <w:bookmarkEnd w:id="31"/>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2"/>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3"/>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2"/>
      </w:pPr>
      <w:bookmarkStart w:id="34" w:name="X90222933da14900ccee9ac904f28227ea8423df"/>
      <w:r>
        <w:t xml:space="preserve">Why are datasets so important?</w:t>
      </w:r>
      <w:bookmarkEnd w:id="34"/>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5"/>
      </w:r>
      <w:r>
        <w:t xml:space="preserve"> </w:t>
      </w:r>
      <w:r>
        <w:rPr>
          <w:rStyle w:val="FootnoteReference"/>
        </w:rPr>
        <w:footnoteReference w:id="36"/>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1"/>
      </w:pPr>
      <w:bookmarkStart w:id="37" w:name="Xecf0c12e63e4118ecfa3ca4b4eec098c279fc33"/>
      <w:r>
        <w:t xml:space="preserve">Quickstarts</w:t>
      </w:r>
      <w:bookmarkEnd w:id="37"/>
    </w:p>
    <w:p>
      <w:pPr>
        <w:pStyle w:val="FirstParagraph"/>
      </w:pPr>
      <w:r>
        <w:t xml:space="preserve">This section lists the sections in this technical guidance document that are essential for Data Publishers operating a WIS node (e.g., an NC or a DCPC) and Data Consumers to read before getting started.</w:t>
      </w:r>
      <w:r>
        <w:t xml:space="preserve"> </w:t>
      </w:r>
      <w:r>
        <w:t xml:space="preserve">Operators of GlSCs should have an in-depth understanding of how WIS2 functions and operates – not least so that they are able to effectively support the WIS Centres, Data Publishers, and Data Consumers in their Area of Responsibility (AoR). As such, all contents of this guidance document are relevant to GISCs.</w:t>
      </w:r>
    </w:p>
    <w:p>
      <w:pPr>
        <w:pStyle w:val="Heading2"/>
      </w:pPr>
      <w:bookmarkStart w:id="38" w:name="X6cb1def057f1992ce4f8f7eebf9044ec834d943"/>
      <w:r>
        <w:t xml:space="preserve">Data publisher</w:t>
      </w:r>
      <w:bookmarkEnd w:id="38"/>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39" w:name="Xac616973940976592176a2b0324f72453ca8011"/>
      <w:r>
        <w:t xml:space="preserve">How to publish Dataset discovery metadata to the Global Discovery Catalogue</w:t>
      </w:r>
      <w:bookmarkEnd w:id="39"/>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0" w:name="Xed1b426268a2c143d39ee07b05662eb36fa83ad"/>
      <w:r>
        <w:t xml:space="preserve">How to publish data notifications</w:t>
      </w:r>
      <w:bookmarkEnd w:id="40"/>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1" w:name="Xc4bb7e2999901fa2b6eee397a938e54d554c9f0"/>
      <w:r>
        <w:t xml:space="preserve">How to publish data to the Global Broker</w:t>
      </w:r>
      <w:bookmarkEnd w:id="41"/>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2"/>
      </w:pPr>
      <w:bookmarkStart w:id="42" w:name="X36a36d20ed8b57daac55eb3f88e6dde10183c57"/>
      <w:r>
        <w:t xml:space="preserve">Data consumer</w:t>
      </w:r>
      <w:bookmarkEnd w:id="42"/>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43" w:name="X88563ffdd7356ee45e6c49c64c2245633db4908"/>
      <w:r>
        <w:t xml:space="preserve">How to search the Global Discovery Catalogue to find Datasets</w:t>
      </w:r>
      <w:bookmarkEnd w:id="43"/>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4" w:name="X2bf408fdf972204c7fe8c8bfcecd849f33d2c04"/>
      <w:r>
        <w:t xml:space="preserve">How to subscribe to notifications about availability of new data</w:t>
      </w:r>
      <w:bookmarkEnd w:id="44"/>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5" w:name="Xcc74123211a801bd7777cf5f2cb58a808b6c657"/>
      <w:r>
        <w:t xml:space="preserve">How to use a notification message to decide whether to download data</w:t>
      </w:r>
      <w:bookmarkEnd w:id="45"/>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6" w:name="Xd05779fe503e173308862c77264285c3349f6ff"/>
      <w:r>
        <w:t xml:space="preserve">How to download data from the Global Cache and WIS nodes</w:t>
      </w:r>
      <w:bookmarkEnd w:id="46"/>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7" w:name="X41f7bb3170fbe6ad35852cc4a96af8efdea000a"/>
      <w:r>
        <w:t xml:space="preserve">Additional sections of interest to a Data Consumer (TODO: fix crossref)</w:t>
      </w:r>
      <w:bookmarkEnd w:id="47"/>
    </w:p>
    <w:p>
      <w:pPr>
        <w:numPr>
          <w:ilvl w:val="0"/>
          <w:numId w:val="1010"/>
        </w:numPr>
      </w:pPr>
      <w:r>
        <w:t xml:space="preserve">1.2 What is WIS2?</w:t>
      </w:r>
    </w:p>
    <w:p>
      <w:pPr>
        <w:numPr>
          <w:ilvl w:val="0"/>
          <w:numId w:val="1010"/>
        </w:numPr>
      </w:pPr>
      <w:r>
        <w:t xml:space="preserve">1.3 Why are Datasets so important?</w:t>
      </w:r>
    </w:p>
    <w:p>
      <w:pPr>
        <w:pStyle w:val="Heading1"/>
      </w:pPr>
      <w:bookmarkStart w:id="48" w:name="X0eee616d20a0777fa224ec302d86103b2a3e9c3"/>
      <w:r>
        <w:t xml:space="preserve">Data and metadata flows in WIS2</w:t>
      </w:r>
      <w:bookmarkEnd w:id="48"/>
    </w:p>
    <w:p>
      <w:pPr>
        <w:pStyle w:val="FirstParagraph"/>
      </w:pPr>
      <w:r>
        <w:t xml:space="preserve">This section provides a visual overview of how data and discovery metadata are shared within WIS2.</w:t>
      </w:r>
    </w:p>
    <w:p>
      <w:pPr>
        <w:pStyle w:val="BodyText"/>
      </w:pPr>
      <w:r>
        <w:t xml:space="preserve">Figure 2 introduces the symbology used throughout this section. TODO: crossref</w:t>
      </w:r>
    </w:p>
    <w:p>
      <w:pPr>
        <w:pStyle w:val="CaptionedFigure"/>
      </w:pPr>
      <w:r>
        <w:drawing>
          <wp:inline>
            <wp:extent cx="5334000" cy="3009093"/>
            <wp:effectExtent b="0" l="0" r="0" t="0"/>
            <wp:docPr descr="Symbology used to describe data and metadata flows" title="" id="1" name="Picture"/>
            <a:graphic>
              <a:graphicData uri="http://schemas.openxmlformats.org/drawingml/2006/picture">
                <pic:pic>
                  <pic:nvPicPr>
                    <pic:cNvPr descr="images/symbology-data-metadata-flows.png" id="0" name="Picture"/>
                    <pic:cNvPicPr>
                      <a:picLocks noChangeArrowheads="1" noChangeAspect="1"/>
                    </pic:cNvPicPr>
                  </pic:nvPicPr>
                  <pic:blipFill>
                    <a:blip r:embed="rId49"/>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Symbology used to describe data and metadata flows</w:t>
      </w:r>
    </w:p>
    <w:p>
      <w:pPr>
        <w:pStyle w:val="BodyText"/>
      </w:pPr>
      <w:r>
        <w:t xml:space="preserve">Introducing the key components:</w:t>
      </w:r>
    </w:p>
    <w:p>
      <w:pPr>
        <w:numPr>
          <w:ilvl w:val="0"/>
          <w:numId w:val="1011"/>
        </w:numPr>
      </w:pPr>
      <w:r>
        <w:rPr>
          <w:b/>
        </w:rPr>
        <w:t xml:space="preserve">MQ Broker</w:t>
      </w:r>
      <w:r>
        <w:t xml:space="preserve">: Used to publish messages advertising the availability of new/updated/deleted discovery metadata and new Data Objects (e.g. data files that comprise the dataset). Implements MQTT 3.1.1 and/or MQTT 5.0.</w:t>
      </w:r>
    </w:p>
    <w:p>
      <w:pPr>
        <w:numPr>
          <w:ilvl w:val="0"/>
          <w:numId w:val="1011"/>
        </w:numPr>
      </w:pPr>
      <w:r>
        <w:rPr>
          <w:b/>
        </w:rPr>
        <w:t xml:space="preserve">Data server</w:t>
      </w:r>
      <w:r>
        <w:t xml:space="preserve">: Provides mechanism for Data Consumers to download datasets or part thereof. May be implemented by publishing Data Objects (files) to a Web server or FTP server. Or as an interactive Web service that exposes an API. Supported protocols are HTTPS and SFTP.</w:t>
      </w:r>
    </w:p>
    <w:p>
      <w:pPr>
        <w:numPr>
          <w:ilvl w:val="0"/>
          <w:numId w:val="1011"/>
        </w:numPr>
      </w:pPr>
      <w:r>
        <w:rPr>
          <w:b/>
        </w:rPr>
        <w:t xml:space="preserve">Catalogue</w:t>
      </w:r>
      <w:r>
        <w:t xml:space="preserve">: Contains discovery metadata records describing the datasets published by the NC/DCPC. May be implemented as a "static catalogue" with JSON files published on a Web server enabling a user to browse the catalogue, or as a "dynamic catalogue" via an application that offers a search API.</w:t>
      </w:r>
    </w:p>
    <w:p>
      <w:pPr>
        <w:pStyle w:val="Heading2"/>
      </w:pPr>
      <w:bookmarkStart w:id="50" w:name="Xf04f713f80ab7e8622c76bd859df909c4cca855"/>
      <w:r>
        <w:t xml:space="preserve">Simple NC/DCPC data sharing</w:t>
      </w:r>
      <w:bookmarkEnd w:id="50"/>
    </w:p>
    <w:p>
      <w:pPr>
        <w:pStyle w:val="FirstParagraph"/>
      </w:pPr>
      <w:r>
        <w:t xml:space="preserve">Here we introduce the key concepts of publishing discovery metadata, notification messages, and data. For simplicity, the WIS2 Global Services are not shown here.</w:t>
      </w:r>
    </w:p>
    <w:p>
      <w:pPr>
        <w:pStyle w:val="BodyText"/>
      </w:pPr>
      <w:r>
        <w:t xml:space="preserve">Figure 3 illustrates metadata publication and discovery by a Data Consumer.</w:t>
      </w:r>
    </w:p>
    <w:p>
      <w:pPr>
        <w:pStyle w:val="CaptionedFigure"/>
      </w:pPr>
      <w:r>
        <w:drawing>
          <wp:inline>
            <wp:extent cx="5334000" cy="3000375"/>
            <wp:effectExtent b="0" l="0" r="0" t="0"/>
            <wp:docPr descr="Simple NC/DCPC data sharing - metadata and discovery" title="" id="1" name="Picture"/>
            <a:graphic>
              <a:graphicData uri="http://schemas.openxmlformats.org/drawingml/2006/picture">
                <pic:pic>
                  <pic:nvPicPr>
                    <pic:cNvPr descr="images/simple-nc-dcpc-data-sharing-metadata-discovery.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Simple NC/DCPC data sharing - metadata and discovery</w:t>
      </w:r>
    </w:p>
    <w:p>
      <w:pPr>
        <w:numPr>
          <w:ilvl w:val="0"/>
          <w:numId w:val="1012"/>
        </w:numPr>
      </w:pPr>
      <w:r>
        <w:t xml:space="preserve">NC/DCPC shares a new dataset. They publish a discovery metadata record (</w:t>
      </w:r>
      <w:r>
        <w:rPr>
          <w:b/>
        </w:rPr>
        <w:t xml:space="preserve">R</w:t>
      </w:r>
      <w:r>
        <w:t xml:space="preserve">) to their local catalogue describing this dataset.</w:t>
      </w:r>
    </w:p>
    <w:p>
      <w:pPr>
        <w:numPr>
          <w:ilvl w:val="0"/>
          <w:numId w:val="1012"/>
        </w:numPr>
      </w:pPr>
      <w:r>
        <w:t xml:space="preserve">Data Consumer searches/browses the NC/DCPC’s local catalogue and discover a dataset that they need. They use the links to identify how &amp; where they can download the dataset and subscribe to updates (e.g., when new data is added to the dataset).</w:t>
      </w:r>
    </w:p>
    <w:p>
      <w:pPr>
        <w:numPr>
          <w:ilvl w:val="0"/>
          <w:numId w:val="1012"/>
        </w:numPr>
      </w:pPr>
      <w:r>
        <w:t xml:space="preserve">This is a near-real-time dataset that will be routinely updated. The Data Consumer decides to subscribe to the topic for this dataset on the NC/DCPC’s local MQ broker.</w:t>
      </w:r>
    </w:p>
    <w:p>
      <w:pPr>
        <w:numPr>
          <w:ilvl w:val="0"/>
          <w:numId w:val="1012"/>
        </w:numPr>
      </w:pPr>
      <w:r>
        <w:t xml:space="preserve">Later, NC/DCPC updates the scope of the dataset (e.g. adding data from another observing station). They publish an updated discovery metadata record (</w:t>
      </w:r>
      <w:r>
        <w:rPr>
          <w:b/>
        </w:rPr>
        <w:t xml:space="preserve">R\</w:t>
      </w:r>
      <w:r>
        <w:t xml:space="preserve">*) to their local catalogue</w:t>
      </w:r>
    </w:p>
    <w:p>
      <w:pPr>
        <w:pStyle w:val="FirstParagraph"/>
      </w:pPr>
      <w:r>
        <w:t xml:space="preserve">Note: Data Consumer does not need to update their subscription to receive messages about data availability from this new observing station. They have subscribed to updates about the</w:t>
      </w:r>
      <w:r>
        <w:t xml:space="preserve"> </w:t>
      </w:r>
      <w:r>
        <w:rPr>
          <w:b/>
        </w:rPr>
        <w:t xml:space="preserve">dataset</w:t>
      </w:r>
      <w:r>
        <w:t xml:space="preserve"> </w:t>
      </w:r>
      <w:r>
        <w:t xml:space="preserve">- which now includes data from the additional observing station.</w:t>
      </w:r>
    </w:p>
    <w:p>
      <w:pPr>
        <w:pStyle w:val="BodyText"/>
      </w:pPr>
      <w:r>
        <w:t xml:space="preserve">Figure 4 illustrates how a Data Consumer subscribes to receive notification messages and responds to receipt of a message by downloading data.</w:t>
      </w:r>
    </w:p>
    <w:p>
      <w:pPr>
        <w:pStyle w:val="CaptionedFigure"/>
      </w:pPr>
      <w:r>
        <w:drawing>
          <wp:inline>
            <wp:extent cx="5334000" cy="3009093"/>
            <wp:effectExtent b="0" l="0" r="0" t="0"/>
            <wp:docPr descr="Figure 4 Simple NC/DCPC data sharing - data distribution" title="" id="1" name="Picture"/>
            <a:graphic>
              <a:graphicData uri="http://schemas.openxmlformats.org/drawingml/2006/picture">
                <pic:pic>
                  <pic:nvPicPr>
                    <pic:cNvPr descr="images/simple-nc-dcpc-data-sharing-data-distribution.png" id="0" name="Picture"/>
                    <pic:cNvPicPr>
                      <a:picLocks noChangeArrowheads="1" noChangeAspect="1"/>
                    </pic:cNvPicPr>
                  </pic:nvPicPr>
                  <pic:blipFill>
                    <a:blip r:embed="rId52"/>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Figure 4 Simple NC/DCPC data sharing - data distribution</w:t>
      </w:r>
    </w:p>
    <w:p>
      <w:pPr>
        <w:numPr>
          <w:ilvl w:val="0"/>
          <w:numId w:val="1013"/>
        </w:numPr>
      </w:pPr>
      <w:r>
        <w:t xml:space="preserve">[Precondition] Data Consumer subscribes to the MQ topic at the NC/DCPC.</w:t>
      </w:r>
    </w:p>
    <w:p>
      <w:pPr>
        <w:numPr>
          <w:ilvl w:val="0"/>
          <w:numId w:val="1013"/>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3"/>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3"/>
        </w:numPr>
      </w:pPr>
      <w:r>
        <w:t xml:space="preserve">Data Consumer parses the messages to extract the URL for the new Data Object (</w:t>
      </w:r>
      <w:r>
        <w:rPr>
          <w:b/>
        </w:rPr>
        <w:t xml:space="preserve">D</w:t>
      </w:r>
      <w:r>
        <w:t xml:space="preserve">) and downloads the file.</w:t>
      </w:r>
    </w:p>
    <w:p>
      <w:pPr>
        <w:pStyle w:val="FirstParagraph"/>
      </w:pPr>
      <w:r>
        <w:t xml:space="preserve">Note: In this example, the dataset is published as files that can be downloaded – but the same pattern can be used to advertise new data that is made available via a Web service API.</w:t>
      </w:r>
    </w:p>
    <w:p>
      <w:pPr>
        <w:pStyle w:val="Heading2"/>
      </w:pPr>
      <w:bookmarkStart w:id="53" w:name="X6b0e3c1b42508fec2e53f4c607ddef53a7bf0b9"/>
      <w:r>
        <w:t xml:space="preserve">Message distribution via Global Broker</w:t>
      </w:r>
      <w:bookmarkEnd w:id="53"/>
    </w:p>
    <w:p>
      <w:pPr>
        <w:pStyle w:val="FirstParagraph"/>
      </w:pPr>
      <w:r>
        <w:t xml:space="preserve">Here we add the Global Broker service.</w:t>
      </w:r>
    </w:p>
    <w:p>
      <w:pPr>
        <w:pStyle w:val="BodyText"/>
      </w:pPr>
      <w:r>
        <w:t xml:space="preserve">Note that the Global Broker operates two "channels": one for messages originating from NC or DCPCs, the second for messages from Global Cache instances. These are designated "O" and "GC" accordingly.</w:t>
      </w:r>
      <w:r>
        <w:t xml:space="preserve"> </w:t>
      </w:r>
      <w:r>
        <w:t xml:space="preserve">Figure 5 illustrates how messages are published from the NC/DCPC to the Global Broker.</w:t>
      </w:r>
    </w:p>
    <w:p>
      <w:pPr>
        <w:pStyle w:val="CaptionedFigure"/>
      </w:pPr>
      <w:r>
        <w:drawing>
          <wp:inline>
            <wp:extent cx="5334000" cy="3000375"/>
            <wp:effectExtent b="0" l="0" r="0" t="0"/>
            <wp:docPr descr="Message distribution via Global Broker - publishing messages from NC/DCPC" title="" id="1" name="Picture"/>
            <a:graphic>
              <a:graphicData uri="http://schemas.openxmlformats.org/drawingml/2006/picture">
                <pic:pic>
                  <pic:nvPicPr>
                    <pic:cNvPr descr="images/message-distribution-via-gb-publishing-from-nc-dcpc.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NC/DCPC</w:t>
      </w:r>
    </w:p>
    <w:p>
      <w:pPr>
        <w:numPr>
          <w:ilvl w:val="0"/>
          <w:numId w:val="1014"/>
        </w:numPr>
      </w:pPr>
      <w:r>
        <w:t xml:space="preserve">A[Pre-condition] Bootstrap the Global Broker with a config file that indicates (i) NC/DCPCs and Global Cache instances from which to re-publish messages, and (ii) connection details for at least two other Global Broker instances.</w:t>
      </w:r>
    </w:p>
    <w:p>
      <w:pPr>
        <w:numPr>
          <w:ilvl w:val="0"/>
          <w:numId w:val="1014"/>
        </w:numPr>
      </w:pPr>
      <w:r>
        <w:t xml:space="preserve">B[Precondition] Global Broker determines the MQ broker topics to subscribe to and subscribes to them.</w:t>
      </w:r>
    </w:p>
    <w:p>
      <w:pPr>
        <w:numPr>
          <w:ilvl w:val="0"/>
          <w:numId w:val="1014"/>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4"/>
        </w:numPr>
      </w:pPr>
      <w:r>
        <w:t xml:space="preserve">Message (</w:t>
      </w:r>
      <w:r>
        <w:rPr>
          <w:b/>
        </w:rPr>
        <w:t xml:space="preserve">m</w:t>
      </w:r>
      <w:r>
        <w:rPr>
          <w:vertAlign w:val="superscript"/>
          <w:b/>
        </w:rPr>
        <w:t xml:space="preserve">D</w:t>
      </w:r>
      <w:r>
        <w:t xml:space="preserve">) indicating availability of new data are pulled by the subscriber.</w:t>
      </w:r>
    </w:p>
    <w:p>
      <w:pPr>
        <w:numPr>
          <w:ilvl w:val="0"/>
          <w:numId w:val="1014"/>
        </w:numPr>
      </w:pPr>
      <w:r>
        <w:t xml:space="preserve">Message (</w:t>
      </w:r>
      <w:r>
        <w:rPr>
          <w:b/>
        </w:rPr>
        <w:t xml:space="preserve">m</w:t>
      </w:r>
      <w:r>
        <w:rPr>
          <w:vertAlign w:val="superscript"/>
          <w:b/>
        </w:rPr>
        <w:t xml:space="preserve">D</w:t>
      </w:r>
      <w:r>
        <w:t xml:space="preserve">) is assessed using "anti-loop" logic to avoid resending duplicate messages. If approved, it is added to the appropriate MQ topic of the "originating centre" channel of Global Broker.</w:t>
      </w:r>
    </w:p>
    <w:p>
      <w:pPr>
        <w:numPr>
          <w:ilvl w:val="0"/>
          <w:numId w:val="1014"/>
        </w:numPr>
      </w:pPr>
      <w:r>
        <w:t xml:space="preserve">Message (</w:t>
      </w:r>
      <w:r>
        <w:rPr>
          <w:b/>
        </w:rPr>
        <w:t xml:space="preserve">m</w:t>
      </w:r>
      <w:r>
        <w:rPr>
          <w:vertAlign w:val="superscript"/>
          <w:b/>
        </w:rPr>
        <w:t xml:space="preserve">D</w:t>
      </w:r>
      <w:r>
        <w:t xml:space="preserve">) is validated against the agreed message format (insert reference). If the message is not compliant, it is discarded.</w:t>
      </w:r>
    </w:p>
    <w:p>
      <w:pPr>
        <w:pStyle w:val="FirstParagraph"/>
      </w:pPr>
      <w:r>
        <w:t xml:space="preserve">Figure 6 illustrates how messages are propagated to other Global Broker instances.</w:t>
      </w:r>
    </w:p>
    <w:p>
      <w:pPr>
        <w:pStyle w:val="CaptionedFigure"/>
      </w:pPr>
      <w:r>
        <w:drawing>
          <wp:inline>
            <wp:extent cx="5334000" cy="3000375"/>
            <wp:effectExtent b="0" l="0" r="0" t="0"/>
            <wp:docPr descr="Message distribution via Global Broker – publishing messages from other Global Brokers" title="" id="1" name="Picture"/>
            <a:graphic>
              <a:graphicData uri="http://schemas.openxmlformats.org/drawingml/2006/picture">
                <pic:pic>
                  <pic:nvPicPr>
                    <pic:cNvPr descr="images/message-distribution-via-gb-publishing-from-other-gb.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other Global Brokers</w:t>
      </w:r>
    </w:p>
    <w:p>
      <w:pPr>
        <w:numPr>
          <w:ilvl w:val="0"/>
          <w:numId w:val="1015"/>
        </w:numPr>
      </w:pPr>
      <w:r>
        <w:t xml:space="preserve">A[Precondition] Global Broker instances subscribe to MQ topics from at least 2 other Global Broker instances. These are not necessarily bilateral relationships.</w:t>
      </w:r>
    </w:p>
    <w:p>
      <w:pPr>
        <w:numPr>
          <w:ilvl w:val="0"/>
          <w:numId w:val="1015"/>
        </w:numPr>
      </w:pPr>
      <w:r>
        <w:t xml:space="preserve">B[Precondition] Message (</w:t>
      </w:r>
      <w:r>
        <w:rPr>
          <w:b/>
        </w:rPr>
        <w:t xml:space="preserve">m</w:t>
      </w:r>
      <w:r>
        <w:rPr>
          <w:vertAlign w:val="superscript"/>
          <w:b/>
        </w:rPr>
        <w:t xml:space="preserve">D</w:t>
      </w:r>
      <w:r>
        <w:t xml:space="preserve">) already (re-)published by Global Broker #1.</w:t>
      </w:r>
    </w:p>
    <w:p>
      <w:pPr>
        <w:numPr>
          <w:ilvl w:val="0"/>
          <w:numId w:val="1015"/>
        </w:numPr>
      </w:pPr>
      <w:r>
        <w:t xml:space="preserve">Message (</w:t>
      </w:r>
      <w:r>
        <w:rPr>
          <w:b/>
        </w:rPr>
        <w:t xml:space="preserve">m</w:t>
      </w:r>
      <w:r>
        <w:rPr>
          <w:vertAlign w:val="superscript"/>
          <w:b/>
        </w:rPr>
        <w:t xml:space="preserve">D</w:t>
      </w:r>
      <w:r>
        <w:t xml:space="preserve">) is pulled by subscriber: Global Broker #2. This is not a duplicate message, so GB#2 republishes the message.</w:t>
      </w:r>
    </w:p>
    <w:p>
      <w:pPr>
        <w:numPr>
          <w:ilvl w:val="0"/>
          <w:numId w:val="1015"/>
        </w:numPr>
      </w:pPr>
      <w:r>
        <w:t xml:space="preserve">Message (</w:t>
      </w:r>
      <w:r>
        <w:rPr>
          <w:b/>
        </w:rPr>
        <w:t xml:space="preserve">m</w:t>
      </w:r>
      <w:r>
        <w:rPr>
          <w:vertAlign w:val="superscript"/>
          <w:b/>
        </w:rPr>
        <w:t xml:space="preserve">D</w:t>
      </w:r>
      <w:r>
        <w:t xml:space="preserve">) is pulled by subscribers: Global Broker instances #1, #3 and #4. GB#3 and GB#4 have not seen this message before, so they republish the message. However, GB#1 identifies the message as a duplicate and discards it.</w:t>
      </w:r>
    </w:p>
    <w:p>
      <w:pPr>
        <w:numPr>
          <w:ilvl w:val="0"/>
          <w:numId w:val="1015"/>
        </w:numPr>
      </w:pPr>
      <w:r>
        <w:t xml:space="preserve">Message (</w:t>
      </w:r>
      <w:r>
        <w:rPr>
          <w:b/>
        </w:rPr>
        <w:t xml:space="preserve">m</w:t>
      </w:r>
      <w:r>
        <w:rPr>
          <w:vertAlign w:val="superscript"/>
          <w:b/>
        </w:rPr>
        <w:t xml:space="preserve">D</w:t>
      </w:r>
      <w:r>
        <w:t xml:space="preserve">) is made available to subscribers from Global Broker instances #3 and #4. All Global Broker instances already have a copy of the message, so the new copy of the message is discarded thereby avoiding publication of duplicate messages.</w:t>
      </w:r>
    </w:p>
    <w:p>
      <w:pPr>
        <w:pStyle w:val="Heading2"/>
      </w:pPr>
      <w:bookmarkStart w:id="56" w:name="X3f56694607e0ff7f416e0f6cb9863768bc4d3a9"/>
      <w:r>
        <w:t xml:space="preserve">Data distribution via Global cache</w:t>
      </w:r>
      <w:bookmarkEnd w:id="56"/>
    </w:p>
    <w:p>
      <w:pPr>
        <w:pStyle w:val="FirstParagraph"/>
      </w:pPr>
      <w:r>
        <w:t xml:space="preserve">Here we add the Global Cache service.</w:t>
      </w:r>
    </w:p>
    <w:p>
      <w:pPr>
        <w:pStyle w:val="BodyText"/>
      </w:pPr>
      <w:r>
        <w:t xml:space="preserve">Figure 7 illustrates how "data availability" notification messages are published by a Global Cache instance once it has downloaded a copy of a data object from an NC or DCPC.</w:t>
      </w:r>
    </w:p>
    <w:p>
      <w:pPr>
        <w:pStyle w:val="CaptionedFigure"/>
      </w:pPr>
      <w:r>
        <w:drawing>
          <wp:inline>
            <wp:extent cx="5334000" cy="2989165"/>
            <wp:effectExtent b="0" l="0" r="0" t="0"/>
            <wp:docPr descr="Data distribution via Global Cache – publishing &quot;data availability&quot; messages" title="" id="1" name="Picture"/>
            <a:graphic>
              <a:graphicData uri="http://schemas.openxmlformats.org/drawingml/2006/picture">
                <pic:pic>
                  <pic:nvPicPr>
                    <pic:cNvPr descr="images/data-distribution-via-gb-publishing-data-availability-messages.png" id="0" name="Picture"/>
                    <pic:cNvPicPr>
                      <a:picLocks noChangeArrowheads="1" noChangeAspect="1"/>
                    </pic:cNvPicPr>
                  </pic:nvPicPr>
                  <pic:blipFill>
                    <a:blip r:embed="rId57"/>
                    <a:stretch>
                      <a:fillRect/>
                    </a:stretch>
                  </pic:blipFill>
                  <pic:spPr bwMode="auto">
                    <a:xfrm>
                      <a:off x="0" y="0"/>
                      <a:ext cx="5334000" cy="2989165"/>
                    </a:xfrm>
                    <a:prstGeom prst="rect">
                      <a:avLst/>
                    </a:prstGeom>
                    <a:noFill/>
                    <a:ln w="9525">
                      <a:noFill/>
                      <a:headEnd/>
                      <a:tailEnd/>
                    </a:ln>
                  </pic:spPr>
                </pic:pic>
              </a:graphicData>
            </a:graphic>
          </wp:inline>
        </w:drawing>
      </w:r>
    </w:p>
    <w:p>
      <w:pPr>
        <w:pStyle w:val="ImageCaption"/>
      </w:pPr>
      <w:r>
        <w:t xml:space="preserve">Data distribution via Global Cache – publishing "data availability" messages</w:t>
      </w:r>
    </w:p>
    <w:p>
      <w:pPr>
        <w:numPr>
          <w:ilvl w:val="0"/>
          <w:numId w:val="1016"/>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6"/>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6"/>
        </w:numPr>
      </w:pPr>
      <w:r>
        <w:t xml:space="preserve">C[Pre-condition] Global Broker determines the MQ broker topics to subscribe to and subscribes to them.</w:t>
      </w:r>
    </w:p>
    <w:p>
      <w:pPr>
        <w:numPr>
          <w:ilvl w:val="0"/>
          <w:numId w:val="1016"/>
        </w:numPr>
      </w:pPr>
      <w:r>
        <w:t xml:space="preserve">D[Pre-condition] Global Cache determines the MQ broker topics to subscribe to and subscribes to them.</w:t>
      </w:r>
    </w:p>
    <w:p>
      <w:pPr>
        <w:numPr>
          <w:ilvl w:val="0"/>
          <w:numId w:val="1016"/>
        </w:numPr>
      </w:pPr>
      <w:r>
        <w:t xml:space="preserve">As the dataset is produced Data Objects (</w:t>
      </w:r>
      <w:r>
        <w:rPr>
          <w:b/>
        </w:rPr>
        <w:t xml:space="preserve">D</w:t>
      </w:r>
      <w:r>
        <w:t xml:space="preserve">)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Global Cache parses the message and downloads the Data Object (</w:t>
      </w:r>
      <w:r>
        <w:rPr>
          <w:b/>
        </w:rPr>
        <w:t xml:space="preserve">D</w:t>
      </w:r>
      <w:r>
        <w:t xml:space="preserve">).</w:t>
      </w:r>
    </w:p>
    <w:p>
      <w:pPr>
        <w:numPr>
          <w:ilvl w:val="0"/>
          <w:numId w:val="1016"/>
        </w:numPr>
      </w:pPr>
      <w:r>
        <w:t xml:space="preserve">Global Cache adds Data Object (</w:t>
      </w:r>
      <w:r>
        <w:rPr>
          <w:b/>
        </w:rPr>
        <w:t xml:space="preserve">D</w:t>
      </w:r>
      <w:r>
        <w:t xml:space="preserve">) to its data server and publishes a "data availability" message (</w:t>
      </w:r>
      <w:r>
        <w:rPr>
          <w:b/>
        </w:rPr>
        <w:t xml:space="preserve">m</w:t>
      </w:r>
      <w:r>
        <w:rPr>
          <w:vertAlign w:val="superscript"/>
          <w:b/>
        </w:rPr>
        <w:t xml:space="preserve">D</w:t>
      </w:r>
      <w:r>
        <w:t xml:space="preserve">) that advertises data availability from the Global Cache instance.</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 – this time on the Global Cache channel.</w:t>
      </w:r>
    </w:p>
    <w:p>
      <w:pPr>
        <w:numPr>
          <w:ilvl w:val="0"/>
          <w:numId w:val="1016"/>
        </w:numPr>
      </w:pPr>
      <w:r>
        <w:t xml:space="preserve">Messages (mD, mD) are pushed to other Global Broker instances and re-published there.</w:t>
      </w:r>
    </w:p>
    <w:p>
      <w:pPr>
        <w:pStyle w:val="FirstParagraph"/>
      </w:pPr>
      <w:r>
        <w:t xml:space="preserve">Figure 8 illustrates how data propagates between Global Cache instances.</w:t>
      </w:r>
    </w:p>
    <w:p>
      <w:pPr>
        <w:numPr>
          <w:ilvl w:val="0"/>
          <w:numId w:val="1017"/>
        </w:numPr>
      </w:pPr>
      <w:r>
        <w:t xml:space="preserve">Data distribution via Global Cache – propagating data between Global Cache instances</w:t>
      </w:r>
      <w:r>
        <w:t xml:space="preserve"> </w:t>
      </w:r>
      <w:r>
        <w:t xml:space="preserve">image::images/data-distribution-via-gb-propagating-data-between-gbs.png[Data distribution via Global Cache – propagating data between Global Cache instances]</w:t>
      </w:r>
    </w:p>
    <w:p>
      <w:pPr>
        <w:numPr>
          <w:ilvl w:val="0"/>
          <w:numId w:val="1017"/>
        </w:numPr>
      </w:pPr>
      <w:r>
        <w:t xml:space="preserve">A[Pre-condition] Bootstrap the Global Caches with a configuration that indicates connection details for at least one Global Broker instance and the list of datasets that need to be cached.</w:t>
      </w:r>
    </w:p>
    <w:p>
      <w:pPr>
        <w:numPr>
          <w:ilvl w:val="0"/>
          <w:numId w:val="1017"/>
        </w:numPr>
      </w:pPr>
      <w:r>
        <w:t xml:space="preserve">B[Pre-condition] Global Cache determines the MQ broker topics to subscribe to and subscribes to them.</w:t>
      </w:r>
    </w:p>
    <w:p>
      <w:pPr>
        <w:numPr>
          <w:ilvl w:val="0"/>
          <w:numId w:val="1017"/>
        </w:numPr>
      </w:pPr>
      <w:r>
        <w:t xml:space="preserve">C[Pre-condition] NC/DCPC has published Data Object (</w:t>
      </w:r>
      <w:r>
        <w:rPr>
          <w:b/>
        </w:rPr>
        <w:t xml:space="preserve">D</w:t>
      </w:r>
      <w:r>
        <w:t xml:space="preserve">) and messages (</w:t>
      </w:r>
      <w:r>
        <w:rPr>
          <w:b/>
        </w:rPr>
        <w:t xml:space="preserve">m</w:t>
      </w:r>
      <w:r>
        <w:rPr>
          <w:vertAlign w:val="superscript"/>
          <w:b/>
        </w:rPr>
        <w:t xml:space="preserve">D</w:t>
      </w:r>
      <w:r>
        <w:t xml:space="preserve">) advertising availability of that Data Object.</w:t>
      </w:r>
    </w:p>
    <w:p>
      <w:pPr>
        <w:numPr>
          <w:ilvl w:val="0"/>
          <w:numId w:val="1017"/>
        </w:numPr>
      </w:pPr>
      <w:r>
        <w:t xml:space="preserve">D[Pre-condition] Global Cache #1 has downloaded Data Object (</w:t>
      </w:r>
      <w:r>
        <w:rPr>
          <w:b/>
        </w:rPr>
        <w:t xml:space="preserve">D</w:t>
      </w:r>
      <w:r>
        <w:t xml:space="preserve">) and published "data availability" message (</w:t>
      </w:r>
      <w:r>
        <w:rPr>
          <w:b/>
        </w:rPr>
        <w:t xml:space="preserve">m</w:t>
      </w:r>
      <w:r>
        <w:rPr>
          <w:vertAlign w:val="superscript"/>
          <w:b/>
        </w:rPr>
        <w:t xml:space="preserve">D</w:t>
      </w:r>
      <w:r>
        <w:t xml:space="preserve">).</w:t>
      </w:r>
    </w:p>
    <w:p>
      <w:pPr>
        <w:numPr>
          <w:ilvl w:val="0"/>
          <w:numId w:val="1017"/>
        </w:numPr>
      </w:pPr>
      <w:r>
        <w:t xml:space="preserve">E[Pre-condition] Global Broker has re-published "data availability" messages from NC/DCPC and Global Cache instance #1 (mD, mD).</w:t>
      </w:r>
    </w:p>
    <w:p>
      <w:pPr>
        <w:numPr>
          <w:ilvl w:val="0"/>
          <w:numId w:val="1017"/>
        </w:numPr>
      </w:pPr>
      <w:r>
        <w:t xml:space="preserve">Global Cache #2 subscribes to both channels on the Global Broker. Both messages advertising Data Object (mD, mD) are pushed to GC#2. Message (</w:t>
      </w:r>
      <w:r>
        <w:rPr>
          <w:b/>
        </w:rPr>
        <w:t xml:space="preserve">m</w:t>
      </w:r>
      <w:r>
        <w:rPr>
          <w:vertAlign w:val="superscript"/>
          <w:b/>
        </w:rPr>
        <w:t xml:space="preserve">D</w:t>
      </w:r>
      <w:r>
        <w:t xml:space="preserve">) arrives first, so message (</w:t>
      </w:r>
      <w:r>
        <w:rPr>
          <w:b/>
        </w:rPr>
        <w:t xml:space="preserve">m</w:t>
      </w:r>
      <w:r>
        <w:rPr>
          <w:vertAlign w:val="superscript"/>
          <w:b/>
        </w:rPr>
        <w:t xml:space="preserve">D</w:t>
      </w:r>
      <w:r>
        <w:t xml:space="preserve">) is discarded as a duplicate.</w:t>
      </w:r>
    </w:p>
    <w:p>
      <w:pPr>
        <w:numPr>
          <w:ilvl w:val="0"/>
          <w:numId w:val="1017"/>
        </w:numPr>
      </w:pPr>
      <w:r>
        <w:t xml:space="preserve">Global Cache #2 parses the message and downloads the Data Object (</w:t>
      </w:r>
      <w:r>
        <w:rPr>
          <w:b/>
        </w:rPr>
        <w:t xml:space="preserve">D</w:t>
      </w:r>
      <w:r>
        <w:t xml:space="preserve">) from GC#1.</w:t>
      </w:r>
    </w:p>
    <w:p>
      <w:pPr>
        <w:numPr>
          <w:ilvl w:val="0"/>
          <w:numId w:val="1017"/>
        </w:numPr>
      </w:pPr>
      <w:r>
        <w:t xml:space="preserve">GC#2 adds Data Object (</w:t>
      </w:r>
      <w:r>
        <w:rPr>
          <w:b/>
        </w:rPr>
        <w:t xml:space="preserve">D</w:t>
      </w:r>
      <w:r>
        <w:t xml:space="preserve">) to its data server and publishes a "data availability" message (m2) that advertises data availability from GC#2.</w:t>
      </w:r>
    </w:p>
    <w:p>
      <w:pPr>
        <w:numPr>
          <w:ilvl w:val="0"/>
          <w:numId w:val="1017"/>
        </w:numPr>
      </w:pPr>
      <w:r>
        <w:t xml:space="preserve">Global Broker also subscribes to GC#2 (details not shown for brevity). New "data availability" message (m2) is pushed to the Global Broker and added to the "Global Cache" channel. It is not a duplicate of message (</w:t>
      </w:r>
      <w:r>
        <w:rPr>
          <w:b/>
        </w:rPr>
        <w:t xml:space="preserve">m</w:t>
      </w:r>
      <w:r>
        <w:rPr>
          <w:vertAlign w:val="superscript"/>
          <w:b/>
        </w:rPr>
        <w:t xml:space="preserve">D</w:t>
      </w:r>
      <w:r>
        <w:t xml:space="preserve">) because it refers to a different download location – GC#2 not GC#1. Both messages (mD, m2) are published to the same topic on the Global Cache channel, so subscribers to that topic will receive multiple messages.</w:t>
      </w:r>
    </w:p>
    <w:p>
      <w:pPr>
        <w:numPr>
          <w:ilvl w:val="0"/>
          <w:numId w:val="1017"/>
        </w:numPr>
      </w:pPr>
      <w:r>
        <w:t xml:space="preserve">Messages (mD, mD, m2) are pushed to other Global Broker instances and re-published there.</w:t>
      </w:r>
    </w:p>
    <w:p>
      <w:pPr>
        <w:pStyle w:val="Heading2"/>
      </w:pPr>
      <w:bookmarkStart w:id="58" w:name="Xf97ed149287edaa5f0d126c46bb25a46fed24d7"/>
      <w:r>
        <w:t xml:space="preserve">Populating the Global Catalogue</w:t>
      </w:r>
      <w:bookmarkEnd w:id="58"/>
    </w:p>
    <w:p>
      <w:pPr>
        <w:pStyle w:val="FirstParagraph"/>
      </w:pPr>
      <w:r>
        <w:t xml:space="preserve">Here we add the Global Discovery Catalogue service.</w:t>
      </w:r>
    </w:p>
    <w:p>
      <w:pPr>
        <w:pStyle w:val="BodyText"/>
      </w:pPr>
      <w:r>
        <w:t xml:space="preserve">Figure 9 illustrates how discovery metadata records propagate from the NC or DCPC via a Global Cache instance to the Global Discovery Catalogue.</w:t>
      </w:r>
    </w:p>
    <w:p>
      <w:pPr>
        <w:pStyle w:val="CaptionedFigure"/>
      </w:pPr>
      <w:r>
        <w:drawing>
          <wp:inline>
            <wp:extent cx="5334000" cy="3000375"/>
            <wp:effectExtent b="0" l="0" r="0" t="0"/>
            <wp:docPr descr="Populating the Global Catalogue with discovery metadata records" title="" id="1" name="Picture"/>
            <a:graphic>
              <a:graphicData uri="http://schemas.openxmlformats.org/drawingml/2006/picture">
                <pic:pic>
                  <pic:nvPicPr>
                    <pic:cNvPr descr="images/populating-gdc-records.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Populating the Global Catalogue with discovery metadata records</w:t>
      </w:r>
    </w:p>
    <w:p>
      <w:pPr>
        <w:numPr>
          <w:ilvl w:val="0"/>
          <w:numId w:val="1018"/>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8"/>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8"/>
        </w:numPr>
      </w:pPr>
      <w:r>
        <w:t xml:space="preserve">C[Pre-condition] Bootstrap the Global Catalogue with a configuration that indicates connection details for at least one Global Broker instance.</w:t>
      </w:r>
    </w:p>
    <w:p>
      <w:pPr>
        <w:numPr>
          <w:ilvl w:val="0"/>
          <w:numId w:val="1018"/>
        </w:numPr>
      </w:pPr>
      <w:r>
        <w:t xml:space="preserve">D[Pre-condition] Global Broker, Global Cache, and Global Catalogue determine MQ broker topics to subscribe to and subscribes to them. Global Catalogue subscribes only to the "Global Cache" channel.</w:t>
      </w:r>
    </w:p>
    <w:p>
      <w:pPr>
        <w:numPr>
          <w:ilvl w:val="0"/>
          <w:numId w:val="1018"/>
        </w:numPr>
      </w:pPr>
      <w:r>
        <w:t xml:space="preserve">NC/DCPC publishes a discovery metadata record ® to their local catalogue describing the dataset they are sharing.</w:t>
      </w:r>
    </w:p>
    <w:p>
      <w:pPr>
        <w:numPr>
          <w:ilvl w:val="0"/>
          <w:numId w:val="1018"/>
        </w:numPr>
      </w:pPr>
      <w:r>
        <w:t xml:space="preserve">NC/DCPC advertises the availability of this metadata record by publishing a message (</w:t>
      </w:r>
      <w:r>
        <w:rPr>
          <w:b/>
        </w:rPr>
        <w:t xml:space="preserve">m</w:t>
      </w:r>
      <w:r>
        <w:rPr>
          <w:vertAlign w:val="superscript"/>
          <w:b/>
        </w:rPr>
        <w:t xml:space="preserve">R</w:t>
      </w:r>
      <w:r>
        <w:t xml:space="preserve">) to the ‘metadata’ topic on the local MQ broker.</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Broker. The Global Broker republishes the message on the metadata topic of the "Originating Centre"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Cache.</w:t>
      </w:r>
    </w:p>
    <w:p>
      <w:pPr>
        <w:numPr>
          <w:ilvl w:val="0"/>
          <w:numId w:val="1018"/>
        </w:numPr>
      </w:pPr>
      <w:r>
        <w:t xml:space="preserve">Global Cache parses the message and downloads the discovery metadata record ®.</w:t>
      </w:r>
    </w:p>
    <w:p>
      <w:pPr>
        <w:numPr>
          <w:ilvl w:val="0"/>
          <w:numId w:val="1018"/>
        </w:numPr>
      </w:pPr>
      <w:r>
        <w:t xml:space="preserve">Global Cache adds discovery metadata record ® to its data server and publishes a message (</w:t>
      </w:r>
      <w:r>
        <w:rPr>
          <w:b/>
        </w:rPr>
        <w:t xml:space="preserve">m</w:t>
      </w:r>
      <w:r>
        <w:rPr>
          <w:vertAlign w:val="superscript"/>
          <w:b/>
        </w:rPr>
        <w:t xml:space="preserve">R</w:t>
      </w:r>
      <w:r>
        <w:t xml:space="preserve">) that advertises availability of the record from the Global Cache instance.</w:t>
      </w:r>
    </w:p>
    <w:p>
      <w:pPr>
        <w:numPr>
          <w:ilvl w:val="0"/>
          <w:numId w:val="1018"/>
        </w:numPr>
      </w:pPr>
      <w:r>
        <w:t xml:space="preserve">Message (</w:t>
      </w:r>
      <w:r>
        <w:rPr>
          <w:b/>
        </w:rPr>
        <w:t xml:space="preserve">m</w:t>
      </w:r>
      <w:r>
        <w:rPr>
          <w:vertAlign w:val="superscript"/>
          <w:b/>
        </w:rPr>
        <w:t xml:space="preserve">R</w:t>
      </w:r>
      <w:r>
        <w:t xml:space="preserve">) indicating availability of new metadata at the Global Cache is pushed to the Global Broker. The Global Broker republishes the message on the metadata topic of the "Global Cache"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at the Global Cache is pushed to the Global Catalogue.</w:t>
      </w:r>
    </w:p>
    <w:p>
      <w:pPr>
        <w:numPr>
          <w:ilvl w:val="0"/>
          <w:numId w:val="1018"/>
        </w:numPr>
      </w:pPr>
      <w:r>
        <w:t xml:space="preserve">Global Catalogue parses the message (</w:t>
      </w:r>
      <w:r>
        <w:rPr>
          <w:b/>
        </w:rPr>
        <w:t xml:space="preserve">m</w:t>
      </w:r>
      <w:r>
        <w:rPr>
          <w:vertAlign w:val="superscript"/>
          <w:b/>
        </w:rPr>
        <w:t xml:space="preserve">R</w:t>
      </w:r>
      <w:r>
        <w:t xml:space="preserve">) indicating the availability of new metadata, asserts that this is not a duplicate message, and downloads the discovery metadata record ® from the Global Cache. It does not matter which Global Cache instance the record is downloaded from – a Global Cache will only publish a message (</w:t>
      </w:r>
      <w:r>
        <w:rPr>
          <w:b/>
        </w:rPr>
        <w:t xml:space="preserve">m</w:t>
      </w:r>
      <w:r>
        <w:rPr>
          <w:vertAlign w:val="superscript"/>
          <w:b/>
        </w:rPr>
        <w:t xml:space="preserve">R</w:t>
      </w:r>
      <w:r>
        <w:t xml:space="preserve">) when they hold a copy of record ®.</w:t>
      </w:r>
    </w:p>
    <w:p>
      <w:pPr>
        <w:numPr>
          <w:ilvl w:val="0"/>
          <w:numId w:val="1018"/>
        </w:numPr>
      </w:pPr>
      <w:r>
        <w:t xml:space="preserve">Global Catalogue creates a copy of the original record (new record is R*) and adds links indicating where Data Consumers can subscribe for updates to this dataset at each Global Broker instance. Global Catalogue adds record R* to the catalogue.</w:t>
      </w:r>
    </w:p>
    <w:p>
      <w:pPr>
        <w:pStyle w:val="Heading2"/>
      </w:pPr>
      <w:bookmarkStart w:id="60" w:name="Xde053c85bc27f5a5db753eb9c2db8f29ee3a421"/>
      <w:r>
        <w:t xml:space="preserve">Data distribution including the Global Services</w:t>
      </w:r>
      <w:bookmarkEnd w:id="60"/>
    </w:p>
    <w:p>
      <w:pPr>
        <w:pStyle w:val="FirstParagraph"/>
      </w:pPr>
      <w:r>
        <w:t xml:space="preserve">Here we bring all the components together to show how data is distributed from NCs or DCPCs to Data Consumers in WIS2. See Figure 10.</w:t>
      </w:r>
    </w:p>
    <w:p>
      <w:pPr>
        <w:pStyle w:val="CaptionedFigure"/>
      </w:pPr>
      <w:r>
        <w:drawing>
          <wp:inline>
            <wp:extent cx="5334000" cy="3002582"/>
            <wp:effectExtent b="0" l="0" r="0" t="0"/>
            <wp:docPr descr="Data distribution with Global Services" title="" id="1" name="Picture"/>
            <a:graphic>
              <a:graphicData uri="http://schemas.openxmlformats.org/drawingml/2006/picture">
                <pic:pic>
                  <pic:nvPicPr>
                    <pic:cNvPr descr="images/data-distribution-with-global-services.png" id="0" name="Picture"/>
                    <pic:cNvPicPr>
                      <a:picLocks noChangeArrowheads="1" noChangeAspect="1"/>
                    </pic:cNvPicPr>
                  </pic:nvPicPr>
                  <pic:blipFill>
                    <a:blip r:embed="rId61"/>
                    <a:stretch>
                      <a:fillRect/>
                    </a:stretch>
                  </pic:blipFill>
                  <pic:spPr bwMode="auto">
                    <a:xfrm>
                      <a:off x="0" y="0"/>
                      <a:ext cx="5334000" cy="3002582"/>
                    </a:xfrm>
                    <a:prstGeom prst="rect">
                      <a:avLst/>
                    </a:prstGeom>
                    <a:noFill/>
                    <a:ln w="9525">
                      <a:noFill/>
                      <a:headEnd/>
                      <a:tailEnd/>
                    </a:ln>
                  </pic:spPr>
                </pic:pic>
              </a:graphicData>
            </a:graphic>
          </wp:inline>
        </w:drawing>
      </w:r>
    </w:p>
    <w:p>
      <w:pPr>
        <w:pStyle w:val="ImageCaption"/>
      </w:pPr>
      <w:r>
        <w:t xml:space="preserve">Data distribution with Global Services</w:t>
      </w:r>
    </w:p>
    <w:p>
      <w:pPr>
        <w:pStyle w:val="BodyText"/>
      </w:pPr>
      <w:r>
        <w:t xml:space="preserve">Pre-conditions:</w:t>
      </w:r>
    </w:p>
    <w:p>
      <w:pPr>
        <w:numPr>
          <w:ilvl w:val="0"/>
          <w:numId w:val="1019"/>
        </w:numPr>
      </w:pPr>
      <w:r>
        <w:t xml:space="preserve">WIS2 Global Service Components are correctly configured and operating.</w:t>
      </w:r>
    </w:p>
    <w:p>
      <w:pPr>
        <w:numPr>
          <w:ilvl w:val="0"/>
          <w:numId w:val="1019"/>
        </w:numPr>
      </w:pPr>
      <w:r>
        <w:t xml:space="preserve">NC/DCPC has published a discovery metadata record ® to their local catalogue describing the dataset they are sharing. This record has propagated to the Global Catalogue, where an amended metadata record (R*) is published. Record (R*) includes additional actionable links to Global Broker instances where Data Consumers can subscribe for updates to the dataset.</w:t>
      </w:r>
    </w:p>
    <w:p>
      <w:pPr>
        <w:numPr>
          <w:ilvl w:val="1"/>
          <w:numId w:val="1020"/>
        </w:numPr>
      </w:pPr>
      <w:r>
        <w:t xml:space="preserve">Data Consumer searches/browses the Global Catalogue and discovers a dataset that they need. Discovery metadata record (R*) provides links indicating how and where to download the data set and/or subscribe to updates.</w:t>
      </w:r>
    </w:p>
    <w:p>
      <w:pPr>
        <w:numPr>
          <w:ilvl w:val="2"/>
          <w:numId w:val="1021"/>
        </w:numPr>
      </w:pPr>
      <w:r>
        <w:t xml:space="preserve">Download from NC/DCPC.</w:t>
      </w:r>
    </w:p>
    <w:p>
      <w:pPr>
        <w:numPr>
          <w:ilvl w:val="2"/>
          <w:numId w:val="1021"/>
        </w:numPr>
      </w:pPr>
      <w:r>
        <w:t xml:space="preserve">Subscribe to updates from NC/DCPC local MQ broker.</w:t>
      </w:r>
    </w:p>
    <w:p>
      <w:pPr>
        <w:numPr>
          <w:ilvl w:val="2"/>
          <w:numId w:val="1021"/>
        </w:numPr>
      </w:pPr>
      <w:r>
        <w:t xml:space="preserve">Subscribe to updates from Global Broker’s "Originating Centre" channel.</w:t>
      </w:r>
    </w:p>
    <w:p>
      <w:pPr>
        <w:numPr>
          <w:ilvl w:val="2"/>
          <w:numId w:val="1021"/>
        </w:numPr>
      </w:pPr>
      <w:r>
        <w:t xml:space="preserve">Subscribe to updates from Global Broker’s "Global Cache" channel.</w:t>
      </w:r>
    </w:p>
    <w:p>
      <w:pPr>
        <w:numPr>
          <w:ilvl w:val="1"/>
          <w:numId w:val="1020"/>
        </w:numPr>
      </w:pPr>
      <w:r>
        <w:t xml:space="preserve">Data Consumer wants to download Data Objects from the Global Cache, so decides to subscribe to dataset updates from the Global Broker’s "Global Cache" channel.</w:t>
      </w:r>
    </w:p>
    <w:p>
      <w:pPr>
        <w:numPr>
          <w:ilvl w:val="1"/>
          <w:numId w:val="1020"/>
        </w:numPr>
      </w:pPr>
      <w:r>
        <w:t xml:space="preserve">[Data Object publication and propagation to Global Cache instances]</w:t>
      </w:r>
    </w:p>
    <w:p>
      <w:pPr>
        <w:numPr>
          <w:ilvl w:val="0"/>
          <w:numId w:val="1019"/>
        </w:numPr>
      </w:pPr>
      <w:r>
        <w:t xml:space="preserve">NC/DCPC has published Data Object (</w:t>
      </w:r>
      <w:r>
        <w:rPr>
          <w:b/>
        </w:rPr>
        <w:t xml:space="preserve">D</w:t>
      </w:r>
      <w:r>
        <w:t xml:space="preserve">) as part of their dataset. Data Object (</w:t>
      </w:r>
      <w:r>
        <w:rPr>
          <w:b/>
        </w:rPr>
        <w:t xml:space="preserve">D</w:t>
      </w:r>
      <w:r>
        <w:t xml:space="preserve">) is propagated to Global Cache #1 and Global Cache #2.</w:t>
      </w:r>
    </w:p>
    <w:p>
      <w:pPr>
        <w:numPr>
          <w:ilvl w:val="0"/>
          <w:numId w:val="1019"/>
        </w:numPr>
      </w:pPr>
      <w:r>
        <w:t xml:space="preserve">NC/DCPC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GC#1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#2 has published a message (m2) advertising availability of Data Object (</w:t>
      </w:r>
      <w:r>
        <w:rPr>
          <w:b/>
        </w:rPr>
        <w:t xml:space="preserve">D</w:t>
      </w:r>
      <w:r>
        <w:t xml:space="preserve">).</w:t>
      </w:r>
    </w:p>
    <w:p>
      <w:pPr>
        <w:numPr>
          <w:ilvl w:val="0"/>
          <w:numId w:val="1019"/>
        </w:numPr>
      </w:pPr>
      <w:r>
        <w:t xml:space="preserve">Global Broker has republished message (</w:t>
      </w:r>
      <w:r>
        <w:rPr>
          <w:b/>
        </w:rPr>
        <w:t xml:space="preserve">m</w:t>
      </w:r>
      <w:r>
        <w:rPr>
          <w:vertAlign w:val="superscript"/>
          <w:b/>
        </w:rPr>
        <w:t xml:space="preserve">D</w:t>
      </w:r>
      <w:r>
        <w:t xml:space="preserve">) on its "Originating Centre" channel, and messages (mD, m2) on its "Global Cache" channel.</w:t>
      </w:r>
    </w:p>
    <w:p>
      <w:pPr>
        <w:numPr>
          <w:ilvl w:val="1"/>
          <w:numId w:val="1022"/>
        </w:numPr>
      </w:pPr>
      <w:r>
        <w:t xml:space="preserve">Messages (mD, m2) are pushed to the subscriber. Message (</w:t>
      </w:r>
      <w:r>
        <w:rPr>
          <w:b/>
        </w:rPr>
        <w:t xml:space="preserve">m</w:t>
      </w:r>
      <w:r>
        <w:rPr>
          <w:vertAlign w:val="superscript"/>
          <w:b/>
        </w:rPr>
        <w:t xml:space="preserve">D</w:t>
      </w:r>
      <w:r>
        <w:t xml:space="preserve">) arrives second, so it is discarded.</w:t>
      </w:r>
    </w:p>
    <w:p>
      <w:pPr>
        <w:numPr>
          <w:ilvl w:val="1"/>
          <w:numId w:val="1022"/>
        </w:numPr>
      </w:pPr>
      <w:r>
        <w:t xml:space="preserve">Data Consumer parses the message (m2) to extract the URL for the new Data Object (</w:t>
      </w:r>
      <w:r>
        <w:rPr>
          <w:b/>
        </w:rPr>
        <w:t xml:space="preserve">D</w:t>
      </w:r>
      <w:r>
        <w:t xml:space="preserve">) hosted on GC#2 and downloads the Data Object.</w:t>
      </w:r>
    </w:p>
    <w:p>
      <w:pPr>
        <w:pStyle w:val="Heading1"/>
      </w:pPr>
      <w:bookmarkStart w:id="62" w:name="Xf73c96dceb9ea5fabb7b3b7b1f163a752497e1d"/>
      <w:r>
        <w:t xml:space="preserve">Real-time data exchange</w:t>
      </w:r>
      <w:bookmarkEnd w:id="62"/>
    </w:p>
    <w:p>
      <w:pPr>
        <w:pStyle w:val="Heading2"/>
      </w:pPr>
      <w:bookmarkStart w:id="63" w:name="X93bd8320c04726f7594feb0067b60e77bfd86dd"/>
      <w:r>
        <w:t xml:space="preserve">What’s wrong with the GTS?</w:t>
      </w:r>
      <w:bookmarkEnd w:id="63"/>
    </w:p>
    <w:p>
      <w:pPr>
        <w:pStyle w:val="FirstParagraph"/>
      </w:pPr>
      <w:r>
        <w:t xml:space="preserve">The Global Telecommunication System (GTS) has been the mainstay of real-time data exchange within the WMO community since the 1970s. It has evolved over during that time, but its architecture impedes the free flow of information.</w:t>
      </w:r>
    </w:p>
    <w:p>
      <w:pPr>
        <w:pStyle w:val="BodyText"/>
      </w:pPr>
      <w:r>
        <w:t xml:space="preserve">Being "on the GTS" requires operation of a message switching system (MSS) and update of the Routing Tables that control the flow of data between MSS. Once data is published on the GTS, anyone with a MSS can use the data they receive – or forward that data to other MSS. Each hop from MSS to MSS introduces delays and introduces a risk of data loss. Data publishers must trust recipients to respect terms and conditions in their data licenses. More fundamentally, updates to Routing Tables and MSS requires manual intervention – a model that simply will not scale to support the ever-growing community of consumers that need weather, water, and climate data.</w:t>
      </w:r>
    </w:p>
    <w:p>
      <w:pPr>
        <w:pStyle w:val="Heading2"/>
      </w:pPr>
      <w:bookmarkStart w:id="64" w:name="Xa22a7782485e9563cac504ea6d3311868d3e712"/>
      <w:r>
        <w:t xml:space="preserve">Real-time data exchange with WIS2</w:t>
      </w:r>
      <w:bookmarkEnd w:id="64"/>
    </w:p>
    <w:p>
      <w:pPr>
        <w:pStyle w:val="FirstParagraph"/>
      </w:pPr>
      <w:r>
        <w:t xml:space="preserve">WIS2 addresses the problems with the GTS as follows:</w:t>
      </w:r>
    </w:p>
    <w:p>
      <w:pPr>
        <w:numPr>
          <w:ilvl w:val="0"/>
          <w:numId w:val="1023"/>
        </w:numPr>
      </w:pPr>
      <w:r>
        <w:t xml:space="preserve">Controlled access to data: Web services are used to provide access to data in WIS2. A data publisher may choose to implement controlled access to their data by securing their Web-service</w:t>
      </w:r>
      <w:r>
        <w:t xml:space="preserve"> </w:t>
      </w:r>
      <w:r>
        <w:rPr>
          <w:rStyle w:val="FootnoteReference"/>
        </w:rPr>
        <w:footnoteReference w:id="65"/>
      </w:r>
      <w:r>
        <w:t xml:space="preserve">.</w:t>
      </w:r>
    </w:p>
    <w:p>
      <w:pPr>
        <w:numPr>
          <w:ilvl w:val="0"/>
          <w:numId w:val="1023"/>
        </w:numPr>
      </w:pPr>
      <w:r>
        <w:t xml:space="preserve">Point-to-point data distribution: WIS2 uses the Internet to transport data directly between data suppliers and data consumers</w:t>
      </w:r>
      <w:r>
        <w:t xml:space="preserve"> </w:t>
      </w:r>
      <w:r>
        <w:rPr>
          <w:rStyle w:val="FootnoteReference"/>
        </w:rPr>
        <w:footnoteReference w:id="66"/>
      </w:r>
      <w:r>
        <w:t xml:space="preserve">. The Internet provides efficient and robust</w:t>
      </w:r>
      <w:r>
        <w:t xml:space="preserve"> </w:t>
      </w:r>
      <w:r>
        <w:rPr>
          <w:rStyle w:val="FootnoteReference"/>
        </w:rPr>
        <w:footnoteReference w:id="67"/>
      </w:r>
      <w:r>
        <w:t xml:space="preserve"> </w:t>
      </w:r>
      <w:r>
        <w:t xml:space="preserve">transport of data throughout the globe – with routing managed at the network infrastructure level. WIS2 no longer needs MSS to manually route data via intermediate "hops".</w:t>
      </w:r>
    </w:p>
    <w:p>
      <w:pPr>
        <w:numPr>
          <w:ilvl w:val="0"/>
          <w:numId w:val="1023"/>
        </w:numPr>
      </w:pPr>
      <w:r>
        <w:t xml:space="preserve">Scaling to support many data consumers: WIS2 uses notification messages to alert consumers about the availability of new data. "Publish-subscribe" (Pub/Sub) messaging makes it simple to distribute these notifications in real-time to many consumers. A message broker allows an authorized agent (person, software system etc.) to create and publish messages to "topics". The message broker then manages requests from consumers to subscribe to those topics – without human intervention. All messages published to a topic are immediately sent to all subscribers. The publisher only needs to know about the topic – they don’t need know who the message broker forwards their message to. Upon receipt of a notification message a data consumer will decide whether to download the data from the Web-service designated in the message. Consequently, WIS2 no longer needs Routing Tables.</w:t>
      </w:r>
    </w:p>
    <w:p>
      <w:pPr>
        <w:pStyle w:val="FirstParagraph"/>
      </w:pPr>
      <w:r>
        <w:t xml:space="preserve">WIS2 uses the OASIS MQTT messaging protocol, versions 3.1.1 and 5.0.</w:t>
      </w:r>
    </w:p>
    <w:p>
      <w:pPr>
        <w:pStyle w:val="BodyText"/>
      </w:pPr>
      <w:r>
        <w:t xml:space="preserve">Several open-source message brokers are available that support MQTT. These include Mosquitto and RabbitMQ.</w:t>
      </w:r>
    </w:p>
    <w:p>
      <w:pPr>
        <w:pStyle w:val="Heading2"/>
      </w:pPr>
      <w:bookmarkStart w:id="68" w:name="X4b67a208d7fd1d40e8d2854e92426b6783812a3"/>
      <w:r>
        <w:t xml:space="preserve">Notification message format and structure</w:t>
      </w:r>
      <w:bookmarkEnd w:id="68"/>
    </w:p>
    <w:p>
      <w:pPr>
        <w:pStyle w:val="FirstParagraph"/>
      </w:pPr>
      <w:r>
        <w:t xml:space="preserve">WIS2 notification messages must be understood by all participants of WIS. Consequently, these messages must comply with a standard format and structure.</w:t>
      </w:r>
    </w:p>
    <w:p>
      <w:pPr>
        <w:pStyle w:val="BodyText"/>
      </w:pPr>
      <w:r>
        <w:t xml:space="preserve">WIS2 notification messages extend the GeoJSON format (RFC 7946), requiring the following elements to be included in each message:</w:t>
      </w:r>
    </w:p>
    <w:p>
      <w:pPr>
        <w:numPr>
          <w:ilvl w:val="0"/>
          <w:numId w:val="1024"/>
        </w:numPr>
      </w:pPr>
      <w:r>
        <w:t xml:space="preserve">A globally unique identifier (GUID) for the notification message</w:t>
      </w:r>
    </w:p>
    <w:p>
      <w:pPr>
        <w:numPr>
          <w:ilvl w:val="0"/>
          <w:numId w:val="1024"/>
        </w:numPr>
      </w:pPr>
      <w:r>
        <w:t xml:space="preserve">Geometry (point or polygon) of the associated data object (may be null)</w:t>
      </w:r>
    </w:p>
    <w:p>
      <w:pPr>
        <w:numPr>
          <w:ilvl w:val="0"/>
          <w:numId w:val="1024"/>
        </w:numPr>
      </w:pPr>
      <w:r>
        <w:t xml:space="preserve">Publication time of the notification message</w:t>
      </w:r>
    </w:p>
    <w:p>
      <w:pPr>
        <w:numPr>
          <w:ilvl w:val="0"/>
          <w:numId w:val="1024"/>
        </w:numPr>
      </w:pPr>
      <w:r>
        <w:t xml:space="preserve">Date-time of the associated data object</w:t>
      </w:r>
    </w:p>
    <w:p>
      <w:pPr>
        <w:numPr>
          <w:ilvl w:val="0"/>
          <w:numId w:val="1024"/>
        </w:numPr>
      </w:pPr>
      <w:r>
        <w:t xml:space="preserve">Topic hierarchy and unique identifier for the associated data object</w:t>
      </w:r>
    </w:p>
    <w:p>
      <w:pPr>
        <w:numPr>
          <w:ilvl w:val="0"/>
          <w:numId w:val="1024"/>
        </w:numPr>
      </w:pPr>
      <w:r>
        <w:t xml:space="preserve">Actionable links that can be followed to access the associated data object</w:t>
      </w:r>
    </w:p>
    <w:p>
      <w:pPr>
        <w:pStyle w:val="FirstParagraph"/>
      </w:pPr>
      <w:r>
        <w:t xml:space="preserve">Details of the WIS2 notification message format are available in WIS2 messages</w:t>
      </w:r>
    </w:p>
    <w:p>
      <w:pPr>
        <w:pStyle w:val="Heading2"/>
      </w:pPr>
      <w:bookmarkStart w:id="69" w:name="Xaf327523f05afa30610ae2434ee5ac946526166"/>
      <w:r>
        <w:t xml:space="preserve">Standard topic hierarchy</w:t>
      </w:r>
      <w:bookmarkEnd w:id="69"/>
    </w:p>
    <w:p>
      <w:pPr>
        <w:pStyle w:val="FirstParagraph"/>
      </w:pPr>
      <w:r>
        <w:t xml:space="preserve">A ‘Pub/Sub’ message broker uses "topics" to organise messages. Messages are published to a specific topic, and consumers subscribe to the topics they are interested in so that the message broker sends them all relevant messages.</w:t>
      </w:r>
    </w:p>
    <w:p>
      <w:pPr>
        <w:pStyle w:val="BodyText"/>
      </w:pPr>
      <w:r>
        <w:t xml:space="preserve">To simplify things for all Data Publishers and Data Consumers, a standard topic structure is used throughout WIS2: the "WIS2 Topic Hierarchy".</w:t>
      </w:r>
    </w:p>
    <w:p>
      <w:pPr>
        <w:pStyle w:val="BodyText"/>
      </w:pPr>
      <w:r>
        <w:t xml:space="preserve">The standard topic structure enables notification messages to be grouped according to Member (e.g., country or territory), originating WIS Centre, and data type. It embeds the classification scheme of Earth System domains used Annex a of the WMO Unified Data Policy (Resolution 1, Cg-Ext (2021)).</w:t>
      </w:r>
    </w:p>
    <w:p>
      <w:pPr>
        <w:pStyle w:val="BodyText"/>
      </w:pPr>
      <w:r>
        <w:t xml:space="preserve">The top-level of the standard topic structure "channel" is used to distinguish between notification messages from WIS Centres (channel = "origin") and notification messages from Global Cache services that host cached copies of data from the originating WIS Centre (channel = "cache"). This makes it simple for Data Consumers to comply with clause 3.2.13 from the Manual on WIS, Vol II:</w:t>
      </w:r>
    </w:p>
    <w:p>
      <w:pPr>
        <w:pStyle w:val="SourceCode"/>
      </w:pPr>
      <w:r>
        <w:rPr>
          <w:rStyle w:val="VerbatimChar"/>
        </w:rPr>
        <w:t xml:space="preserve">3.2.13 Data consumers may access data from Global Caches or directly from a WIS node. Data consumers SHOULD access real-time and near real-time core data via Global Caches.</w:t>
      </w:r>
    </w:p>
    <w:p>
      <w:pPr>
        <w:pStyle w:val="FirstParagraph"/>
      </w:pPr>
      <w:r>
        <w:t xml:space="preserve">There is a one-to-one mapping</w:t>
      </w:r>
      <w:r>
        <w:t xml:space="preserve"> </w:t>
      </w:r>
      <w:r>
        <w:rPr>
          <w:rStyle w:val="FootnoteReference"/>
        </w:rPr>
        <w:footnoteReference w:id="70"/>
      </w:r>
      <w:r>
        <w:t xml:space="preserve"> </w:t>
      </w:r>
      <w:r>
        <w:t xml:space="preserve">between the theme (i.e., keyword) used to describe a Dataset in discovery metadata and the topic used to publish notifications about that Dataset.</w:t>
      </w:r>
    </w:p>
    <w:p>
      <w:pPr>
        <w:pStyle w:val="BodyText"/>
      </w:pPr>
      <w:r>
        <w:t xml:space="preserve">Details of the WIS2 Topic Hierarchy are available in WIS2 topic hierarchy.</w:t>
      </w:r>
    </w:p>
    <w:p>
      <w:pPr>
        <w:pStyle w:val="BodyText"/>
      </w:pPr>
      <w:r>
        <w:t xml:space="preserve">Note: the WIS2 Topic Hierarchy, particularly Earth System-Domain-Subcategory and below, is expected to evolve during the WIS2 pilot phase.</w:t>
      </w:r>
    </w:p>
    <w:p>
      <w:pPr>
        <w:pStyle w:val="Heading1"/>
      </w:pPr>
      <w:bookmarkStart w:id="71" w:name="X62d67b478702f8c797216a8f6868a0b35e7d516"/>
      <w:r>
        <w:t xml:space="preserve">Discovery metadata</w:t>
      </w:r>
      <w:bookmarkEnd w:id="71"/>
    </w:p>
    <w:p>
      <w:pPr>
        <w:pStyle w:val="FirstParagraph"/>
      </w:pPr>
      <w:r>
        <w:t xml:space="preserve">Discovery metadata provides a description of a dataset sufficient for someone to determine whether that dataset meets their needs and includes links to where one may access more detailed information about the dataset or access the dataset itself.</w:t>
      </w:r>
    </w:p>
    <w:p>
      <w:pPr>
        <w:pStyle w:val="BodyText"/>
      </w:pPr>
      <w:r>
        <w:t xml:space="preserve">Discovery metadata is an essential component of WIS2.</w:t>
      </w:r>
    </w:p>
    <w:p>
      <w:pPr>
        <w:pStyle w:val="BodyText"/>
      </w:pPr>
      <w:r>
        <w:t xml:space="preserve">Data Publishers must provide a discovery metadata record for each dataset they make available within WIS. These discovery metadata records are aggregated within the Global Discovery Catalogue providing Data Consumers the means to search and browse every dataset within WIS.</w:t>
      </w:r>
    </w:p>
    <w:p>
      <w:pPr>
        <w:pStyle w:val="BodyText"/>
      </w:pPr>
      <w:r>
        <w:t xml:space="preserve">Discovery metadata provided in WIS2 must conform to the WMO Core Metadata Profile version 2 (WCMP2), a profile of the OGC API - Records standard.</w:t>
      </w:r>
    </w:p>
    <w:p>
      <w:pPr>
        <w:pStyle w:val="BodyText"/>
      </w:pPr>
      <w:r>
        <w:t xml:space="preserve">The WCMP2 specification, including usage examples, is published WCMP2.</w:t>
      </w:r>
    </w:p>
    <w:p>
      <w:pPr>
        <w:pStyle w:val="BodyText"/>
      </w:pPr>
      <w:r>
        <w:t xml:space="preserve">TODO: Add link to the WCMP2 specification</w:t>
      </w:r>
    </w:p>
    <w:p>
      <w:pPr>
        <w:pStyle w:val="Heading1"/>
      </w:pPr>
      <w:bookmarkStart w:id="72" w:name="X14cb229c624243199a9715263cd7ef807ea7c0a"/>
      <w:r>
        <w:t xml:space="preserve">WIS metrics</w:t>
      </w:r>
      <w:bookmarkEnd w:id="72"/>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3"/>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w:t>
      </w:r>
    </w:p>
    <w:p>
      <w:pPr>
        <w:pStyle w:val="BodyText"/>
      </w:pPr>
      <w:r>
        <w:t xml:space="preserve">The content and structure of metrics specific to WIS2 (e.g., data availability) are described below.</w:t>
      </w:r>
    </w:p>
    <w:p>
      <w:pPr>
        <w:pStyle w:val="Heading1"/>
      </w:pPr>
      <w:bookmarkStart w:id="74" w:name="X6eb8c0f1dda61c30be79bb5fe513cc6e308df74"/>
      <w:r>
        <w:t xml:space="preserve">Implementation and operation of WIS2 Node</w:t>
      </w:r>
      <w:bookmarkEnd w:id="74"/>
    </w:p>
    <w:p>
      <w:pPr>
        <w:pStyle w:val="Heading2"/>
      </w:pPr>
      <w:bookmarkStart w:id="75" w:name="X2dc45f7e3308f894d44a9e549266f7a5068a5e5"/>
      <w:r>
        <w:t xml:space="preserve">Practices and procedures</w:t>
      </w:r>
      <w:bookmarkEnd w:id="75"/>
    </w:p>
    <w:p>
      <w:pPr>
        <w:pStyle w:val="Heading3"/>
      </w:pPr>
      <w:bookmarkStart w:id="76" w:name="X2f3309e4993c5808b61e22f79cb053ac9aed9e2"/>
      <w:r>
        <w:t xml:space="preserve">Registration and decommissioning of a WIS node</w:t>
      </w:r>
      <w:bookmarkEnd w:id="76"/>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3"/>
      </w:pPr>
      <w:bookmarkStart w:id="77" w:name="Xf767dc45d10fda218afde6b3036463a48df52ca"/>
      <w:r>
        <w:t xml:space="preserve">Registration and removal of a Dataset</w:t>
      </w:r>
      <w:bookmarkEnd w:id="77"/>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3"/>
      </w:pPr>
      <w:bookmarkStart w:id="78" w:name="X3289680ea2f7d4109aa6428f322d340e91d0957"/>
      <w:r>
        <w:t xml:space="preserve">Connecting with Global Services</w:t>
      </w:r>
      <w:bookmarkEnd w:id="78"/>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2"/>
      </w:pPr>
      <w:bookmarkStart w:id="79" w:name="Xf27b1f0223a14cb62d964158e83b2aa83f010f8"/>
      <w:r>
        <w:t xml:space="preserve">Publishing data, discovery metadata, and notification messages</w:t>
      </w:r>
      <w:bookmarkEnd w:id="79"/>
    </w:p>
    <w:p>
      <w:pPr>
        <w:pStyle w:val="Heading3"/>
      </w:pPr>
      <w:bookmarkStart w:id="80" w:name="X54b24cfeb69d3324725a63b1572e1756f356d87"/>
      <w:r>
        <w:t xml:space="preserve">Discovery metadata</w:t>
      </w:r>
      <w:bookmarkEnd w:id="80"/>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3"/>
      </w:pPr>
      <w:bookmarkStart w:id="81" w:name="X1570affaafae1bfedcbec5b9543c51eae060db5"/>
      <w:r>
        <w:t xml:space="preserve">Notification messages</w:t>
      </w:r>
      <w:bookmarkEnd w:id="81"/>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3"/>
      </w:pPr>
      <w:bookmarkStart w:id="82" w:name="X05ad229d6065a3fb9e9fa952b4fa2f12120cd4a"/>
      <w:r>
        <w:t xml:space="preserve">Data</w:t>
      </w:r>
      <w:bookmarkEnd w:id="82"/>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5"/>
        </w:numPr>
      </w:pPr>
      <w:r>
        <w:t xml:space="preserve">Web Accessible Folders (WAF) – a Web-based folder structure listing the data object files by name .</w:t>
      </w:r>
    </w:p>
    <w:p>
      <w:pPr>
        <w:numPr>
          <w:ilvl w:val="0"/>
          <w:numId w:val="1025"/>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6"/>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6"/>
        </w:numPr>
      </w:pPr>
      <w:r>
        <w:t xml:space="preserve">Data Consumers are insulated from the complexities of how a Data Publisher chooses to persist their data. The Web API can provide access to Datasets in a way that is easy for users to understand.</w:t>
      </w:r>
    </w:p>
    <w:p>
      <w:pPr>
        <w:numPr>
          <w:ilvl w:val="0"/>
          <w:numId w:val="1026"/>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4"/>
      </w:pPr>
      <w:bookmarkStart w:id="83" w:name="X4c61f413c1bd3d905b4c8f2b481e7faf4997b39"/>
      <w:r>
        <w:t xml:space="preserve">Publication and topic selection</w:t>
      </w:r>
      <w:bookmarkEnd w:id="83"/>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2"/>
      </w:pPr>
      <w:bookmarkStart w:id="84" w:name="X88471e81d2325170fe741992b384283916f363b"/>
      <w:r>
        <w:t xml:space="preserve">Performance management</w:t>
      </w:r>
      <w:bookmarkEnd w:id="84"/>
    </w:p>
    <w:p>
      <w:pPr>
        <w:pStyle w:val="Heading3"/>
      </w:pPr>
      <w:bookmarkStart w:id="85" w:name="Xe6d7c72f985dadd42293bc857d52add7d42ea2b"/>
      <w:r>
        <w:t xml:space="preserve">Service levels and performance indicators</w:t>
      </w:r>
      <w:bookmarkEnd w:id="85"/>
    </w:p>
    <w:p>
      <w:pPr>
        <w:pStyle w:val="FirstParagraph"/>
      </w:pPr>
      <w:r>
        <w:t xml:space="preserve">This section describes the minimum performance criteria for operation of a WIS node.</w:t>
      </w:r>
    </w:p>
    <w:p>
      <w:pPr>
        <w:pStyle w:val="BodyText"/>
      </w:pPr>
      <w:r>
        <w:t xml:space="preserve">TODO: to be completed</w:t>
      </w:r>
    </w:p>
    <w:p>
      <w:pPr>
        <w:pStyle w:val="Heading3"/>
      </w:pPr>
      <w:bookmarkStart w:id="86" w:name="X8bf05b2e0d10427f62345612d639c55cc744267"/>
      <w:r>
        <w:t xml:space="preserve">Provision of system performance metrics</w:t>
      </w:r>
      <w:bookmarkEnd w:id="86"/>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2"/>
      </w:pPr>
      <w:bookmarkStart w:id="87" w:name="Xae5d89733bfcf82aaecc9731c04a0fb1d348115"/>
      <w:r>
        <w:t xml:space="preserve">WIS Node reference implementation: wis2box</w:t>
      </w:r>
      <w:bookmarkEnd w:id="87"/>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7"/>
        </w:numPr>
      </w:pPr>
      <w:r>
        <w:t xml:space="preserve">Real-time or archive data and metadata publishing to WIS2 (Publish), including available data transformation and processing pipelines</w:t>
      </w:r>
    </w:p>
    <w:p>
      <w:pPr>
        <w:numPr>
          <w:ilvl w:val="0"/>
          <w:numId w:val="1027"/>
        </w:numPr>
      </w:pPr>
      <w:r>
        <w:t xml:space="preserve">MQTT Message Broker and notification message publication (Subscribe)</w:t>
      </w:r>
    </w:p>
    <w:p>
      <w:pPr>
        <w:numPr>
          <w:ilvl w:val="0"/>
          <w:numId w:val="1027"/>
        </w:numPr>
      </w:pPr>
      <w:r>
        <w:t xml:space="preserve">Object storage server providing raw data access (Download)</w:t>
      </w:r>
    </w:p>
    <w:p>
      <w:pPr>
        <w:numPr>
          <w:ilvl w:val="0"/>
          <w:numId w:val="1027"/>
        </w:numPr>
      </w:pPr>
      <w:r>
        <w:t xml:space="preserve">OGC API server, providing dynamic APIs and Web services for discovery, access, visualization and processing functionality (APIs)</w:t>
      </w:r>
    </w:p>
    <w:p>
      <w:pPr>
        <w:numPr>
          <w:ilvl w:val="0"/>
          <w:numId w:val="1027"/>
        </w:numPr>
      </w:pPr>
      <w:r>
        <w:t xml:space="preserve">Discovery metadata curation / editing tools</w:t>
      </w:r>
    </w:p>
    <w:p>
      <w:pPr>
        <w:numPr>
          <w:ilvl w:val="0"/>
          <w:numId w:val="1027"/>
        </w:numPr>
      </w:pPr>
      <w:r>
        <w:t xml:space="preserve">Notification subscription and real-time download of data upon receipt of notifications.</w:t>
      </w:r>
    </w:p>
    <w:p>
      <w:pPr>
        <w:numPr>
          <w:ilvl w:val="0"/>
          <w:numId w:val="1027"/>
        </w:numPr>
      </w:pPr>
      <w:r>
        <w:t xml:space="preserve">Provision of system performance and data availability metrics</w:t>
      </w:r>
    </w:p>
    <w:p>
      <w:pPr>
        <w:numPr>
          <w:ilvl w:val="0"/>
          <w:numId w:val="1027"/>
        </w:numPr>
      </w:pPr>
      <w:r>
        <w:t xml:space="preserve">The modular design of wis2box makes it simple to extend to meet additional requirements or integrate with existing data management systems.</w:t>
      </w:r>
    </w:p>
    <w:p>
      <w:pPr>
        <w:numPr>
          <w:ilvl w:val="0"/>
          <w:numId w:val="1027"/>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88">
        <w:r>
          <w:rPr>
            <w:rStyle w:val="Hyperlink"/>
          </w:rPr>
          <w:t xml:space="preserve">https://github.com/wmo-im/wis2box</w:t>
        </w:r>
      </w:hyperlink>
    </w:p>
    <w:p>
      <w:pPr>
        <w:pStyle w:val="Heading1"/>
      </w:pPr>
      <w:bookmarkStart w:id="89" w:name="X9e72a2ecfcdde13f98188c11fb151050efd6b8e"/>
      <w:r>
        <w:t xml:space="preserve">Implementation and operation of a Global Service</w:t>
      </w:r>
      <w:bookmarkEnd w:id="89"/>
    </w:p>
    <w:p>
      <w:pPr>
        <w:pStyle w:val="Heading2"/>
      </w:pPr>
      <w:bookmarkStart w:id="90" w:name="X2413b2167533c41decb1d7ad264ee77ac10f5b8"/>
      <w:r>
        <w:t xml:space="preserve">Procedure for registration of a new Global Service</w:t>
      </w:r>
      <w:bookmarkEnd w:id="90"/>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p>
      <w:pPr>
        <w:pStyle w:val="Heading2"/>
      </w:pPr>
      <w:bookmarkStart w:id="91" w:name="X92a574e92bd468929fa857fcf361addb0e19130"/>
      <w:r>
        <w:t xml:space="preserve">Performance management and monitoring of a Global Service</w:t>
      </w:r>
      <w:bookmarkEnd w:id="91"/>
    </w:p>
    <w:p>
      <w:pPr>
        <w:pStyle w:val="Heading3"/>
      </w:pPr>
      <w:bookmarkStart w:id="92" w:name="X61b468b8bf7d4308bcaac71a7f66d738b5d312d"/>
      <w:r>
        <w:t xml:space="preserve">Service levels, performance indicators, and fair-usage policies</w:t>
      </w:r>
      <w:bookmarkEnd w:id="92"/>
    </w:p>
    <w:p>
      <w:pPr>
        <w:pStyle w:val="FirstParagraph"/>
      </w:pPr>
      <w:r>
        <w:t xml:space="preserve">TODO: to be completed</w:t>
      </w:r>
    </w:p>
    <w:p>
      <w:pPr>
        <w:pStyle w:val="Heading3"/>
      </w:pPr>
      <w:bookmarkStart w:id="93" w:name="Xa72ae8cff5a9c823711277b9353d6156c00ce2c"/>
      <w:r>
        <w:t xml:space="preserve">Provision of metrics</w:t>
      </w:r>
      <w:bookmarkEnd w:id="93"/>
    </w:p>
    <w:p>
      <w:pPr>
        <w:pStyle w:val="FirstParagraph"/>
      </w:pPr>
      <w:r>
        <w:t xml:space="preserve">TODO: to be completed</w:t>
      </w:r>
    </w:p>
    <w:p>
      <w:pPr>
        <w:pStyle w:val="Heading2"/>
      </w:pPr>
      <w:bookmarkStart w:id="94" w:name="X457e87df81e20dd60341813f33917c04b732591"/>
      <w:r>
        <w:t xml:space="preserve">Global Broker</w:t>
      </w:r>
      <w:bookmarkEnd w:id="94"/>
    </w:p>
    <w:p>
      <w:pPr>
        <w:pStyle w:val="Heading3"/>
      </w:pPr>
      <w:bookmarkStart w:id="95" w:name="Xffd6385210ddd18d3a42c4b75583b265bf38983"/>
      <w:r>
        <w:t xml:space="preserve">Technical considerations</w:t>
      </w:r>
      <w:bookmarkEnd w:id="95"/>
    </w:p>
    <w:p>
      <w:pPr>
        <w:numPr>
          <w:ilvl w:val="0"/>
          <w:numId w:val="1028"/>
        </w:numPr>
      </w:pPr>
      <w:r>
        <w:t xml:space="preserve">There will be multiple Global Broker instances to ensure highly available, low latency global provision of messages within WIS.</w:t>
      </w:r>
    </w:p>
    <w:p>
      <w:pPr>
        <w:numPr>
          <w:ilvl w:val="0"/>
          <w:numId w:val="1028"/>
        </w:numPr>
      </w:pPr>
      <w:r>
        <w:t xml:space="preserve">A Global Broker instance subscribes to messages from NC/DCPCs and other Global Brokers</w:t>
      </w:r>
    </w:p>
    <w:p>
      <w:pPr>
        <w:numPr>
          <w:ilvl w:val="0"/>
          <w:numId w:val="1028"/>
        </w:numPr>
      </w:pPr>
      <w:r>
        <w:t xml:space="preserve">A Global Broker instance will subscribe to messages from a subset of NC/DCPCs and republish them.</w:t>
      </w:r>
    </w:p>
    <w:p>
      <w:pPr>
        <w:numPr>
          <w:ilvl w:val="0"/>
          <w:numId w:val="1028"/>
        </w:numPr>
      </w:pPr>
      <w:r>
        <w:t xml:space="preserve">At least one Global Broker will subscribe to messages from every NC/DCPC.</w:t>
      </w:r>
    </w:p>
    <w:p>
      <w:pPr>
        <w:numPr>
          <w:ilvl w:val="0"/>
          <w:numId w:val="1028"/>
        </w:numPr>
      </w:pPr>
      <w:r>
        <w:t xml:space="preserve">For full global coverage, a Global Broker instance will subscribe to messages from other Global Broker instances and republish them.</w:t>
      </w:r>
    </w:p>
    <w:p>
      <w:pPr>
        <w:numPr>
          <w:ilvl w:val="0"/>
          <w:numId w:val="1028"/>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8"/>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8"/>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28"/>
        </w:numPr>
      </w:pPr>
      <w:r>
        <w:t xml:space="preserve">Standard topic hierarchy</w:t>
      </w:r>
    </w:p>
    <w:p>
      <w:pPr>
        <w:numPr>
          <w:ilvl w:val="1"/>
          <w:numId w:val="1029"/>
        </w:numPr>
      </w:pPr>
      <w:r>
        <w:t xml:space="preserve">A Global Broker will validate notification messages against the standard format (see Notification message format and structure), discarding non-compliant messages and raising an alert.</w:t>
      </w:r>
    </w:p>
    <w:p>
      <w:pPr>
        <w:numPr>
          <w:ilvl w:val="1"/>
          <w:numId w:val="1029"/>
        </w:numPr>
      </w:pPr>
      <w:r>
        <w:t xml:space="preserve">A Global Broker is built around two software components:</w:t>
      </w:r>
    </w:p>
    <w:p>
      <w:pPr>
        <w:numPr>
          <w:ilvl w:val="2"/>
          <w:numId w:val="1030"/>
        </w:numPr>
      </w:pPr>
      <w:r>
        <w:t xml:space="preserve">An off the shelf broker implementing both MQTT 3.1.1 and MQTT 5.0 in a highly-available setup (cluster)Tools such as EMQX, HiveMQ, VerneMQ are compliant with these requirements.</w:t>
      </w:r>
    </w:p>
    <w:p>
      <w:pPr>
        <w:numPr>
          <w:ilvl w:val="2"/>
          <w:numId w:val="1030"/>
        </w:numPr>
      </w:pPr>
      <w:r>
        <w:t xml:space="preserve">Additional features (anti-loop, message format compliance,…) are required. An open source implementation will be made available during the pilot phase.</w:t>
      </w:r>
    </w:p>
    <w:p>
      <w:pPr>
        <w:pStyle w:val="FirstParagraph"/>
      </w:pPr>
      <w:r>
        <w:t xml:space="preserve">TODO: to be completed</w:t>
      </w:r>
    </w:p>
    <w:p>
      <w:pPr>
        <w:pStyle w:val="Heading3"/>
      </w:pPr>
      <w:bookmarkStart w:id="96" w:name="Xc6a761dae7c2ab8ca53d55e2bb6a1eee7d9f700"/>
      <w:r>
        <w:t xml:space="preserve">Practices and procedures</w:t>
      </w:r>
      <w:bookmarkEnd w:id="96"/>
    </w:p>
    <w:p>
      <w:pPr>
        <w:pStyle w:val="FirstParagraph"/>
      </w:pPr>
      <w:r>
        <w:t xml:space="preserve">The following procedures will be described here once validated through testing during the WIS2 pilot phase:</w:t>
      </w:r>
    </w:p>
    <w:p>
      <w:pPr>
        <w:numPr>
          <w:ilvl w:val="0"/>
          <w:numId w:val="1031"/>
        </w:numPr>
      </w:pPr>
      <w:r>
        <w:t xml:space="preserve">Assigning a Global Broker to a NC or DCPC</w:t>
      </w:r>
    </w:p>
    <w:p>
      <w:pPr>
        <w:numPr>
          <w:ilvl w:val="0"/>
          <w:numId w:val="1031"/>
        </w:numPr>
      </w:pPr>
      <w:r>
        <w:t xml:space="preserve">Alerting originating NC or DCPC about malformed or non-compliant messages</w:t>
      </w:r>
    </w:p>
    <w:p>
      <w:pPr>
        <w:pStyle w:val="FirstParagraph"/>
      </w:pPr>
      <w:r>
        <w:t xml:space="preserve">TODO: to be completed</w:t>
      </w:r>
    </w:p>
    <w:p>
      <w:pPr>
        <w:pStyle w:val="Heading2"/>
      </w:pPr>
      <w:bookmarkStart w:id="97" w:name="X3757fd838d3368c80e2243a833cf028c5b7f1b3"/>
      <w:r>
        <w:t xml:space="preserve">Global Cache</w:t>
      </w:r>
      <w:bookmarkEnd w:id="97"/>
    </w:p>
    <w:p>
      <w:pPr>
        <w:pStyle w:val="Heading3"/>
      </w:pPr>
      <w:bookmarkStart w:id="98" w:name="X786d3f3a1e3b20eb2f4f60f868fc4d4fcbe1071"/>
      <w:r>
        <w:t xml:space="preserve">Technical considerations</w:t>
      </w:r>
      <w:bookmarkEnd w:id="98"/>
    </w:p>
    <w:p>
      <w:pPr>
        <w:numPr>
          <w:ilvl w:val="0"/>
          <w:numId w:val="1032"/>
        </w:numPr>
      </w:pPr>
      <w:r>
        <w:t xml:space="preserve">The Global Cache will contain copies of real-time and near real-time data designated as "core" within the WMO Unified Data Policy (Resolution 1).</w:t>
      </w:r>
    </w:p>
    <w:p>
      <w:pPr>
        <w:numPr>
          <w:ilvl w:val="0"/>
          <w:numId w:val="1032"/>
        </w:numPr>
      </w:pPr>
      <w:r>
        <w:t xml:space="preserve">During the initial stages of the WIS2 pilot phase Global Cache instances will provide open access to their cached content. Access control mechanisms may be added later.</w:t>
      </w:r>
    </w:p>
    <w:p>
      <w:pPr>
        <w:numPr>
          <w:ilvl w:val="0"/>
          <w:numId w:val="1032"/>
        </w:numPr>
      </w:pPr>
      <w:r>
        <w:t xml:space="preserve">A Global Cache instance will host data objects copied from NC/DCPCs. These are persisted as files.</w:t>
      </w:r>
    </w:p>
    <w:p>
      <w:pPr>
        <w:numPr>
          <w:ilvl w:val="0"/>
          <w:numId w:val="1032"/>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32"/>
        </w:numPr>
      </w:pPr>
      <w:r>
        <w:t xml:space="preserve">A Global Cache instance will use the standard topic structure in their local message brokers (see WIS2 messages 4.4 Standard topic hierarchy).</w:t>
      </w:r>
    </w:p>
    <w:p>
      <w:pPr>
        <w:numPr>
          <w:ilvl w:val="0"/>
          <w:numId w:val="1032"/>
        </w:numPr>
      </w:pPr>
      <w:r>
        <w:t xml:space="preserve">There will be multiple Global Cache instances to ensure highly available, low latency global provision of real-time and near real-time "core" data within WIS.</w:t>
      </w:r>
    </w:p>
    <w:p>
      <w:pPr>
        <w:numPr>
          <w:ilvl w:val="0"/>
          <w:numId w:val="1032"/>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32"/>
        </w:numPr>
      </w:pPr>
      <w:r>
        <w:t xml:space="preserve">For full global coverage, a Global Cache instance will download Data Objects and discovery metadata records from other instances.</w:t>
      </w:r>
    </w:p>
    <w:p>
      <w:pPr>
        <w:numPr>
          <w:ilvl w:val="0"/>
          <w:numId w:val="1032"/>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2"/>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32"/>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32"/>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3"/>
      </w:pPr>
      <w:bookmarkStart w:id="99" w:name="X9b96528b68355c2d8f1e08d2aface04eb4f4da9"/>
      <w:r>
        <w:t xml:space="preserve">Practices and procedures</w:t>
      </w:r>
      <w:bookmarkEnd w:id="99"/>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2"/>
      </w:pPr>
      <w:bookmarkStart w:id="100" w:name="X7afed62fce9c77dc9763966ede44c55358b9618"/>
      <w:r>
        <w:t xml:space="preserve">Global Discovery Catalogue</w:t>
      </w:r>
      <w:bookmarkEnd w:id="100"/>
    </w:p>
    <w:p>
      <w:pPr>
        <w:pStyle w:val="Heading3"/>
      </w:pPr>
      <w:bookmarkStart w:id="101" w:name="Xfb2e666548741befe53fbe311ab83706f224432"/>
      <w:r>
        <w:t xml:space="preserve">Technical considerations</w:t>
      </w:r>
      <w:bookmarkEnd w:id="101"/>
    </w:p>
    <w:p>
      <w:pPr>
        <w:numPr>
          <w:ilvl w:val="0"/>
          <w:numId w:val="1033"/>
        </w:numPr>
      </w:pPr>
      <w:r>
        <w:t xml:space="preserve">The Global Discovery Catalogue provides Data Consumers with a mechanism to discover the Datasets of interest, as well as, how to interact with and find out more information about those Datasets.</w:t>
      </w:r>
    </w:p>
    <w:p>
      <w:pPr>
        <w:numPr>
          <w:ilvl w:val="0"/>
          <w:numId w:val="1033"/>
        </w:numPr>
      </w:pPr>
      <w:r>
        <w:t xml:space="preserve">The Global Discovery Catalogue implements the OGC API – Records – Part 1: Core standard.</w:t>
      </w:r>
    </w:p>
    <w:p>
      <w:pPr>
        <w:numPr>
          <w:ilvl w:val="0"/>
          <w:numId w:val="1033"/>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33"/>
        </w:numPr>
      </w:pPr>
      <w:r>
        <w:t xml:space="preserve">A single Global Discovery Catalogue instance is sufficient for WIS2.</w:t>
      </w:r>
    </w:p>
    <w:p>
      <w:pPr>
        <w:numPr>
          <w:ilvl w:val="0"/>
          <w:numId w:val="1033"/>
        </w:numPr>
      </w:pPr>
      <w:r>
        <w:t xml:space="preserve">Multiple Global Discovery Catalogue instances may be deployed for resilience.</w:t>
      </w:r>
    </w:p>
    <w:p>
      <w:pPr>
        <w:numPr>
          <w:ilvl w:val="0"/>
          <w:numId w:val="1033"/>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33"/>
        </w:numPr>
      </w:pPr>
      <w:r>
        <w:t xml:space="preserve">A Global Discovery Catalogue is populated with discovery metadata records from a Global Cache instance – receiving messages about availability of discovery metadata records via a Global Broker.</w:t>
      </w:r>
    </w:p>
    <w:p>
      <w:pPr>
        <w:numPr>
          <w:ilvl w:val="0"/>
          <w:numId w:val="1033"/>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33"/>
        </w:numPr>
      </w:pPr>
      <w:r>
        <w:t xml:space="preserve">A Global Discovery Catalogue will validate discovery metadata records against the WMO Core Metadata Profile version 2 (WCMP2), discarding non-compliant records and raising an alert.</w:t>
      </w:r>
    </w:p>
    <w:p>
      <w:pPr>
        <w:numPr>
          <w:ilvl w:val="0"/>
          <w:numId w:val="1033"/>
        </w:numPr>
      </w:pPr>
      <w:r>
        <w:t xml:space="preserve">A Global Discovery Catalogue will update discovery metadata records it receives to add links for subscription URLs at Global Broker instances.</w:t>
      </w:r>
    </w:p>
    <w:p>
      <w:pPr>
        <w:numPr>
          <w:ilvl w:val="0"/>
          <w:numId w:val="1033"/>
        </w:numPr>
      </w:pPr>
      <w:r>
        <w:t xml:space="preserve">A Global Discovery Catalogue should applying faceting capability as specified in the cataloguing considerations of the WCMP2 specification as defined in OGC API - Records.</w:t>
      </w:r>
    </w:p>
    <w:p>
      <w:pPr>
        <w:numPr>
          <w:ilvl w:val="0"/>
          <w:numId w:val="1033"/>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33"/>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pStyle w:val="FirstParagraph"/>
      </w:pPr>
      <w:r>
        <w:t xml:space="preserve">TODO: to be completed</w:t>
      </w:r>
    </w:p>
    <w:p>
      <w:pPr>
        <w:pStyle w:val="Heading3"/>
      </w:pPr>
      <w:bookmarkStart w:id="102" w:name="X4cbbd7919f310ffd0c7fa24b9e626d418975302"/>
      <w:r>
        <w:t xml:space="preserve">Practices and procedures</w:t>
      </w:r>
      <w:bookmarkEnd w:id="102"/>
    </w:p>
    <w:p>
      <w:pPr>
        <w:pStyle w:val="FirstParagraph"/>
      </w:pPr>
      <w:r>
        <w:t xml:space="preserve">The following procedures will be described here once validated through testing during the WIS2 pilot phase:</w:t>
      </w:r>
    </w:p>
    <w:p>
      <w:pPr>
        <w:numPr>
          <w:ilvl w:val="0"/>
          <w:numId w:val="1034"/>
        </w:numPr>
      </w:pPr>
      <w:r>
        <w:t xml:space="preserve">Alerting originating NC or DCPC about malformed or non-compliant discovery metadata records</w:t>
      </w:r>
    </w:p>
    <w:p>
      <w:pPr>
        <w:numPr>
          <w:ilvl w:val="0"/>
          <w:numId w:val="1034"/>
        </w:numPr>
      </w:pPr>
      <w:r>
        <w:t xml:space="preserve">Providing feedback to NC and DCPC about how to improve their discovery metadata</w:t>
      </w:r>
    </w:p>
    <w:p>
      <w:pPr>
        <w:numPr>
          <w:ilvl w:val="0"/>
          <w:numId w:val="1034"/>
        </w:numPr>
      </w:pPr>
      <w:r>
        <w:t xml:space="preserve">Removing discovery metadata for a Dataset on request</w:t>
      </w:r>
    </w:p>
    <w:p>
      <w:pPr>
        <w:numPr>
          <w:ilvl w:val="0"/>
          <w:numId w:val="1034"/>
        </w:numPr>
      </w:pPr>
      <w:r>
        <w:t xml:space="preserve">‘Bootstrapping’ a Global Discovery Catalogue instance from the Global Cache</w:t>
      </w:r>
    </w:p>
    <w:p>
      <w:pPr>
        <w:pStyle w:val="FirstParagraph"/>
      </w:pPr>
      <w:r>
        <w:t xml:space="preserve">TODO: to be completed</w:t>
      </w:r>
    </w:p>
    <w:p>
      <w:pPr>
        <w:pStyle w:val="Heading2"/>
      </w:pPr>
      <w:bookmarkStart w:id="103" w:name="X4e88c05a27e698b3d133af3a43b16886494a2e2"/>
      <w:r>
        <w:t xml:space="preserve">Global Monitor</w:t>
      </w:r>
      <w:bookmarkEnd w:id="103"/>
    </w:p>
    <w:p>
      <w:pPr>
        <w:pStyle w:val="Heading3"/>
      </w:pPr>
      <w:bookmarkStart w:id="104" w:name="Xd139f35e1c8e20bb300c6e70a06e779eeaccbe8"/>
      <w:r>
        <w:t xml:space="preserve">Technical Considerations</w:t>
      </w:r>
      <w:bookmarkEnd w:id="104"/>
    </w:p>
    <w:p>
      <w:pPr>
        <w:numPr>
          <w:ilvl w:val="0"/>
          <w:numId w:val="1035"/>
        </w:numPr>
      </w:pPr>
      <w:r>
        <w:t xml:space="preserve">WIS2 standardises how system performance and data availability metrics are published from WIS nodes and Global Services.</w:t>
      </w:r>
    </w:p>
    <w:p>
      <w:pPr>
        <w:numPr>
          <w:ilvl w:val="0"/>
          <w:numId w:val="1035"/>
        </w:numPr>
      </w:pPr>
      <w:r>
        <w:t xml:space="preserve">The Global Monitor will collect metrics as defined in the OpenMetrics standard.</w:t>
      </w:r>
    </w:p>
    <w:p>
      <w:pPr>
        <w:numPr>
          <w:ilvl w:val="0"/>
          <w:numId w:val="1035"/>
        </w:numPr>
      </w:pPr>
      <w:r>
        <w:t xml:space="preserve">The Global Monitor will monitor the 'health' (i.e., performance) of components at NC/DCPC as well as Global Service instances.</w:t>
      </w:r>
    </w:p>
    <w:p>
      <w:pPr>
        <w:numPr>
          <w:ilvl w:val="0"/>
          <w:numId w:val="1035"/>
        </w:numPr>
      </w:pPr>
      <w:r>
        <w:t xml:space="preserve">The Global Monitor will provide a Web-based ‘dashboard’ that displays the WIS2 system performance and data availability.</w:t>
      </w:r>
    </w:p>
    <w:p>
      <w:pPr>
        <w:pStyle w:val="FirstParagraph"/>
      </w:pPr>
      <w:r>
        <w:t xml:space="preserve">TODO: to be completed</w:t>
      </w:r>
    </w:p>
    <w:p>
      <w:pPr>
        <w:pStyle w:val="Heading3"/>
      </w:pPr>
      <w:bookmarkStart w:id="105" w:name="X65596701c5807e744b049093822fd643b9d3aca"/>
      <w:r>
        <w:t xml:space="preserve">Practices and procedures</w:t>
      </w:r>
      <w:bookmarkEnd w:id="105"/>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p>
      <w:pPr>
        <w:pStyle w:val="Heading1"/>
      </w:pPr>
      <w:bookmarkStart w:id="106" w:name="X2dea23bb21c2c82d8d197559cf4138e03ba1ed8"/>
      <w:r>
        <w:t xml:space="preserve">Coordinating WIS</w:t>
      </w:r>
      <w:bookmarkEnd w:id="106"/>
    </w:p>
    <w:p>
      <w:pPr>
        <w:pStyle w:val="FirstParagraph"/>
      </w:pPr>
      <w:r>
        <w:t xml:space="preserve">GISCs ensure the efficient and effective operation of WIS and WIS2 within their Area of Responsibility (AoR) and, in collaboration with the WMO Secretariat, globally. In WIS2 they cooperate with the Global Services and the WIS2 Nodes in their AoR. In the following the term WIS also refers to WIS2.</w:t>
      </w:r>
    </w:p>
    <w:p>
      <w:pPr>
        <w:pStyle w:val="BodyText"/>
      </w:pPr>
      <w:r>
        <w:t xml:space="preserve">Guidance is provided here to help GISCs fulfil this vital obligation.</w:t>
      </w:r>
    </w:p>
    <w:p>
      <w:pPr>
        <w:pStyle w:val="Heading2"/>
      </w:pPr>
      <w:bookmarkStart w:id="107" w:name="X71300e622d2911e4530cc19ee89fc86e10f77f3"/>
      <w:r>
        <w:t xml:space="preserve">Supporting WIS centres in their area of responsibility</w:t>
      </w:r>
      <w:bookmarkEnd w:id="107"/>
    </w:p>
    <w:p>
      <w:pPr>
        <w:pStyle w:val="FirstParagraph"/>
      </w:pPr>
      <w:r>
        <w:t xml:space="preserve">The primary function of a GISC is to support Members in their Area of Responsibility (AoR) participate effectively in WIS – both as Data Publishers and Data Consumers.</w:t>
      </w:r>
    </w:p>
    <w:p>
      <w:pPr>
        <w:pStyle w:val="BodyText"/>
      </w:pPr>
      <w:r>
        <w:t xml:space="preserve">To provide effective support, it is recommended that GISCs operate a helpdesk or ticketing system to manage issues and requests raised from WIS Centres in their AoR.</w:t>
      </w:r>
    </w:p>
    <w:p>
      <w:pPr>
        <w:pStyle w:val="BodyText"/>
      </w:pPr>
      <w:r>
        <w:t xml:space="preserve">TODO: to be completed</w:t>
      </w:r>
    </w:p>
    <w:p>
      <w:pPr>
        <w:pStyle w:val="Heading2"/>
      </w:pPr>
      <w:bookmarkStart w:id="108" w:name="X5960eeb7b3d381c9d6610f856816ab899959bcc"/>
      <w:r>
        <w:t xml:space="preserve">Performance management</w:t>
      </w:r>
      <w:bookmarkEnd w:id="108"/>
    </w:p>
    <w:p>
      <w:pPr>
        <w:pStyle w:val="FirstParagraph"/>
      </w:pPr>
      <w:r>
        <w:t xml:space="preserve">Monitoring of WIS is intended to improve the exchange of information by WMO Programmes and to ensure that the functions of WIS centres minimize the cost of operating WIS. It is also essential for planning and scaling WIS components to meet changing user needs. It complements monitoring of quality of the information being exchanged, which is the responsibility of the Programmes sponsoring the information within WIS.</w:t>
      </w:r>
    </w:p>
    <w:p>
      <w:pPr>
        <w:pStyle w:val="BodyText"/>
      </w:pPr>
      <w:r>
        <w:t xml:space="preserve">To ensure efficient and effective operation of WIS in their Area of Responsibility (AoR), GISCs are responsible for collecting metrics from Centres in their AoR.</w:t>
      </w:r>
    </w:p>
    <w:p>
      <w:pPr>
        <w:pStyle w:val="BodyText"/>
      </w:pPr>
      <w:r>
        <w:t xml:space="preserve">A GISC may provide a publicly visible portal displaying performance status of WIS.</w:t>
      </w:r>
    </w:p>
    <w:p>
      <w:pPr>
        <w:pStyle w:val="BodyText"/>
      </w:pPr>
      <w:r>
        <w:t xml:space="preserve">TODO: to be completed</w:t>
      </w:r>
    </w:p>
    <w:p>
      <w:pPr>
        <w:pStyle w:val="Heading2"/>
      </w:pPr>
      <w:bookmarkStart w:id="109" w:name="Xb490ca6719810cc7eed87d485417c8bd2dcd0d8"/>
      <w:r>
        <w:t xml:space="preserve">Incident management</w:t>
      </w:r>
      <w:bookmarkEnd w:id="109"/>
    </w:p>
    <w:p>
      <w:pPr>
        <w:pStyle w:val="FirstParagraph"/>
      </w:pPr>
      <w:r>
        <w:t xml:space="preserve">GISC are responsible for resolving incidents that impede the operation of WIS.</w:t>
      </w:r>
    </w:p>
    <w:p>
      <w:pPr>
        <w:pStyle w:val="BodyText"/>
      </w:pPr>
      <w:r>
        <w:t xml:space="preserve">Appendix E of the Guide to the WMO Information System (WMO No. 1061) describes the key management activities relating to incident management and service continuity in IT systems.</w:t>
      </w:r>
    </w:p>
    <w:p>
      <w:pPr>
        <w:pStyle w:val="BodyText"/>
      </w:pPr>
      <w:r>
        <w:t xml:space="preserve">Where the impact arising from an incident may affect WIS Centres outside their Area of Responsibility (AoR), a GISC must coordinate with WMO Secretariat and other GISCs.</w:t>
      </w:r>
    </w:p>
    <w:p>
      <w:pPr>
        <w:pStyle w:val="BodyText"/>
      </w:pPr>
      <w:r>
        <w:t xml:space="preserve">Appendix F of the Guide to the WMO Information System (WMO No. 1061) describes the process for responding to an IT security (cybersecurity) incident.</w:t>
      </w:r>
    </w:p>
    <w:p>
      <w:pPr>
        <w:pStyle w:val="BodyText"/>
      </w:pPr>
      <w:r>
        <w:t xml:space="preserve">GISCs collaborative provide a "GISC Watch" function wherein, according to a mutually agreed roster, a nominated GISC will actively monitor the global performance of the WIS and coordinate with WMO Secretariat and other GISCs to respond to any issues or incidents arising.</w:t>
      </w:r>
    </w:p>
    <w:p>
      <w:pPr>
        <w:pStyle w:val="BodyText"/>
      </w:pPr>
      <w:r>
        <w:t xml:space="preserve">TODO: to be completed</w:t>
      </w:r>
    </w:p>
    <w:p>
      <w:pPr>
        <w:pStyle w:val="Heading1"/>
      </w:pPr>
      <w:bookmarkStart w:id="110" w:name="Xf663b84f8b08bef805756b15e1319003d76fa52"/>
      <w:r>
        <w:t xml:space="preserve">Information management</w:t>
      </w:r>
      <w:bookmarkEnd w:id="110"/>
    </w:p>
    <w:p>
      <w:pPr>
        <w:pStyle w:val="Heading2"/>
      </w:pPr>
      <w:bookmarkStart w:id="111" w:name="X1ea7cbd003469405f98a7976943980a7b23bcee"/>
      <w:r>
        <w:t xml:space="preserve">Introduction</w:t>
      </w:r>
      <w:bookmarkEnd w:id="111"/>
    </w:p>
    <w:p>
      <w:pPr>
        <w:pStyle w:val="Heading3"/>
      </w:pPr>
      <w:bookmarkStart w:id="112" w:name="Xca774f64942a7f7563fb94bb05ba7dab3a26d69"/>
      <w:r>
        <w:t xml:space="preserve">Background</w:t>
      </w:r>
      <w:bookmarkEnd w:id="112"/>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3"/>
      </w:pPr>
      <w:bookmarkStart w:id="113" w:name="Xc8210088bf4711be4456d26326179eb58b8f5b4"/>
      <w:r>
        <w:t xml:space="preserve">Scope</w:t>
      </w:r>
      <w:bookmarkEnd w:id="113"/>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36"/>
        </w:numPr>
      </w:pPr>
      <w:r>
        <w:t xml:space="preserve">Planning, information creation and acquisition. Creation of information using internal and external data sources and the acquisition of information from various sources.</w:t>
      </w:r>
    </w:p>
    <w:p>
      <w:pPr>
        <w:numPr>
          <w:ilvl w:val="0"/>
          <w:numId w:val="1036"/>
        </w:numPr>
      </w:pPr>
      <w:r>
        <w:t xml:space="preserve">Representation and metadata. Standards to represent metadata, data and information are of primary importance to enable interoperability and long-term usability of the information.</w:t>
      </w:r>
    </w:p>
    <w:p>
      <w:pPr>
        <w:numPr>
          <w:ilvl w:val="0"/>
          <w:numId w:val="1036"/>
        </w:numPr>
      </w:pPr>
      <w:r>
        <w:t xml:space="preserve">Publication and exchange of information. The creation and publication of discovery metadata in a standardized format enabling users to discover, access and retrieve the information.</w:t>
      </w:r>
    </w:p>
    <w:p>
      <w:pPr>
        <w:numPr>
          <w:ilvl w:val="0"/>
          <w:numId w:val="1036"/>
        </w:numPr>
      </w:pPr>
      <w:r>
        <w:t xml:space="preserve">Usage and communication. Publication of guidance material on the use of published information, including on the limitations and suitability of the information and any licensing terms.</w:t>
      </w:r>
    </w:p>
    <w:p>
      <w:pPr>
        <w:numPr>
          <w:ilvl w:val="0"/>
          <w:numId w:val="1036"/>
        </w:numPr>
      </w:pPr>
      <w:r>
        <w:t xml:space="preserve">Storage, archival and disposal. Policies and procedures for business continuity and disaster recovery, as well as retention and disposal.</w:t>
      </w:r>
    </w:p>
    <w:p>
      <w:pPr>
        <w:pStyle w:val="Heading3"/>
      </w:pPr>
      <w:bookmarkStart w:id="114" w:name="Xc4a1ede03be40f12a45db53a22503ecdd576f28"/>
      <w:r>
        <w:t xml:space="preserve">Intended audience</w:t>
      </w:r>
      <w:bookmarkEnd w:id="114"/>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37"/>
        </w:numPr>
      </w:pPr>
      <w:r>
        <w:t xml:space="preserve">Information producers or creators (those who produce or acquire the information - they need to ensure the scientific quality of the underpinning information).</w:t>
      </w:r>
    </w:p>
    <w:p>
      <w:pPr>
        <w:numPr>
          <w:ilvl w:val="0"/>
          <w:numId w:val="1037"/>
        </w:numPr>
      </w:pPr>
      <w:r>
        <w:t xml:space="preserve">Information managers (those who manage information).</w:t>
      </w:r>
    </w:p>
    <w:p>
      <w:pPr>
        <w:numPr>
          <w:ilvl w:val="0"/>
          <w:numId w:val="1037"/>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37"/>
        </w:numPr>
      </w:pPr>
      <w:r>
        <w:t xml:space="preserve">Service providers (those who disseminate the information - they are responsible for ensuring information availability and maintaining capability for easy and secure access to the information).</w:t>
      </w:r>
    </w:p>
    <w:p>
      <w:pPr>
        <w:numPr>
          <w:ilvl w:val="0"/>
          <w:numId w:val="1037"/>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2"/>
      </w:pPr>
      <w:bookmarkStart w:id="115" w:name="Xc94de5166ce838056d764e2813060631f45545e"/>
      <w:r>
        <w:t xml:space="preserve">Principles of information management</w:t>
      </w:r>
      <w:bookmarkEnd w:id="115"/>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3"/>
      </w:pPr>
      <w:bookmarkStart w:id="116" w:name="Xced3bf5985e11d5bf9ea318c067f81c51dd90bb"/>
      <w:r>
        <w:t xml:space="preserve">Principle 1: Information is a valued asset</w:t>
      </w:r>
      <w:bookmarkEnd w:id="116"/>
    </w:p>
    <w:p>
      <w:pPr>
        <w:numPr>
          <w:ilvl w:val="0"/>
          <w:numId w:val="1038"/>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38"/>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3"/>
      </w:pPr>
      <w:bookmarkStart w:id="117" w:name="X2b4305e580dff0ab586fbedd336c10ae1a05bc9"/>
      <w:r>
        <w:t xml:space="preserve">Principle 2: Information must be managed</w:t>
      </w:r>
      <w:bookmarkEnd w:id="117"/>
    </w:p>
    <w:p>
      <w:pPr>
        <w:numPr>
          <w:ilvl w:val="0"/>
          <w:numId w:val="1039"/>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39"/>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39"/>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3"/>
      </w:pPr>
      <w:bookmarkStart w:id="118" w:name="X24cab0a09ccdca3e752f0ecd6d0ff5456c284f3"/>
      <w:r>
        <w:t xml:space="preserve">Principle 3: Information must be fit for purpose</w:t>
      </w:r>
      <w:bookmarkEnd w:id="118"/>
    </w:p>
    <w:p>
      <w:pPr>
        <w:numPr>
          <w:ilvl w:val="0"/>
          <w:numId w:val="1040"/>
        </w:numPr>
      </w:pPr>
      <w:r>
        <w:t xml:space="preserve">Information should be developed and managed in accordance with its function and use for internal and external users.</w:t>
      </w:r>
    </w:p>
    <w:p>
      <w:pPr>
        <w:numPr>
          <w:ilvl w:val="0"/>
          <w:numId w:val="1040"/>
        </w:numPr>
      </w:pPr>
      <w:r>
        <w:t xml:space="preserve">WMO Centres should regularly assess information to ensure that it is fit for its purpose and that processes, procedures, and documentation are adequate.</w:t>
      </w:r>
    </w:p>
    <w:p>
      <w:pPr>
        <w:numPr>
          <w:ilvl w:val="0"/>
          <w:numId w:val="1040"/>
        </w:numPr>
      </w:pPr>
      <w:r>
        <w:t xml:space="preserve">Processes should be consistent with the general provisions and principles of quality management as described in the WMO Technical Regulations (WMO-No. 49).</w:t>
      </w:r>
    </w:p>
    <w:p>
      <w:pPr>
        <w:pStyle w:val="Heading3"/>
      </w:pPr>
      <w:bookmarkStart w:id="119" w:name="X6a00b6457f0c1f3361b337f694a28b174d7bdda"/>
      <w:r>
        <w:t xml:space="preserve">Principle 4: Information must be standardized and interoperable</w:t>
      </w:r>
      <w:bookmarkEnd w:id="119"/>
    </w:p>
    <w:p>
      <w:pPr>
        <w:numPr>
          <w:ilvl w:val="0"/>
          <w:numId w:val="1041"/>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41"/>
        </w:numPr>
      </w:pPr>
      <w:r>
        <w:t xml:space="preserve">Standardization is essential for structured information such as dataset definitions and metadata to support interoperability.</w:t>
      </w:r>
    </w:p>
    <w:p>
      <w:pPr>
        <w:numPr>
          <w:ilvl w:val="0"/>
          <w:numId w:val="1041"/>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41"/>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41"/>
        </w:numPr>
      </w:pPr>
      <w:r>
        <w:t xml:space="preserve">The use of closed and proprietary standards is strongly discouraged.</w:t>
      </w:r>
    </w:p>
    <w:p>
      <w:pPr>
        <w:pStyle w:val="Heading3"/>
      </w:pPr>
      <w:bookmarkStart w:id="120" w:name="X7a72b7a348aceb0a6c3eeef09fd9dc18fc224a0"/>
      <w:r>
        <w:t xml:space="preserve">Principle 5: Information must be well documented</w:t>
      </w:r>
      <w:bookmarkEnd w:id="120"/>
    </w:p>
    <w:p>
      <w:pPr>
        <w:numPr>
          <w:ilvl w:val="0"/>
          <w:numId w:val="1042"/>
        </w:numPr>
      </w:pPr>
      <w:r>
        <w:t xml:space="preserve">WMO centres should comprehensively document information processes, policies, and procedures to facilitate broad and long-term use.</w:t>
      </w:r>
    </w:p>
    <w:p>
      <w:pPr>
        <w:numPr>
          <w:ilvl w:val="0"/>
          <w:numId w:val="1042"/>
        </w:numPr>
      </w:pPr>
      <w:r>
        <w:t xml:space="preserve">WMO centres should keep documentation up to date to ensure full traceability of processes along the information lifecycle, particularly for its creation.</w:t>
      </w:r>
    </w:p>
    <w:p>
      <w:pPr>
        <w:numPr>
          <w:ilvl w:val="0"/>
          <w:numId w:val="1042"/>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3"/>
      </w:pPr>
      <w:bookmarkStart w:id="121" w:name="Xf201bbec5eea25bb7367115a98b8129aa22d6b9"/>
      <w:r>
        <w:t xml:space="preserve">Principle 6: Information must be discoverable, accessible and retrievable</w:t>
      </w:r>
      <w:bookmarkEnd w:id="121"/>
    </w:p>
    <w:p>
      <w:pPr>
        <w:numPr>
          <w:ilvl w:val="0"/>
          <w:numId w:val="1043"/>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43"/>
        </w:numPr>
      </w:pPr>
      <w:r>
        <w:t xml:space="preserve">For information to be easily retrievable once discovered, it should be accessible using standard data exchange protocols.</w:t>
      </w:r>
    </w:p>
    <w:p>
      <w:pPr>
        <w:pStyle w:val="Heading3"/>
      </w:pPr>
      <w:bookmarkStart w:id="122" w:name="Xad9a69e02a46804a1cafca89aee5aabe4560385"/>
      <w:r>
        <w:t xml:space="preserve">Principle 7: Information should be reusable</w:t>
      </w:r>
      <w:bookmarkEnd w:id="122"/>
    </w:p>
    <w:p>
      <w:pPr>
        <w:numPr>
          <w:ilvl w:val="0"/>
          <w:numId w:val="1044"/>
        </w:numPr>
      </w:pPr>
      <w:r>
        <w:t xml:space="preserve">In order to maximize the economic benefits of an information asset it should be made as widely available and as accessible as possible.</w:t>
      </w:r>
    </w:p>
    <w:p>
      <w:pPr>
        <w:numPr>
          <w:ilvl w:val="0"/>
          <w:numId w:val="1044"/>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44"/>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23"/>
      </w:r>
    </w:p>
    <w:p>
      <w:pPr>
        <w:pStyle w:val="Heading3"/>
      </w:pPr>
      <w:bookmarkStart w:id="125" w:name="X985b53b52432ebd6bb65899337d26b4ccfeefb9"/>
      <w:r>
        <w:t xml:space="preserve">Principle 8: Information management is subject to accountability and governance.</w:t>
      </w:r>
      <w:bookmarkEnd w:id="125"/>
    </w:p>
    <w:p>
      <w:pPr>
        <w:numPr>
          <w:ilvl w:val="0"/>
          <w:numId w:val="1045"/>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45"/>
        </w:numPr>
      </w:pPr>
      <w:r>
        <w:t xml:space="preserve">information management practices, procedures and protocols, including well-defined roles, responsibilities and restrictions on managing the information;</w:t>
      </w:r>
    </w:p>
    <w:p>
      <w:pPr>
        <w:numPr>
          <w:ilvl w:val="0"/>
          <w:numId w:val="1045"/>
        </w:numPr>
      </w:pPr>
      <w:r>
        <w:t xml:space="preserve">definition and enforcement of appropriate retention policy, taking into account stakeholder needs and variations in value over the information lifecycle;</w:t>
      </w:r>
    </w:p>
    <w:p>
      <w:pPr>
        <w:numPr>
          <w:ilvl w:val="0"/>
          <w:numId w:val="1045"/>
        </w:numPr>
      </w:pPr>
      <w:r>
        <w:t xml:space="preserve">licensing and defining and enforcing any access restrictions.</w:t>
      </w:r>
    </w:p>
    <w:p>
      <w:pPr>
        <w:numPr>
          <w:ilvl w:val="0"/>
          <w:numId w:val="1045"/>
        </w:numPr>
      </w:pPr>
      <w:r>
        <w:t xml:space="preserve">The designated owner should have budget and decision-making authority about preservation and data usage, including passing ownership to another authority.</w:t>
      </w:r>
    </w:p>
    <w:p>
      <w:pPr>
        <w:pStyle w:val="Heading2"/>
      </w:pPr>
      <w:bookmarkStart w:id="126" w:name="X78a249a2cf11ac86cd7d6d498271963ba9dd080"/>
      <w:r>
        <w:t xml:space="preserve">The information management lifecycle</w:t>
      </w:r>
      <w:bookmarkEnd w:id="126"/>
    </w:p>
    <w:p>
      <w:pPr>
        <w:pStyle w:val="Heading3"/>
      </w:pPr>
      <w:bookmarkStart w:id="127" w:name="X43f9398da9c2eb974194c1e60a2fdc80e1bfc87"/>
      <w:r>
        <w:t xml:space="preserve">Overview</w:t>
      </w:r>
      <w:bookmarkEnd w:id="127"/>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46"/>
        </w:numPr>
      </w:pPr>
      <w:r>
        <w:t xml:space="preserve">Planning, creation and acquisition</w:t>
      </w:r>
    </w:p>
    <w:p>
      <w:pPr>
        <w:numPr>
          <w:ilvl w:val="0"/>
          <w:numId w:val="1046"/>
        </w:numPr>
      </w:pPr>
      <w:r>
        <w:t xml:space="preserve">Representation and metadata</w:t>
      </w:r>
    </w:p>
    <w:p>
      <w:pPr>
        <w:numPr>
          <w:ilvl w:val="0"/>
          <w:numId w:val="1046"/>
        </w:numPr>
      </w:pPr>
      <w:r>
        <w:t xml:space="preserve">Publication and exchange</w:t>
      </w:r>
    </w:p>
    <w:p>
      <w:pPr>
        <w:numPr>
          <w:ilvl w:val="0"/>
          <w:numId w:val="1046"/>
        </w:numPr>
      </w:pPr>
      <w:r>
        <w:t xml:space="preserve">Usage and communication</w:t>
      </w:r>
    </w:p>
    <w:p>
      <w:pPr>
        <w:numPr>
          <w:ilvl w:val="0"/>
          <w:numId w:val="1046"/>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3"/>
      </w:pPr>
      <w:bookmarkStart w:id="128" w:name="Xb3f0671d8925fa193cc843a6c5ac3eb64409810"/>
      <w:r>
        <w:t xml:space="preserve">Overarching requirements</w:t>
      </w:r>
      <w:bookmarkEnd w:id="128"/>
    </w:p>
    <w:p>
      <w:pPr>
        <w:pStyle w:val="Heading4"/>
      </w:pPr>
      <w:bookmarkStart w:id="129" w:name="X46bef04a53b25a1a07899f714aadd7ab888e2c5"/>
      <w:r>
        <w:t xml:space="preserve">Governance</w:t>
      </w:r>
      <w:bookmarkEnd w:id="129"/>
    </w:p>
    <w:p>
      <w:pPr>
        <w:numPr>
          <w:ilvl w:val="0"/>
          <w:numId w:val="1047"/>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47"/>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47"/>
        </w:numPr>
      </w:pPr>
      <w:r>
        <w:t xml:space="preserve">WMO centres should establish a board or leadership group to develop and regularly review such a governance structure and ensure compliance with its requirements.</w:t>
      </w:r>
    </w:p>
    <w:p>
      <w:pPr>
        <w:pStyle w:val="Heading4"/>
      </w:pPr>
      <w:bookmarkStart w:id="130" w:name="X983d5959bc8486b1ce731c329c055fcbbc55a03"/>
      <w:r>
        <w:t xml:space="preserve">Documentation</w:t>
      </w:r>
      <w:bookmarkEnd w:id="130"/>
    </w:p>
    <w:p>
      <w:pPr>
        <w:numPr>
          <w:ilvl w:val="0"/>
          <w:numId w:val="1048"/>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48"/>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3"/>
      </w:pPr>
      <w:bookmarkStart w:id="131" w:name="Xc1748e8f7038b0e2d79f80c2501fb09e121bdc5"/>
      <w:r>
        <w:t xml:space="preserve">Aspects of the information management lifecycle</w:t>
      </w:r>
      <w:bookmarkEnd w:id="131"/>
    </w:p>
    <w:p>
      <w:pPr>
        <w:pStyle w:val="Heading4"/>
      </w:pPr>
      <w:bookmarkStart w:id="132" w:name="Xb3fb7be77fcbfe5935f83c52aa59c7c4f68f9ed"/>
      <w:r>
        <w:t xml:space="preserve">Planning, information creation and acquisition</w:t>
      </w:r>
      <w:bookmarkEnd w:id="132"/>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49"/>
        </w:numPr>
      </w:pPr>
      <w:r>
        <w:t xml:space="preserve">Why the information is required</w:t>
      </w:r>
    </w:p>
    <w:p>
      <w:pPr>
        <w:numPr>
          <w:ilvl w:val="0"/>
          <w:numId w:val="1049"/>
        </w:numPr>
      </w:pPr>
      <w:r>
        <w:t xml:space="preserve">How it will be collected or created</w:t>
      </w:r>
    </w:p>
    <w:p>
      <w:pPr>
        <w:numPr>
          <w:ilvl w:val="0"/>
          <w:numId w:val="1049"/>
        </w:numPr>
      </w:pPr>
      <w:r>
        <w:t xml:space="preserve">How it will be stored</w:t>
      </w:r>
    </w:p>
    <w:p>
      <w:pPr>
        <w:numPr>
          <w:ilvl w:val="0"/>
          <w:numId w:val="1049"/>
        </w:numPr>
      </w:pPr>
      <w:r>
        <w:t xml:space="preserve">Whether it will be exchanged with other users and under what policy</w:t>
      </w:r>
    </w:p>
    <w:p>
      <w:pPr>
        <w:numPr>
          <w:ilvl w:val="0"/>
          <w:numId w:val="1049"/>
        </w:numPr>
      </w:pPr>
      <w:r>
        <w:t xml:space="preserve">Where it should be submitted for long term archival</w:t>
      </w:r>
    </w:p>
    <w:p>
      <w:pPr>
        <w:numPr>
          <w:ilvl w:val="0"/>
          <w:numId w:val="1049"/>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4"/>
      </w:pPr>
      <w:bookmarkStart w:id="133" w:name="X0fb41f5d69e3c0e08742406b46184bce7272db1"/>
      <w:r>
        <w:t xml:space="preserve">Representation and metadata</w:t>
      </w:r>
      <w:bookmarkEnd w:id="133"/>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4"/>
      </w:pPr>
      <w:bookmarkStart w:id="134" w:name="X9141f665603210a069fd950d3a70a10fce81a4b"/>
      <w:r>
        <w:t xml:space="preserve">Publication and exchange of information</w:t>
      </w:r>
      <w:bookmarkEnd w:id="134"/>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35">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36">
        <w:r>
          <w:rPr>
            <w:rStyle w:val="Hyperlink"/>
          </w:rPr>
          <w:t xml:space="preserve">https://community.wmo.int/news/operational-newsletter</w:t>
        </w:r>
      </w:hyperlink>
    </w:p>
    <w:p>
      <w:pPr>
        <w:pStyle w:val="Heading4"/>
      </w:pPr>
      <w:bookmarkStart w:id="137" w:name="X3943a915dab0acd14a551cc23fe1ab4fc5b6d08"/>
      <w:r>
        <w:t xml:space="preserve">Usage and communication</w:t>
      </w:r>
      <w:bookmarkEnd w:id="137"/>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50"/>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50"/>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4"/>
      </w:pPr>
      <w:bookmarkStart w:id="138" w:name="Xc49f3d2ac2c1a4985f413e4e33375d67ca4edae"/>
      <w:r>
        <w:t xml:space="preserve">Storage, archival and disposal</w:t>
      </w:r>
      <w:bookmarkEnd w:id="138"/>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2"/>
      </w:pPr>
      <w:bookmarkStart w:id="139" w:name="Xcde52b855ebe88b41febf339572171c6eff9f00"/>
      <w:r>
        <w:t xml:space="preserve">Other considerations</w:t>
      </w:r>
      <w:bookmarkEnd w:id="139"/>
    </w:p>
    <w:p>
      <w:pPr>
        <w:pStyle w:val="Heading3"/>
      </w:pPr>
      <w:bookmarkStart w:id="140" w:name="Xaaae0965b9c1bfef7ff2e90d054b0b5d3ba2f74"/>
      <w:r>
        <w:t xml:space="preserve">Technology and technology migration</w:t>
      </w:r>
      <w:bookmarkEnd w:id="140"/>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3"/>
      </w:pPr>
      <w:bookmarkStart w:id="141" w:name="X4be09f68f287a055be5a28deacf8bb1b4bf1904"/>
      <w:r>
        <w:t xml:space="preserve">Information security</w:t>
      </w:r>
      <w:bookmarkEnd w:id="141"/>
    </w:p>
    <w:p>
      <w:pPr>
        <w:pStyle w:val="FirstParagraph"/>
      </w:pPr>
      <w:r>
        <w:t xml:space="preserve">Further information on information security and best practices can be found in the WMO Guide to Information Technology Security (WMO-No. 1115).</w:t>
      </w:r>
    </w:p>
    <w:p>
      <w:pPr>
        <w:pStyle w:val="Heading1"/>
      </w:pPr>
      <w:bookmarkStart w:id="142" w:name="Xb7d2bc154bedbbc0d30f18e7cbf70b2c3be4eb8"/>
      <w:r>
        <w:t xml:space="preserve">Other considerations</w:t>
      </w:r>
      <w:bookmarkEnd w:id="142"/>
    </w:p>
    <w:p>
      <w:pPr>
        <w:pStyle w:val="Heading2"/>
      </w:pPr>
      <w:bookmarkStart w:id="143" w:name="X029cf9da2f3407ef2e101534a8248f7d0992072"/>
      <w:r>
        <w:t xml:space="preserve">Competencies of personnel</w:t>
      </w:r>
      <w:bookmarkEnd w:id="143"/>
    </w:p>
    <w:p>
      <w:pPr>
        <w:pStyle w:val="FirstParagraph"/>
      </w:pPr>
      <w:r>
        <w:t xml:space="preserve">The Manual on WIS (WMO No. 1060), Vol II. Part I, 1.6, recommends that Members have access to staff who have the required competencies needed to operate their WIS Centres. This includes both generic Information Technology competencies and those specific to the operation of WIS.</w:t>
      </w:r>
    </w:p>
    <w:p>
      <w:pPr>
        <w:pStyle w:val="BodyText"/>
      </w:pPr>
      <w:r>
        <w:t xml:space="preserve">WIS2 embraces use of open standards and widely adopted Web technologies. As such, there are many training and development resources available online. WIS-specific competencies are described in Appendix A: Competencies.</w:t>
      </w:r>
    </w:p>
    <w:p>
      <w:pPr>
        <w:pStyle w:val="Heading2"/>
      </w:pPr>
      <w:bookmarkStart w:id="144" w:name="X77edce85acc08af2639259fb992184fd872e5f0"/>
      <w:r>
        <w:t xml:space="preserve">Audit and certification of WIS Centres</w:t>
      </w:r>
      <w:bookmarkEnd w:id="144"/>
    </w:p>
    <w:p>
      <w:pPr>
        <w:pStyle w:val="FirstParagraph"/>
      </w:pPr>
      <w:r>
        <w:t xml:space="preserve">INFCOM recognizes that for WIS to remain fully functional regular reviews of each NC, DCPC, and GISC are required to assess ongoing compliance with the Manual on WIS. Recommended practices for this rolling review are provided in Appendix B: Recommended Practices for Audit and Certification of WIS Centres</w:t>
      </w:r>
    </w:p>
    <w:p>
      <w:pPr>
        <w:pStyle w:val="Heading2"/>
      </w:pPr>
      <w:bookmarkStart w:id="145" w:name="Xf247e08dba19c84442d408b46528548a4d54b85"/>
      <w:r>
        <w:t xml:space="preserve">Pilot phase deployment configuration</w:t>
      </w:r>
      <w:bookmarkEnd w:id="145"/>
    </w:p>
    <w:p>
      <w:pPr>
        <w:pStyle w:val="FirstParagraph"/>
      </w:pPr>
      <w:r>
        <w:t xml:space="preserve">TODO: To be completed Once the WIS2 pilot phase is established, information will be added describing the location and configuration details required to connect to Global Services</w:t>
      </w:r>
    </w:p>
    <w:p>
      <w:pPr>
        <w:pStyle w:val="Heading1"/>
      </w:pPr>
      <w:bookmarkStart w:id="146" w:name="X7dc5ec89ace04afa0dfcc5c2c63a457bc733b57"/>
      <w:r>
        <w:t xml:space="preserve">References</w:t>
      </w:r>
      <w:bookmarkEnd w:id="146"/>
    </w:p>
    <w:p>
      <w:pPr>
        <w:pStyle w:val="Heading2"/>
      </w:pPr>
      <w:bookmarkStart w:id="147" w:name="X5d2487a7c2687258a30f8e4b616762c7c2364cb"/>
      <w:r>
        <w:t xml:space="preserve">Normative</w:t>
      </w:r>
      <w:bookmarkEnd w:id="147"/>
    </w:p>
    <w:p>
      <w:pPr>
        <w:numPr>
          <w:ilvl w:val="0"/>
          <w:numId w:val="1051"/>
        </w:numPr>
      </w:pPr>
      <w:r>
        <w:t xml:space="preserve">WMO: Manual on WIS (WMO No. 1060), Vol II. WIS 2.0</w:t>
      </w:r>
    </w:p>
    <w:p>
      <w:pPr>
        <w:numPr>
          <w:ilvl w:val="0"/>
          <w:numId w:val="1051"/>
        </w:numPr>
      </w:pPr>
      <w:r>
        <w:t xml:space="preserve">WMO: WMO Core Metadata Profile version 2 (WCMP2)</w:t>
      </w:r>
      <w:r>
        <w:t xml:space="preserve"> </w:t>
      </w:r>
      <w:r>
        <w:rPr>
          <w:rStyle w:val="FootnoteReference"/>
        </w:rPr>
        <w:footnoteReference w:id="148"/>
      </w:r>
    </w:p>
    <w:p>
      <w:pPr>
        <w:numPr>
          <w:ilvl w:val="0"/>
          <w:numId w:val="1051"/>
        </w:numPr>
      </w:pPr>
      <w:r>
        <w:t xml:space="preserve">WMO: WIS2 Topic Hierarchy</w:t>
      </w:r>
      <w:r>
        <w:t xml:space="preserve"> </w:t>
      </w:r>
      <w:r>
        <w:rPr>
          <w:rStyle w:val="FootnoteReference"/>
        </w:rPr>
        <w:footnoteReference w:id="150"/>
      </w:r>
    </w:p>
    <w:p>
      <w:pPr>
        <w:numPr>
          <w:ilvl w:val="0"/>
          <w:numId w:val="1051"/>
        </w:numPr>
      </w:pPr>
      <w:r>
        <w:t xml:space="preserve">WMO: WIS2 Notification Message format</w:t>
      </w:r>
      <w:r>
        <w:t xml:space="preserve"> </w:t>
      </w:r>
      <w:r>
        <w:rPr>
          <w:rStyle w:val="FootnoteReference"/>
        </w:rPr>
        <w:footnoteReference w:id="152"/>
      </w:r>
    </w:p>
    <w:p>
      <w:pPr>
        <w:numPr>
          <w:ilvl w:val="0"/>
          <w:numId w:val="1051"/>
        </w:numPr>
      </w:pPr>
      <w:r>
        <w:t xml:space="preserve">WMO: WIS2 Metric Hierarchy</w:t>
      </w:r>
      <w:r>
        <w:t xml:space="preserve"> </w:t>
      </w:r>
      <w:r>
        <w:rPr>
          <w:rStyle w:val="FootnoteReference"/>
        </w:rPr>
        <w:footnoteReference w:id="154"/>
      </w:r>
    </w:p>
    <w:p>
      <w:pPr>
        <w:numPr>
          <w:ilvl w:val="0"/>
          <w:numId w:val="1051"/>
        </w:numPr>
      </w:pPr>
      <w:r>
        <w:t xml:space="preserve">W3C: Architecture of the World Wide Web, Volume One</w:t>
      </w:r>
      <w:r>
        <w:t xml:space="preserve"> </w:t>
      </w:r>
      <w:r>
        <w:rPr>
          <w:rStyle w:val="FootnoteReference"/>
        </w:rPr>
        <w:footnoteReference w:id="156"/>
      </w:r>
    </w:p>
    <w:p>
      <w:pPr>
        <w:numPr>
          <w:ilvl w:val="0"/>
          <w:numId w:val="1051"/>
        </w:numPr>
      </w:pPr>
      <w:r>
        <w:t xml:space="preserve">IETF: RFC 3339 Date and Time on the Internet: Timestamps</w:t>
      </w:r>
      <w:r>
        <w:t xml:space="preserve"> </w:t>
      </w:r>
      <w:r>
        <w:rPr>
          <w:rStyle w:val="FootnoteReference"/>
        </w:rPr>
        <w:footnoteReference w:id="158"/>
      </w:r>
    </w:p>
    <w:p>
      <w:pPr>
        <w:numPr>
          <w:ilvl w:val="0"/>
          <w:numId w:val="1051"/>
        </w:numPr>
      </w:pPr>
      <w:r>
        <w:t xml:space="preserve">IETF: RFC 3986 Uniform Resource Identifier: Generic Syntax</w:t>
      </w:r>
      <w:r>
        <w:t xml:space="preserve"> </w:t>
      </w:r>
      <w:r>
        <w:rPr>
          <w:rStyle w:val="FootnoteReference"/>
        </w:rPr>
        <w:footnoteReference w:id="160"/>
      </w:r>
    </w:p>
    <w:p>
      <w:pPr>
        <w:numPr>
          <w:ilvl w:val="0"/>
          <w:numId w:val="1051"/>
        </w:numPr>
      </w:pPr>
      <w:r>
        <w:t xml:space="preserve">IETF: RFC 7946 GeoJSON format</w:t>
      </w:r>
      <w:r>
        <w:t xml:space="preserve"> </w:t>
      </w:r>
      <w:r>
        <w:rPr>
          <w:rStyle w:val="FootnoteReference"/>
        </w:rPr>
        <w:footnoteReference w:id="162"/>
      </w:r>
    </w:p>
    <w:p>
      <w:pPr>
        <w:numPr>
          <w:ilvl w:val="0"/>
          <w:numId w:val="1051"/>
        </w:numPr>
      </w:pPr>
      <w:r>
        <w:t xml:space="preserve">OGC: OGC API-Records - Part 1: Core</w:t>
      </w:r>
      <w:r>
        <w:t xml:space="preserve"> </w:t>
      </w:r>
      <w:r>
        <w:rPr>
          <w:rStyle w:val="FootnoteReference"/>
        </w:rPr>
        <w:footnoteReference w:id="164"/>
      </w:r>
    </w:p>
    <w:p>
      <w:pPr>
        <w:numPr>
          <w:ilvl w:val="0"/>
          <w:numId w:val="1051"/>
        </w:numPr>
      </w:pPr>
      <w:r>
        <w:t xml:space="preserve">OASIS: MQTT 3.1.1 specification</w:t>
      </w:r>
      <w:r>
        <w:t xml:space="preserve"> </w:t>
      </w:r>
      <w:r>
        <w:rPr>
          <w:rStyle w:val="FootnoteReference"/>
        </w:rPr>
        <w:footnoteReference w:id="166"/>
      </w:r>
    </w:p>
    <w:p>
      <w:pPr>
        <w:numPr>
          <w:ilvl w:val="0"/>
          <w:numId w:val="1051"/>
        </w:numPr>
      </w:pPr>
      <w:r>
        <w:t xml:space="preserve">OASIS: MQTT 5.0 specification</w:t>
      </w:r>
      <w:r>
        <w:t xml:space="preserve"> </w:t>
      </w:r>
      <w:r>
        <w:rPr>
          <w:rStyle w:val="FootnoteReference"/>
        </w:rPr>
        <w:footnoteReference w:id="168"/>
      </w:r>
    </w:p>
    <w:p>
      <w:pPr>
        <w:numPr>
          <w:ilvl w:val="0"/>
          <w:numId w:val="1051"/>
        </w:numPr>
      </w:pPr>
      <w:r>
        <w:t xml:space="preserve">: Cloud Native Computing Foundation: OpenMetrics</w:t>
      </w:r>
      <w:r>
        <w:t xml:space="preserve"> </w:t>
      </w:r>
      <w:r>
        <w:rPr>
          <w:rStyle w:val="FootnoteReference"/>
        </w:rPr>
        <w:footnoteReference w:id="170"/>
      </w:r>
    </w:p>
    <w:p>
      <w:pPr>
        <w:pStyle w:val="Heading2"/>
      </w:pPr>
      <w:bookmarkStart w:id="172" w:name="Xc2d5afcdca2b14ba1a2b7f30b0265ea3f726515"/>
      <w:r>
        <w:t xml:space="preserve">Informative</w:t>
      </w:r>
      <w:bookmarkEnd w:id="172"/>
    </w:p>
    <w:p>
      <w:pPr>
        <w:numPr>
          <w:ilvl w:val="0"/>
          <w:numId w:val="1052"/>
        </w:numPr>
      </w:pPr>
      <w:r>
        <w:t xml:space="preserve">WMO: WMO Information System 2.0 Strategy (WMO No. 1213)</w:t>
      </w:r>
      <w:r>
        <w:t xml:space="preserve"> </w:t>
      </w:r>
      <w:r>
        <w:rPr>
          <w:rStyle w:val="FootnoteReference"/>
        </w:rPr>
        <w:footnoteReference w:id="173"/>
      </w:r>
    </w:p>
    <w:p>
      <w:pPr>
        <w:numPr>
          <w:ilvl w:val="0"/>
          <w:numId w:val="1052"/>
        </w:numPr>
      </w:pPr>
      <w:r>
        <w:t xml:space="preserve">WMO: WMO Guidelines on Emerging Data Issues (WMO No. 1239)</w:t>
      </w:r>
      <w:r>
        <w:t xml:space="preserve"> </w:t>
      </w:r>
      <w:r>
        <w:rPr>
          <w:rStyle w:val="FootnoteReference"/>
        </w:rPr>
        <w:footnoteReference w:id="175"/>
      </w:r>
    </w:p>
    <w:p>
      <w:pPr>
        <w:numPr>
          <w:ilvl w:val="0"/>
          <w:numId w:val="1052"/>
        </w:numPr>
      </w:pPr>
      <w:r>
        <w:t xml:space="preserve">W3C: Data on the Web Best Practices</w:t>
      </w:r>
      <w:r>
        <w:t xml:space="preserve"> </w:t>
      </w:r>
      <w:r>
        <w:rPr>
          <w:rStyle w:val="FootnoteReference"/>
        </w:rPr>
        <w:footnoteReference w:id="177"/>
      </w:r>
    </w:p>
    <w:p>
      <w:pPr>
        <w:numPr>
          <w:ilvl w:val="0"/>
          <w:numId w:val="1052"/>
        </w:numPr>
      </w:pPr>
      <w:r>
        <w:t xml:space="preserve">[[w3c-sdw-bp] [W3C/OGC Spatial Data on the Web Best Practices</w:t>
      </w:r>
      <w:r>
        <w:t xml:space="preserve"> </w:t>
      </w:r>
      <w:r>
        <w:rPr>
          <w:rStyle w:val="FootnoteReference"/>
        </w:rPr>
        <w:footnoteReference w:id="179"/>
      </w:r>
    </w:p>
    <w:p>
      <w:pPr>
        <w:numPr>
          <w:ilvl w:val="0"/>
          <w:numId w:val="1052"/>
        </w:numPr>
      </w:pPr>
      <w:r>
        <w:t xml:space="preserve">OGC: Towards a Cloud-Native OGC. Part 1: The Vision:</w:t>
      </w:r>
      <w:r>
        <w:t xml:space="preserve"> </w:t>
      </w:r>
      <w:r>
        <w:rPr>
          <w:rStyle w:val="FootnoteReference"/>
        </w:rPr>
        <w:footnoteReference w:id="181"/>
      </w:r>
    </w:p>
    <w:p>
      <w:pPr>
        <w:numPr>
          <w:ilvl w:val="0"/>
          <w:numId w:val="1052"/>
        </w:numPr>
      </w:pPr>
      <w:r>
        <w:t xml:space="preserve">OGC: Towards a Cloud-Native OGC. Part 2: The Standards:</w:t>
      </w:r>
      <w:r>
        <w:t xml:space="preserve"> </w:t>
      </w:r>
      <w:r>
        <w:rPr>
          <w:rStyle w:val="FootnoteReference"/>
        </w:rPr>
        <w:footnoteReference w:id="183"/>
      </w:r>
    </w:p>
    <w:p>
      <w:pPr>
        <w:numPr>
          <w:ilvl w:val="0"/>
          <w:numId w:val="1052"/>
        </w:numPr>
      </w:pPr>
      <w:r>
        <w:t xml:space="preserve">OpenAPI Initiative: OpenAPI Specification v3.1.0</w:t>
      </w:r>
      <w:r>
        <w:t xml:space="preserve"> </w:t>
      </w:r>
      <w:r>
        <w:rPr>
          <w:rStyle w:val="FootnoteReference"/>
        </w:rPr>
        <w:footnoteReference w:id="185"/>
      </w:r>
    </w:p>
    <w:p>
      <w:pPr>
        <w:numPr>
          <w:ilvl w:val="0"/>
          <w:numId w:val="1052"/>
        </w:numPr>
      </w:pPr>
      <w:r>
        <w:t xml:space="preserve">OGC: OGC API standards</w:t>
      </w:r>
      <w:r>
        <w:t xml:space="preserve"> </w:t>
      </w:r>
      <w:r>
        <w:rPr>
          <w:rStyle w:val="FootnoteReference"/>
        </w:rPr>
        <w:footnoteReference w:id="187"/>
      </w:r>
    </w:p>
    <w:p>
      <w:pPr>
        <w:numPr>
          <w:ilvl w:val="0"/>
          <w:numId w:val="1052"/>
        </w:numPr>
      </w:pPr>
      <w:r>
        <w:t xml:space="preserve">OGC: OGC API – Features – Part 1: Core</w:t>
      </w:r>
      <w:r>
        <w:t xml:space="preserve"> </w:t>
      </w:r>
      <w:r>
        <w:rPr>
          <w:rStyle w:val="FootnoteReference"/>
        </w:rPr>
        <w:footnoteReference w:id="189"/>
      </w:r>
    </w:p>
    <w:p>
      <w:pPr>
        <w:numPr>
          <w:ilvl w:val="0"/>
          <w:numId w:val="1052"/>
        </w:numPr>
      </w:pPr>
      <w:r>
        <w:t xml:space="preserve">OGC: OGC API – Coverages – Part 1: Core draft</w:t>
      </w:r>
      <w:r>
        <w:t xml:space="preserve"> </w:t>
      </w:r>
      <w:r>
        <w:rPr>
          <w:rStyle w:val="FootnoteReference"/>
        </w:rPr>
        <w:footnoteReference w:id="191"/>
      </w:r>
    </w:p>
    <w:p>
      <w:pPr>
        <w:numPr>
          <w:ilvl w:val="0"/>
          <w:numId w:val="1052"/>
        </w:numPr>
      </w:pPr>
      <w:r>
        <w:t xml:space="preserve">OGC: OGC API – Environmental Data Retrieval Standard</w:t>
      </w:r>
      <w:r>
        <w:t xml:space="preserve"> </w:t>
      </w:r>
      <w:r>
        <w:rPr>
          <w:rStyle w:val="FootnoteReference"/>
        </w:rPr>
        <w:footnoteReference w:id="193"/>
      </w:r>
    </w:p>
    <w:p>
      <w:pPr>
        <w:numPr>
          <w:ilvl w:val="0"/>
          <w:numId w:val="1052"/>
        </w:numPr>
      </w:pPr>
      <w:r>
        <w:t xml:space="preserve">schema.org: Schema.org</w:t>
      </w:r>
      <w:r>
        <w:t xml:space="preserve"> </w:t>
      </w:r>
      <w:r>
        <w:rPr>
          <w:rStyle w:val="FootnoteReference"/>
        </w:rPr>
        <w:footnoteReference w:id="195"/>
      </w:r>
    </w:p>
    <w:p>
      <w:pPr>
        <w:numPr>
          <w:ilvl w:val="0"/>
          <w:numId w:val="1052"/>
        </w:numPr>
      </w:pPr>
      <w:r>
        <w:t xml:space="preserve">Spatio Temporal Asset Catalogue: Spatio Temporal Asset Catalogue specification</w:t>
      </w:r>
      <w:r>
        <w:t xml:space="preserve"> </w:t>
      </w:r>
      <w:r>
        <w:rPr>
          <w:rStyle w:val="FootnoteReference"/>
        </w:rPr>
        <w:footnoteReference w:id="197"/>
      </w:r>
    </w:p>
    <w:p>
      <w:pPr>
        <w:numPr>
          <w:ilvl w:val="0"/>
          <w:numId w:val="1052"/>
        </w:numPr>
      </w:pPr>
      <w:r>
        <w:t xml:space="preserve">wis2box: WIS2 in a box</w:t>
      </w:r>
      <w:r>
        <w:t xml:space="preserve"> </w:t>
      </w:r>
      <w:r>
        <w:rPr>
          <w:rStyle w:val="FootnoteReference"/>
        </w:rPr>
        <w:footnoteReference w:id="199"/>
      </w:r>
    </w:p>
    <w:p>
      <w:pPr>
        <w:numPr>
          <w:ilvl w:val="0"/>
          <w:numId w:val="1052"/>
        </w:numPr>
      </w:pPr>
      <w:r>
        <w:t xml:space="preserve">Eclipse Foundation: Eclipse Mosquitto</w:t>
      </w:r>
      <w:r>
        <w:t xml:space="preserve"> </w:t>
      </w:r>
      <w:r>
        <w:rPr>
          <w:rStyle w:val="FootnoteReference"/>
        </w:rPr>
        <w:footnoteReference w:id="201"/>
      </w:r>
    </w:p>
    <w:p>
      <w:pPr>
        <w:numPr>
          <w:ilvl w:val="0"/>
          <w:numId w:val="1052"/>
        </w:numPr>
      </w:pPr>
      <w:r>
        <w:t xml:space="preserve">RabbitMQ: RabbitMQ MQTT plugin</w:t>
      </w:r>
      <w:r>
        <w:t xml:space="preserve"> </w:t>
      </w:r>
      <w:r>
        <w:rPr>
          <w:rStyle w:val="FootnoteReference"/>
        </w:rPr>
        <w:footnoteReference w:id="203"/>
      </w:r>
    </w:p>
    <w:p>
      <w:pPr>
        <w:numPr>
          <w:ilvl w:val="0"/>
          <w:numId w:val="1052"/>
        </w:numPr>
      </w:pPr>
      <w:r>
        <w:t xml:space="preserve">Prometheus: Prometheus</w:t>
      </w:r>
      <w:r>
        <w:t xml:space="preserve"> </w:t>
      </w:r>
      <w:r>
        <w:rPr>
          <w:rStyle w:val="FootnoteReference"/>
        </w:rPr>
        <w:footnoteReference w:id="205"/>
      </w:r>
    </w:p>
    <w:p>
      <w:pPr>
        <w:numPr>
          <w:ilvl w:val="0"/>
          <w:numId w:val="1052"/>
        </w:numPr>
      </w:pPr>
      <w:r>
        <w:t xml:space="preserve">Grafana: Grafana</w:t>
      </w:r>
      <w:r>
        <w:t xml:space="preserve"> </w:t>
      </w:r>
      <w:r>
        <w:rPr>
          <w:rStyle w:val="FootnoteReference"/>
        </w:rPr>
        <w:footnoteReference w:id="207"/>
      </w:r>
    </w:p>
    <w:p>
      <w:pPr>
        <w:pStyle w:val="Heading1"/>
      </w:pPr>
      <w:bookmarkStart w:id="209" w:name="Xb01b72941e106f40026e8313cebe8325cd24f8c"/>
      <w:r>
        <w:t xml:space="preserve">Competencies</w:t>
      </w:r>
      <w:bookmarkEnd w:id="209"/>
    </w:p>
    <w:p>
      <w:pPr>
        <w:pStyle w:val="FirstParagraph"/>
      </w:pPr>
      <w:r>
        <w:t xml:space="preserve">Seven competencies across four basic functional areas have been identified as follows:</w:t>
      </w:r>
    </w:p>
    <w:p>
      <w:pPr>
        <w:numPr>
          <w:ilvl w:val="0"/>
          <w:numId w:val="1053"/>
        </w:numPr>
      </w:pPr>
      <w:r>
        <w:t xml:space="preserve">Infrastructure: manage the physical infrastructure</w:t>
      </w:r>
    </w:p>
    <w:p>
      <w:pPr>
        <w:numPr>
          <w:ilvl w:val="0"/>
          <w:numId w:val="1053"/>
        </w:numPr>
      </w:pPr>
      <w:r>
        <w:t xml:space="preserve">Infrastructure: manage the operational applications</w:t>
      </w:r>
    </w:p>
    <w:p>
      <w:pPr>
        <w:numPr>
          <w:ilvl w:val="0"/>
          <w:numId w:val="1053"/>
        </w:numPr>
      </w:pPr>
      <w:r>
        <w:t xml:space="preserve">Data: manage the data flow</w:t>
      </w:r>
    </w:p>
    <w:p>
      <w:pPr>
        <w:numPr>
          <w:ilvl w:val="0"/>
          <w:numId w:val="1053"/>
        </w:numPr>
      </w:pPr>
      <w:r>
        <w:t xml:space="preserve">Data: manage data discovery</w:t>
      </w:r>
    </w:p>
    <w:p>
      <w:pPr>
        <w:numPr>
          <w:ilvl w:val="0"/>
          <w:numId w:val="1053"/>
        </w:numPr>
      </w:pPr>
      <w:r>
        <w:t xml:space="preserve">External interactions: manage interaction among WIS centres</w:t>
      </w:r>
    </w:p>
    <w:p>
      <w:pPr>
        <w:numPr>
          <w:ilvl w:val="0"/>
          <w:numId w:val="1053"/>
        </w:numPr>
      </w:pPr>
      <w:r>
        <w:t xml:space="preserve">External interactions: manage external user interactions</w:t>
      </w:r>
    </w:p>
    <w:p>
      <w:pPr>
        <w:numPr>
          <w:ilvl w:val="0"/>
          <w:numId w:val="1053"/>
        </w:numPr>
      </w:pPr>
      <w:r>
        <w:t xml:space="preserve">Overall service: manage the operational service</w:t>
      </w:r>
    </w:p>
    <w:p>
      <w:pPr>
        <w:pStyle w:val="Heading2"/>
      </w:pPr>
      <w:bookmarkStart w:id="210" w:name="X7480a3d18c8145a2ffa48eadb6ea3b928cf864f"/>
      <w:r>
        <w:t xml:space="preserve">Competency 1: manage the physical infrastructure</w:t>
      </w:r>
      <w:bookmarkEnd w:id="210"/>
    </w:p>
    <w:p>
      <w:pPr>
        <w:pStyle w:val="Heading3"/>
      </w:pPr>
      <w:bookmarkStart w:id="211" w:name="Xcd44527bd88e5fbaa6407561877a221682914dd"/>
      <w:r>
        <w:t xml:space="preserve">Competency description</w:t>
      </w:r>
      <w:bookmarkEnd w:id="211"/>
    </w:p>
    <w:p>
      <w:pPr>
        <w:pStyle w:val="FirstParagraph"/>
      </w:pPr>
      <w:r>
        <w:t xml:space="preserve">Prepare, plan, design, procure, implement and operate the physical infrastructure, networks and applications required to support the WIS centre.</w:t>
      </w:r>
    </w:p>
    <w:p>
      <w:pPr>
        <w:pStyle w:val="BodyText"/>
      </w:pPr>
      <w:r>
        <w:t xml:space="preserve">Many of the skills required here are generic ICT skills and will have already been acquired as part of prior education and training or will be provided by hardware and system suppliers.</w:t>
      </w:r>
    </w:p>
    <w:p>
      <w:pPr>
        <w:pStyle w:val="Heading3"/>
      </w:pPr>
      <w:bookmarkStart w:id="212" w:name="Xbb411079f7791da1117b01b36a796159e7e412b"/>
      <w:r>
        <w:t xml:space="preserve">Performance components</w:t>
      </w:r>
      <w:bookmarkEnd w:id="212"/>
    </w:p>
    <w:p>
      <w:pPr>
        <w:pStyle w:val="Heading3"/>
      </w:pPr>
      <w:bookmarkStart w:id="213" w:name="X3176c045d420c1ea69bfe2cea96a4ad1c5b591d"/>
      <w:r>
        <w:t xml:space="preserve">Management of information technology operations</w:t>
      </w:r>
      <w:bookmarkEnd w:id="213"/>
    </w:p>
    <w:p>
      <w:pPr>
        <w:numPr>
          <w:ilvl w:val="0"/>
          <w:numId w:val="1054"/>
        </w:numPr>
      </w:pPr>
      <w:r>
        <w:t xml:space="preserve">Maintain the system in optimal operational condition by setting and meeting service levels, including:</w:t>
      </w:r>
    </w:p>
    <w:p>
      <w:pPr>
        <w:numPr>
          <w:ilvl w:val="1"/>
          <w:numId w:val="1055"/>
        </w:numPr>
      </w:pPr>
      <w:r>
        <w:t xml:space="preserve">Configuration;</w:t>
      </w:r>
    </w:p>
    <w:p>
      <w:pPr>
        <w:numPr>
          <w:ilvl w:val="1"/>
          <w:numId w:val="1055"/>
        </w:numPr>
      </w:pPr>
      <w:r>
        <w:t xml:space="preserve">Preventative and corrective maintenance and servicing;</w:t>
      </w:r>
    </w:p>
    <w:p>
      <w:pPr>
        <w:numPr>
          <w:ilvl w:val="1"/>
          <w:numId w:val="1055"/>
        </w:numPr>
      </w:pPr>
      <w:r>
        <w:t xml:space="preserve">Equipment replacement or upgrade;</w:t>
      </w:r>
    </w:p>
    <w:p>
      <w:pPr>
        <w:numPr>
          <w:ilvl w:val="1"/>
          <w:numId w:val="1055"/>
        </w:numPr>
      </w:pPr>
      <w:r>
        <w:t xml:space="preserve">Networking and processing capacity;</w:t>
      </w:r>
    </w:p>
    <w:p>
      <w:pPr>
        <w:numPr>
          <w:ilvl w:val="1"/>
          <w:numId w:val="1055"/>
        </w:numPr>
      </w:pPr>
      <w:r>
        <w:t xml:space="preserve">System monitoring and reporting procedures, and corrective actions;</w:t>
      </w:r>
    </w:p>
    <w:p>
      <w:pPr>
        <w:numPr>
          <w:ilvl w:val="0"/>
          <w:numId w:val="1054"/>
        </w:numPr>
      </w:pPr>
      <w:r>
        <w:t xml:space="preserve">Provide contingency planning and operation backup and restoration;</w:t>
      </w:r>
    </w:p>
    <w:p>
      <w:pPr>
        <w:pStyle w:val="Heading3"/>
      </w:pPr>
      <w:bookmarkStart w:id="214" w:name="Xf09529e9b1c18e49653e27f799f5fa00dfb0c43"/>
      <w:r>
        <w:t xml:space="preserve">Management of facilities</w:t>
      </w:r>
      <w:bookmarkEnd w:id="214"/>
    </w:p>
    <w:p>
      <w:pPr>
        <w:numPr>
          <w:ilvl w:val="0"/>
          <w:numId w:val="1056"/>
        </w:numPr>
      </w:pPr>
      <w:r>
        <w:t xml:space="preserve">Manage physical site security;</w:t>
      </w:r>
    </w:p>
    <w:p>
      <w:pPr>
        <w:numPr>
          <w:ilvl w:val="0"/>
          <w:numId w:val="1056"/>
        </w:numPr>
      </w:pPr>
      <w:r>
        <w:t xml:space="preserve">Manage physical site environmental control.</w:t>
      </w:r>
    </w:p>
    <w:p>
      <w:pPr>
        <w:pStyle w:val="Heading3"/>
      </w:pPr>
      <w:bookmarkStart w:id="215" w:name="X6d241038fef10d7f98fa34de1d89085da67726a"/>
      <w:r>
        <w:t xml:space="preserve">Knowledge and skill requirements</w:t>
      </w:r>
      <w:bookmarkEnd w:id="215"/>
    </w:p>
    <w:p>
      <w:pPr>
        <w:numPr>
          <w:ilvl w:val="0"/>
          <w:numId w:val="1057"/>
        </w:numPr>
      </w:pPr>
      <w:r>
        <w:t xml:space="preserve">General ICT skills;</w:t>
      </w:r>
    </w:p>
    <w:p>
      <w:pPr>
        <w:numPr>
          <w:ilvl w:val="0"/>
          <w:numId w:val="1057"/>
        </w:numPr>
      </w:pPr>
      <w:r>
        <w:t xml:space="preserve">Operation, configuration and maintenance of equipment and applications;</w:t>
      </w:r>
    </w:p>
    <w:p>
      <w:pPr>
        <w:numPr>
          <w:ilvl w:val="0"/>
          <w:numId w:val="1057"/>
        </w:numPr>
      </w:pPr>
      <w:r>
        <w:t xml:space="preserve">Recognized information technology service management frameworks;</w:t>
      </w:r>
    </w:p>
    <w:p>
      <w:pPr>
        <w:numPr>
          <w:ilvl w:val="0"/>
          <w:numId w:val="1057"/>
        </w:numPr>
      </w:pPr>
      <w:r>
        <w:t xml:space="preserve">Current technologies and emerging trends;</w:t>
      </w:r>
    </w:p>
    <w:p>
      <w:pPr>
        <w:numPr>
          <w:ilvl w:val="0"/>
          <w:numId w:val="1057"/>
        </w:numPr>
      </w:pPr>
      <w:r>
        <w:t xml:space="preserve">Service level agreements.</w:t>
      </w:r>
    </w:p>
    <w:p>
      <w:pPr>
        <w:pStyle w:val="Heading3"/>
      </w:pPr>
      <w:bookmarkStart w:id="216" w:name="X8dd564dc20a9d919c9c1e2f4242a8d55143fe37"/>
      <w:r>
        <w:t xml:space="preserve">Learning outcomes</w:t>
      </w:r>
      <w:bookmarkEnd w:id="216"/>
    </w:p>
    <w:p>
      <w:pPr>
        <w:pStyle w:val="FirstParagraph"/>
      </w:pPr>
      <w:r>
        <w:t xml:space="preserve">Staff will be able to:</w:t>
      </w:r>
    </w:p>
    <w:p>
      <w:pPr>
        <w:numPr>
          <w:ilvl w:val="0"/>
          <w:numId w:val="1058"/>
        </w:numPr>
      </w:pPr>
      <w:r>
        <w:t xml:space="preserve">Maintain the system in optimal operational condition;</w:t>
      </w:r>
    </w:p>
    <w:p>
      <w:pPr>
        <w:numPr>
          <w:ilvl w:val="0"/>
          <w:numId w:val="1058"/>
        </w:numPr>
      </w:pPr>
      <w:r>
        <w:t xml:space="preserve">Plan for upgrades and operation backup and restoration;</w:t>
      </w:r>
    </w:p>
    <w:p>
      <w:pPr>
        <w:numPr>
          <w:ilvl w:val="0"/>
          <w:numId w:val="1058"/>
        </w:numPr>
      </w:pPr>
      <w:r>
        <w:t xml:space="preserve">Maintain site security and environmental control.</w:t>
      </w:r>
    </w:p>
    <w:p>
      <w:pPr>
        <w:pStyle w:val="FirstParagraph"/>
      </w:pPr>
      <w:r>
        <w:t xml:space="preserve">Staff will learn:</w:t>
      </w:r>
    </w:p>
    <w:p>
      <w:pPr>
        <w:numPr>
          <w:ilvl w:val="0"/>
          <w:numId w:val="1059"/>
        </w:numPr>
      </w:pPr>
      <w:r>
        <w:t xml:space="preserve">WIS specific systems;</w:t>
      </w:r>
    </w:p>
    <w:p>
      <w:pPr>
        <w:numPr>
          <w:ilvl w:val="0"/>
          <w:numId w:val="1059"/>
        </w:numPr>
      </w:pPr>
      <w:r>
        <w:t xml:space="preserve">WIS site security policies;</w:t>
      </w:r>
    </w:p>
    <w:p>
      <w:pPr>
        <w:numPr>
          <w:ilvl w:val="0"/>
          <w:numId w:val="1059"/>
        </w:numPr>
      </w:pPr>
      <w:r>
        <w:t xml:space="preserve">Service level agreements for the centre.</w:t>
      </w:r>
    </w:p>
    <w:p>
      <w:pPr>
        <w:pStyle w:val="Heading3"/>
      </w:pPr>
      <w:bookmarkStart w:id="217" w:name="X99cbd42e7fd8b8e4a16caacc9fa8072f19a4330"/>
      <w:r>
        <w:t xml:space="preserve">Learning activities</w:t>
      </w:r>
      <w:bookmarkEnd w:id="217"/>
    </w:p>
    <w:p>
      <w:pPr>
        <w:pStyle w:val="FirstParagraph"/>
      </w:pPr>
      <w:r>
        <w:t xml:space="preserve">To learn how to perform the required tasks staff may:</w:t>
      </w:r>
    </w:p>
    <w:p>
      <w:pPr>
        <w:numPr>
          <w:ilvl w:val="0"/>
          <w:numId w:val="1060"/>
        </w:numPr>
      </w:pPr>
      <w:r>
        <w:t xml:space="preserve">Attend training sessions run by providers of systems and other tools or by other training providers;</w:t>
      </w:r>
    </w:p>
    <w:p>
      <w:pPr>
        <w:numPr>
          <w:ilvl w:val="0"/>
          <w:numId w:val="1060"/>
        </w:numPr>
      </w:pPr>
      <w:r>
        <w:t xml:space="preserve">Respond to typical monitoring reports;</w:t>
      </w:r>
    </w:p>
    <w:p>
      <w:pPr>
        <w:numPr>
          <w:ilvl w:val="0"/>
          <w:numId w:val="1060"/>
        </w:numPr>
      </w:pPr>
      <w:r>
        <w:t xml:space="preserve">Apply WIS site security measures and respond to typical incidents;</w:t>
      </w:r>
    </w:p>
    <w:p>
      <w:pPr>
        <w:numPr>
          <w:ilvl w:val="0"/>
          <w:numId w:val="1060"/>
        </w:numPr>
      </w:pPr>
      <w:r>
        <w:t xml:space="preserve">Apply WIS site environmental control measures and respond to typical incidents.</w:t>
      </w:r>
    </w:p>
    <w:p>
      <w:pPr>
        <w:pStyle w:val="Heading3"/>
      </w:pPr>
      <w:bookmarkStart w:id="218" w:name="X4c1f0fd53fa5cba689da65bf110f80d5143cd44"/>
      <w:r>
        <w:t xml:space="preserve">Assessment</w:t>
      </w:r>
      <w:bookmarkEnd w:id="218"/>
    </w:p>
    <w:p>
      <w:pPr>
        <w:pStyle w:val="FirstParagraph"/>
      </w:pPr>
      <w:r>
        <w:t xml:space="preserve">Staff must be able to:</w:t>
      </w:r>
    </w:p>
    <w:p>
      <w:pPr>
        <w:numPr>
          <w:ilvl w:val="0"/>
          <w:numId w:val="1061"/>
        </w:numPr>
      </w:pPr>
      <w:r>
        <w:t xml:space="preserve">Configure and maintain system components;</w:t>
      </w:r>
    </w:p>
    <w:p>
      <w:pPr>
        <w:numPr>
          <w:ilvl w:val="0"/>
          <w:numId w:val="1061"/>
        </w:numPr>
      </w:pPr>
      <w:r>
        <w:t xml:space="preserve">Respond to monitoring reports;</w:t>
      </w:r>
    </w:p>
    <w:p>
      <w:pPr>
        <w:numPr>
          <w:ilvl w:val="0"/>
          <w:numId w:val="1061"/>
        </w:numPr>
      </w:pPr>
      <w:r>
        <w:t xml:space="preserve">Apply WIS site security measures and respond to typical incidents;</w:t>
      </w:r>
    </w:p>
    <w:p>
      <w:pPr>
        <w:numPr>
          <w:ilvl w:val="0"/>
          <w:numId w:val="1061"/>
        </w:numPr>
      </w:pPr>
      <w:r>
        <w:t xml:space="preserve">Apply WIS site environmental control measures and respond to typical incidents.</w:t>
      </w:r>
    </w:p>
    <w:p>
      <w:pPr>
        <w:pStyle w:val="Heading3"/>
      </w:pPr>
      <w:bookmarkStart w:id="219" w:name="Xf76ea7e8acf4b5d1c2f413ea2de0cd1e9e8713a"/>
      <w:r>
        <w:t xml:space="preserve">Key learning resources</w:t>
      </w:r>
      <w:bookmarkEnd w:id="219"/>
    </w:p>
    <w:p>
      <w:pPr>
        <w:numPr>
          <w:ilvl w:val="0"/>
          <w:numId w:val="1062"/>
        </w:numPr>
      </w:pPr>
      <w:r>
        <w:t xml:space="preserve">Manufacturers’ handbooks and guides;</w:t>
      </w:r>
    </w:p>
    <w:p>
      <w:pPr>
        <w:numPr>
          <w:ilvl w:val="0"/>
          <w:numId w:val="1062"/>
        </w:numPr>
      </w:pPr>
      <w:r>
        <w:t xml:space="preserve">Documentation of centre’s facilities;</w:t>
      </w:r>
    </w:p>
    <w:p>
      <w:pPr>
        <w:numPr>
          <w:ilvl w:val="0"/>
          <w:numId w:val="1062"/>
        </w:numPr>
      </w:pPr>
      <w:r>
        <w:t xml:space="preserve">WIS manuals and guides;</w:t>
      </w:r>
    </w:p>
    <w:p>
      <w:pPr>
        <w:numPr>
          <w:ilvl w:val="0"/>
          <w:numId w:val="1062"/>
        </w:numPr>
      </w:pPr>
      <w:r>
        <w:t xml:space="preserve">Tools to monitor system security;</w:t>
      </w:r>
    </w:p>
    <w:p>
      <w:pPr>
        <w:numPr>
          <w:ilvl w:val="0"/>
          <w:numId w:val="1062"/>
        </w:numPr>
      </w:pPr>
      <w:r>
        <w:t xml:space="preserve">WIS security policies;</w:t>
      </w:r>
    </w:p>
    <w:p>
      <w:pPr>
        <w:numPr>
          <w:ilvl w:val="0"/>
          <w:numId w:val="1062"/>
        </w:numPr>
      </w:pPr>
      <w:r>
        <w:t xml:space="preserve">WIS environmental control policies.</w:t>
      </w:r>
    </w:p>
    <w:p>
      <w:pPr>
        <w:pStyle w:val="Heading2"/>
      </w:pPr>
      <w:bookmarkStart w:id="220" w:name="X98ad3cf5206d98da5cb1e33df361178f67bf832"/>
      <w:r>
        <w:t xml:space="preserve">Competency 2: manage the operational applications</w:t>
      </w:r>
      <w:bookmarkEnd w:id="220"/>
    </w:p>
    <w:p>
      <w:pPr>
        <w:pStyle w:val="Heading3"/>
      </w:pPr>
      <w:bookmarkStart w:id="221" w:name="X3c989973e176d0f53e2a05bd325fcfd8158337a"/>
      <w:r>
        <w:t xml:space="preserve">Competency description</w:t>
      </w:r>
      <w:bookmarkEnd w:id="221"/>
    </w:p>
    <w:p>
      <w:pPr>
        <w:pStyle w:val="FirstParagraph"/>
      </w:pPr>
      <w:r>
        <w:t xml:space="preserve">Prepare, plan, design, procure, implement and operate the applications required to support the WIS functions.</w:t>
      </w:r>
    </w:p>
    <w:p>
      <w:pPr>
        <w:pStyle w:val="BodyText"/>
      </w:pPr>
      <w:r>
        <w:t xml:space="preserve">Many of the skills required here are generic ICT skills and will have already been acquired as part of prior education and training or will be provided by suppliers of applications.</w:t>
      </w:r>
    </w:p>
    <w:p>
      <w:pPr>
        <w:pStyle w:val="Heading3"/>
      </w:pPr>
      <w:bookmarkStart w:id="222" w:name="Xc19584f2b6f578ade8f251671a47a7384463b4c"/>
      <w:r>
        <w:t xml:space="preserve">Performance components</w:t>
      </w:r>
      <w:bookmarkEnd w:id="222"/>
    </w:p>
    <w:p>
      <w:pPr>
        <w:numPr>
          <w:ilvl w:val="0"/>
          <w:numId w:val="1063"/>
        </w:numPr>
      </w:pPr>
      <w:r>
        <w:t xml:space="preserve">Meet service levels by maintaining applications in optimal operational condition through:</w:t>
      </w:r>
    </w:p>
    <w:p>
      <w:pPr>
        <w:numPr>
          <w:ilvl w:val="0"/>
          <w:numId w:val="1063"/>
        </w:numPr>
      </w:pPr>
      <w:r>
        <w:t xml:space="preserve">Configuration of applications;</w:t>
      </w:r>
    </w:p>
    <w:p>
      <w:pPr>
        <w:numPr>
          <w:ilvl w:val="1"/>
          <w:numId w:val="1064"/>
        </w:numPr>
      </w:pPr>
      <w:r>
        <w:t xml:space="preserve">Monitoring and responding to applications’ behaviour;</w:t>
      </w:r>
    </w:p>
    <w:p>
      <w:pPr>
        <w:numPr>
          <w:ilvl w:val="1"/>
          <w:numId w:val="1064"/>
        </w:numPr>
      </w:pPr>
      <w:r>
        <w:t xml:space="preserve">Preventative and corrective maintenance;</w:t>
      </w:r>
    </w:p>
    <w:p>
      <w:pPr>
        <w:numPr>
          <w:ilvl w:val="1"/>
          <w:numId w:val="1064"/>
        </w:numPr>
      </w:pPr>
      <w:r>
        <w:t xml:space="preserve">Replacement or upgrade of applications;</w:t>
      </w:r>
    </w:p>
    <w:p>
      <w:pPr>
        <w:numPr>
          <w:ilvl w:val="0"/>
          <w:numId w:val="1063"/>
        </w:numPr>
      </w:pPr>
      <w:r>
        <w:t xml:space="preserve">Provide contingency planning and application backup and restoration;</w:t>
      </w:r>
    </w:p>
    <w:p>
      <w:pPr>
        <w:numPr>
          <w:ilvl w:val="0"/>
          <w:numId w:val="1063"/>
        </w:numPr>
      </w:pPr>
      <w:r>
        <w:t xml:space="preserve">Ensure data integrity and completeness in the event of system failure;</w:t>
      </w:r>
    </w:p>
    <w:p>
      <w:pPr>
        <w:numPr>
          <w:ilvl w:val="0"/>
          <w:numId w:val="1063"/>
        </w:numPr>
      </w:pPr>
      <w:r>
        <w:t xml:space="preserve">Ensure system security.</w:t>
      </w:r>
    </w:p>
    <w:p>
      <w:pPr>
        <w:pStyle w:val="Heading3"/>
      </w:pPr>
      <w:bookmarkStart w:id="223" w:name="Xa19876db18ca14801b637ec9c13459c3e6a2da2"/>
      <w:r>
        <w:t xml:space="preserve">Knowledge and skill requirements</w:t>
      </w:r>
      <w:bookmarkEnd w:id="223"/>
    </w:p>
    <w:p>
      <w:pPr>
        <w:numPr>
          <w:ilvl w:val="0"/>
          <w:numId w:val="1065"/>
        </w:numPr>
      </w:pPr>
      <w:r>
        <w:t xml:space="preserve">ICT skills;</w:t>
      </w:r>
    </w:p>
    <w:p>
      <w:pPr>
        <w:numPr>
          <w:ilvl w:val="0"/>
          <w:numId w:val="1065"/>
        </w:numPr>
      </w:pPr>
      <w:r>
        <w:t xml:space="preserve">Operation, configuration and maintenance of applications;</w:t>
      </w:r>
    </w:p>
    <w:p>
      <w:pPr>
        <w:numPr>
          <w:ilvl w:val="0"/>
          <w:numId w:val="1065"/>
        </w:numPr>
      </w:pPr>
      <w:r>
        <w:t xml:space="preserve">Recognized information technology service management frameworks;</w:t>
      </w:r>
    </w:p>
    <w:p>
      <w:pPr>
        <w:numPr>
          <w:ilvl w:val="0"/>
          <w:numId w:val="1065"/>
        </w:numPr>
      </w:pPr>
      <w:r>
        <w:t xml:space="preserve">Current technologies and emerging trends;</w:t>
      </w:r>
    </w:p>
    <w:p>
      <w:pPr>
        <w:numPr>
          <w:ilvl w:val="0"/>
          <w:numId w:val="1065"/>
        </w:numPr>
      </w:pPr>
      <w:r>
        <w:t xml:space="preserve">WIS functions and requirements;</w:t>
      </w:r>
    </w:p>
    <w:p>
      <w:pPr>
        <w:numPr>
          <w:ilvl w:val="0"/>
          <w:numId w:val="1065"/>
        </w:numPr>
      </w:pPr>
      <w:r>
        <w:t xml:space="preserve">WIS security policies.</w:t>
      </w:r>
    </w:p>
    <w:p>
      <w:pPr>
        <w:pStyle w:val="Heading3"/>
      </w:pPr>
      <w:bookmarkStart w:id="224" w:name="X46aa4b4412898a0536b3d2fe2cc50dbcd2f1500"/>
      <w:r>
        <w:t xml:space="preserve">Learning outcomes</w:t>
      </w:r>
      <w:bookmarkEnd w:id="224"/>
    </w:p>
    <w:p>
      <w:pPr>
        <w:pStyle w:val="FirstParagraph"/>
      </w:pPr>
      <w:r>
        <w:t xml:space="preserve">Staff will be able to:</w:t>
      </w:r>
    </w:p>
    <w:p>
      <w:pPr>
        <w:numPr>
          <w:ilvl w:val="0"/>
          <w:numId w:val="1066"/>
        </w:numPr>
      </w:pPr>
      <w:r>
        <w:t xml:space="preserve">Operate, configure and maintain applications;</w:t>
      </w:r>
    </w:p>
    <w:p>
      <w:pPr>
        <w:numPr>
          <w:ilvl w:val="0"/>
          <w:numId w:val="1066"/>
        </w:numPr>
      </w:pPr>
      <w:r>
        <w:t xml:space="preserve">Monitor applications and take corrective action;</w:t>
      </w:r>
    </w:p>
    <w:p>
      <w:pPr>
        <w:numPr>
          <w:ilvl w:val="0"/>
          <w:numId w:val="1066"/>
        </w:numPr>
      </w:pPr>
      <w:r>
        <w:t xml:space="preserve">Apply and test WIS security protocols.</w:t>
      </w:r>
    </w:p>
    <w:p>
      <w:pPr>
        <w:pStyle w:val="FirstParagraph"/>
      </w:pPr>
      <w:r>
        <w:t xml:space="preserve">Staff will learn:</w:t>
      </w:r>
    </w:p>
    <w:p>
      <w:pPr>
        <w:numPr>
          <w:ilvl w:val="0"/>
          <w:numId w:val="1067"/>
        </w:numPr>
      </w:pPr>
      <w:r>
        <w:t xml:space="preserve">WIS applications specific to the centre;</w:t>
      </w:r>
    </w:p>
    <w:p>
      <w:pPr>
        <w:numPr>
          <w:ilvl w:val="0"/>
          <w:numId w:val="1067"/>
        </w:numPr>
      </w:pPr>
      <w:r>
        <w:t xml:space="preserve">WIS system security policies and procedures.</w:t>
      </w:r>
    </w:p>
    <w:p>
      <w:pPr>
        <w:pStyle w:val="Heading3"/>
      </w:pPr>
      <w:bookmarkStart w:id="225" w:name="Xb5442281ad52e5215798691a41bd0e5fca568a7"/>
      <w:r>
        <w:t xml:space="preserve">Learning activities</w:t>
      </w:r>
      <w:bookmarkEnd w:id="225"/>
    </w:p>
    <w:p>
      <w:pPr>
        <w:pStyle w:val="FirstParagraph"/>
      </w:pPr>
      <w:r>
        <w:t xml:space="preserve">To learn how to perform the required tasks staff may:</w:t>
      </w:r>
    </w:p>
    <w:p>
      <w:pPr>
        <w:numPr>
          <w:ilvl w:val="0"/>
          <w:numId w:val="1068"/>
        </w:numPr>
      </w:pPr>
      <w:r>
        <w:t xml:space="preserve">Attend training sessions run by providers of systems and other tools or by other training providers;</w:t>
      </w:r>
    </w:p>
    <w:p>
      <w:pPr>
        <w:numPr>
          <w:ilvl w:val="0"/>
          <w:numId w:val="1068"/>
        </w:numPr>
      </w:pPr>
      <w:r>
        <w:t xml:space="preserve">Initiate monitoring and reporting procedures and respond to typical monitoring reports;</w:t>
      </w:r>
    </w:p>
    <w:p>
      <w:pPr>
        <w:numPr>
          <w:ilvl w:val="0"/>
          <w:numId w:val="1068"/>
        </w:numPr>
      </w:pPr>
      <w:r>
        <w:t xml:space="preserve">Apply WIS site security measures and respond to typical incidents.</w:t>
      </w:r>
    </w:p>
    <w:p>
      <w:pPr>
        <w:pStyle w:val="Heading3"/>
      </w:pPr>
      <w:bookmarkStart w:id="226" w:name="X6292d9416137167136aeeefe700a7951a09277f"/>
      <w:r>
        <w:t xml:space="preserve">Assessment</w:t>
      </w:r>
      <w:bookmarkEnd w:id="226"/>
    </w:p>
    <w:p>
      <w:pPr>
        <w:pStyle w:val="FirstParagraph"/>
      </w:pPr>
      <w:r>
        <w:t xml:space="preserve">Staff must be able to:</w:t>
      </w:r>
    </w:p>
    <w:p>
      <w:pPr>
        <w:numPr>
          <w:ilvl w:val="0"/>
          <w:numId w:val="1069"/>
        </w:numPr>
      </w:pPr>
      <w:r>
        <w:t xml:space="preserve">Configure and maintain system components;</w:t>
      </w:r>
    </w:p>
    <w:p>
      <w:pPr>
        <w:numPr>
          <w:ilvl w:val="0"/>
          <w:numId w:val="1069"/>
        </w:numPr>
      </w:pPr>
      <w:r>
        <w:t xml:space="preserve">Respond to monitoring reports;</w:t>
      </w:r>
    </w:p>
    <w:p>
      <w:pPr>
        <w:numPr>
          <w:ilvl w:val="0"/>
          <w:numId w:val="1069"/>
        </w:numPr>
      </w:pPr>
      <w:r>
        <w:t xml:space="preserve">Apply site security measures and respond to typical incidents.</w:t>
      </w:r>
    </w:p>
    <w:p>
      <w:pPr>
        <w:pStyle w:val="Heading3"/>
      </w:pPr>
      <w:bookmarkStart w:id="227" w:name="X04836d37f6b9c5879988cc5d7de5d5aa444e472"/>
      <w:r>
        <w:t xml:space="preserve">Key learning resources</w:t>
      </w:r>
      <w:bookmarkEnd w:id="227"/>
    </w:p>
    <w:p>
      <w:pPr>
        <w:pStyle w:val="FirstParagraph"/>
      </w:pPr>
      <w:r>
        <w:t xml:space="preserve">Documentation of centre’s applications;</w:t>
      </w:r>
    </w:p>
    <w:p>
      <w:pPr>
        <w:numPr>
          <w:ilvl w:val="0"/>
          <w:numId w:val="1070"/>
        </w:numPr>
      </w:pPr>
      <w:r>
        <w:t xml:space="preserve">Manual on the WMO Information System (WMO No. 1060), Part IV. WIS Technical Specifications (WIS TechSpec 6);</w:t>
      </w:r>
    </w:p>
    <w:p>
      <w:pPr>
        <w:numPr>
          <w:ilvl w:val="0"/>
          <w:numId w:val="1070"/>
        </w:numPr>
      </w:pPr>
      <w:r>
        <w:t xml:space="preserve">Guide to the WMO Information System (WMO No. 1061)</w:t>
      </w:r>
    </w:p>
    <w:p>
      <w:pPr>
        <w:numPr>
          <w:ilvl w:val="0"/>
          <w:numId w:val="1070"/>
        </w:numPr>
      </w:pPr>
      <w:r>
        <w:t xml:space="preserve">Tools to monitor system security;</w:t>
      </w:r>
    </w:p>
    <w:p>
      <w:pPr>
        <w:numPr>
          <w:ilvl w:val="0"/>
          <w:numId w:val="1070"/>
        </w:numPr>
      </w:pPr>
      <w:r>
        <w:t xml:space="preserve">WIS security policies.</w:t>
      </w:r>
    </w:p>
    <w:p>
      <w:pPr>
        <w:pStyle w:val="Heading2"/>
      </w:pPr>
      <w:bookmarkStart w:id="228" w:name="X947cdaf3ac945306c139bb88b3e8895891cae80"/>
      <w:r>
        <w:t xml:space="preserve">Competency 3: manage the data flow</w:t>
      </w:r>
      <w:bookmarkEnd w:id="228"/>
    </w:p>
    <w:p>
      <w:pPr>
        <w:pStyle w:val="Heading3"/>
      </w:pPr>
      <w:bookmarkStart w:id="229" w:name="X098ecc32d3a52c0364fdc13cd422c450d26362d"/>
      <w:r>
        <w:t xml:space="preserve">Competency description</w:t>
      </w:r>
      <w:bookmarkEnd w:id="229"/>
    </w:p>
    <w:p>
      <w:pPr>
        <w:pStyle w:val="FirstParagraph"/>
      </w:pPr>
      <w:r>
        <w:t xml:space="preserve">Manage the collection, processing and distribution of data and products through scheduled and on demand services.</w:t>
      </w:r>
    </w:p>
    <w:p>
      <w:pPr>
        <w:pStyle w:val="Heading3"/>
      </w:pPr>
      <w:bookmarkStart w:id="230" w:name="Xaae308933f818503a268b9f2c046219e5672021"/>
      <w:r>
        <w:t xml:space="preserve">Performance components</w:t>
      </w:r>
      <w:bookmarkEnd w:id="230"/>
    </w:p>
    <w:p>
      <w:pPr>
        <w:numPr>
          <w:ilvl w:val="0"/>
          <w:numId w:val="1071"/>
        </w:numPr>
      </w:pPr>
      <w:r>
        <w:t xml:space="preserve">Ensure collection and distribution of data and products as per data policy;</w:t>
      </w:r>
    </w:p>
    <w:p>
      <w:pPr>
        <w:numPr>
          <w:ilvl w:val="0"/>
          <w:numId w:val="1071"/>
        </w:numPr>
      </w:pPr>
      <w:r>
        <w:t xml:space="preserve">Publish data and products;</w:t>
      </w:r>
    </w:p>
    <w:p>
      <w:pPr>
        <w:numPr>
          <w:ilvl w:val="0"/>
          <w:numId w:val="1071"/>
        </w:numPr>
      </w:pPr>
      <w:r>
        <w:t xml:space="preserve">Subscribe to data and products;</w:t>
      </w:r>
    </w:p>
    <w:p>
      <w:pPr>
        <w:numPr>
          <w:ilvl w:val="0"/>
          <w:numId w:val="1071"/>
        </w:numPr>
      </w:pPr>
      <w:r>
        <w:t xml:space="preserve">Encode, decode, validate and package data and products;</w:t>
      </w:r>
    </w:p>
    <w:p>
      <w:pPr>
        <w:numPr>
          <w:ilvl w:val="0"/>
          <w:numId w:val="1071"/>
        </w:numPr>
      </w:pPr>
      <w:r>
        <w:t xml:space="preserve">Create, update and maintain data flow catalogues;</w:t>
      </w:r>
    </w:p>
    <w:p>
      <w:pPr>
        <w:numPr>
          <w:ilvl w:val="0"/>
          <w:numId w:val="1071"/>
        </w:numPr>
      </w:pPr>
      <w:r>
        <w:t xml:space="preserve">Manage connectivity between centres;</w:t>
      </w:r>
    </w:p>
    <w:p>
      <w:pPr>
        <w:numPr>
          <w:ilvl w:val="0"/>
          <w:numId w:val="1071"/>
        </w:numPr>
      </w:pPr>
      <w:r>
        <w:t xml:space="preserve">Control the data flow to meet service levels.</w:t>
      </w:r>
    </w:p>
    <w:p>
      <w:pPr>
        <w:numPr>
          <w:ilvl w:val="0"/>
          <w:numId w:val="1071"/>
        </w:numPr>
      </w:pPr>
      <w:r>
        <w:t xml:space="preserve">Knowledge and skill requirements</w:t>
      </w:r>
    </w:p>
    <w:p>
      <w:pPr>
        <w:numPr>
          <w:ilvl w:val="0"/>
          <w:numId w:val="1071"/>
        </w:numPr>
      </w:pPr>
      <w:r>
        <w:t xml:space="preserve">System and network monitoring and viewing tools;</w:t>
      </w:r>
    </w:p>
    <w:p>
      <w:pPr>
        <w:numPr>
          <w:ilvl w:val="0"/>
          <w:numId w:val="1071"/>
        </w:numPr>
      </w:pPr>
      <w:r>
        <w:t xml:space="preserve">Data formats and protocols;</w:t>
      </w:r>
    </w:p>
    <w:p>
      <w:pPr>
        <w:numPr>
          <w:ilvl w:val="0"/>
          <w:numId w:val="1071"/>
        </w:numPr>
      </w:pPr>
      <w:r>
        <w:t xml:space="preserve">Licensing and data policies;</w:t>
      </w:r>
    </w:p>
    <w:p>
      <w:pPr>
        <w:numPr>
          <w:ilvl w:val="0"/>
          <w:numId w:val="1071"/>
        </w:numPr>
      </w:pPr>
      <w:r>
        <w:t xml:space="preserve">Message and file switching systems.</w:t>
      </w:r>
    </w:p>
    <w:p>
      <w:pPr>
        <w:pStyle w:val="Heading3"/>
      </w:pPr>
      <w:bookmarkStart w:id="231" w:name="Xdbc436b6acd905c39580c77ad04c5e29746520c"/>
      <w:r>
        <w:t xml:space="preserve">Learning outcomes</w:t>
      </w:r>
      <w:bookmarkEnd w:id="231"/>
    </w:p>
    <w:p>
      <w:pPr>
        <w:pStyle w:val="FirstParagraph"/>
      </w:pPr>
      <w:r>
        <w:t xml:space="preserve">Staff will be able to:</w:t>
      </w:r>
    </w:p>
    <w:p>
      <w:pPr>
        <w:numPr>
          <w:ilvl w:val="0"/>
          <w:numId w:val="1072"/>
        </w:numPr>
      </w:pPr>
      <w:r>
        <w:t xml:space="preserve">Transfer data and products between their centre, other WIS centres and external users;</w:t>
      </w:r>
    </w:p>
    <w:p>
      <w:pPr>
        <w:numPr>
          <w:ilvl w:val="0"/>
          <w:numId w:val="1072"/>
        </w:numPr>
      </w:pPr>
      <w:r>
        <w:t xml:space="preserve">Request data and respond to data requests using ad hoc and routine delivery mechanisms;</w:t>
      </w:r>
    </w:p>
    <w:p>
      <w:pPr>
        <w:numPr>
          <w:ilvl w:val="0"/>
          <w:numId w:val="1072"/>
        </w:numPr>
      </w:pPr>
      <w:r>
        <w:t xml:space="preserve">Maintain quality standards (service levels) by monitoring, and responding to, traffic flow, missing data and products, errors and service messages;</w:t>
      </w:r>
    </w:p>
    <w:p>
      <w:pPr>
        <w:numPr>
          <w:ilvl w:val="0"/>
          <w:numId w:val="1072"/>
        </w:numPr>
      </w:pPr>
      <w:r>
        <w:t xml:space="preserve">Apply relevant data policies to data and products;</w:t>
      </w:r>
    </w:p>
    <w:p>
      <w:pPr>
        <w:numPr>
          <w:ilvl w:val="0"/>
          <w:numId w:val="1072"/>
        </w:numPr>
      </w:pPr>
      <w:r>
        <w:t xml:space="preserve">Identify appropriate formats for data and product exchange;</w:t>
      </w:r>
    </w:p>
    <w:p>
      <w:pPr>
        <w:numPr>
          <w:ilvl w:val="0"/>
          <w:numId w:val="1072"/>
        </w:numPr>
      </w:pPr>
      <w:r>
        <w:t xml:space="preserve">Write and read data in data formats as agreed by WMO programs using their centre’s tools.</w:t>
      </w:r>
    </w:p>
    <w:p>
      <w:pPr>
        <w:pStyle w:val="FirstParagraph"/>
      </w:pPr>
      <w:r>
        <w:t xml:space="preserve">Staff will learn:</w:t>
      </w:r>
    </w:p>
    <w:p>
      <w:pPr>
        <w:numPr>
          <w:ilvl w:val="0"/>
          <w:numId w:val="1073"/>
        </w:numPr>
      </w:pPr>
      <w:r>
        <w:t xml:space="preserve">Data representations used in WIS and when to apply them;</w:t>
      </w:r>
    </w:p>
    <w:p>
      <w:pPr>
        <w:numPr>
          <w:ilvl w:val="0"/>
          <w:numId w:val="1073"/>
        </w:numPr>
      </w:pPr>
      <w:r>
        <w:t xml:space="preserve">WMO data policies and how they apply to data in WIS;</w:t>
      </w:r>
    </w:p>
    <w:p>
      <w:pPr>
        <w:numPr>
          <w:ilvl w:val="0"/>
          <w:numId w:val="1073"/>
        </w:numPr>
      </w:pPr>
      <w:r>
        <w:t xml:space="preserve">The structure of the WIS and how to use reference documents to identify and interpret the routing plans and protocols they will need to use;</w:t>
      </w:r>
    </w:p>
    <w:p>
      <w:pPr>
        <w:numPr>
          <w:ilvl w:val="0"/>
          <w:numId w:val="1073"/>
        </w:numPr>
      </w:pPr>
      <w:r>
        <w:t xml:space="preserve">The interfaces of their centre’s WIS applications, the information they use to modify their behaviour, and the tools available to control the operation of the applications to achieve service levels;</w:t>
      </w:r>
    </w:p>
    <w:p>
      <w:pPr>
        <w:numPr>
          <w:ilvl w:val="0"/>
          <w:numId w:val="1073"/>
        </w:numPr>
      </w:pPr>
      <w:r>
        <w:t xml:space="preserve">How to use a WIS centre interface to find and request data for delivery by ad hoc request and by subscription;</w:t>
      </w:r>
    </w:p>
    <w:p>
      <w:pPr>
        <w:numPr>
          <w:ilvl w:val="0"/>
          <w:numId w:val="1073"/>
        </w:numPr>
      </w:pPr>
      <w:r>
        <w:t xml:space="preserve">How WIS handles backup and alternative routings to maintain continuity of data flows.</w:t>
      </w:r>
    </w:p>
    <w:p>
      <w:pPr>
        <w:pStyle w:val="Heading3"/>
      </w:pPr>
      <w:bookmarkStart w:id="232" w:name="Xbc69e774f188b1e5ebfe7fdd73ebaede7ea19d9"/>
      <w:r>
        <w:t xml:space="preserve">Learning activities</w:t>
      </w:r>
      <w:bookmarkEnd w:id="232"/>
    </w:p>
    <w:p>
      <w:pPr>
        <w:pStyle w:val="FirstParagraph"/>
      </w:pPr>
      <w:r>
        <w:t xml:space="preserve">To learn how to perform the required tasks staff may:</w:t>
      </w:r>
    </w:p>
    <w:p>
      <w:pPr>
        <w:numPr>
          <w:ilvl w:val="0"/>
          <w:numId w:val="1074"/>
        </w:numPr>
      </w:pPr>
      <w:r>
        <w:t xml:space="preserve">Subscribe to the WIS services and download data from the Global Cache;</w:t>
      </w:r>
    </w:p>
    <w:p>
      <w:pPr>
        <w:numPr>
          <w:ilvl w:val="0"/>
          <w:numId w:val="1074"/>
        </w:numPr>
      </w:pPr>
      <w:r>
        <w:t xml:space="preserve">Using a WIS centre platform, create, modify and delete a subscription for routine delivery of a dataset;</w:t>
      </w:r>
    </w:p>
    <w:p>
      <w:pPr>
        <w:numPr>
          <w:ilvl w:val="0"/>
          <w:numId w:val="1074"/>
        </w:numPr>
      </w:pPr>
      <w:r>
        <w:t xml:space="preserve">Use the software tools of their centre’s WIS application to exchange information between computers;</w:t>
      </w:r>
    </w:p>
    <w:p>
      <w:pPr>
        <w:numPr>
          <w:ilvl w:val="0"/>
          <w:numId w:val="1074"/>
        </w:numPr>
      </w:pPr>
      <w:r>
        <w:t xml:space="preserve">Assess data flows by analysing monitoring reports from their applications;</w:t>
      </w:r>
    </w:p>
    <w:p>
      <w:pPr>
        <w:numPr>
          <w:ilvl w:val="0"/>
          <w:numId w:val="1074"/>
        </w:numPr>
      </w:pPr>
      <w:r>
        <w:t xml:space="preserve">Investigate how data policy (including WMO Resolutions 1 (Cg-Ext 2021) is applied to data published by their centre;</w:t>
      </w:r>
    </w:p>
    <w:p>
      <w:pPr>
        <w:numPr>
          <w:ilvl w:val="0"/>
          <w:numId w:val="1074"/>
        </w:numPr>
      </w:pPr>
      <w:r>
        <w:t xml:space="preserve">Use tools provided at their centre to view information in different formats and convert data between these formats.</w:t>
      </w:r>
    </w:p>
    <w:p>
      <w:pPr>
        <w:pStyle w:val="Heading3"/>
      </w:pPr>
      <w:bookmarkStart w:id="233" w:name="Xc9a08aa402cd6cf65eeaadbfcfcb4672cf1c9d1"/>
      <w:r>
        <w:t xml:space="preserve">Assessment</w:t>
      </w:r>
      <w:bookmarkEnd w:id="233"/>
    </w:p>
    <w:p>
      <w:pPr>
        <w:pStyle w:val="FirstParagraph"/>
      </w:pPr>
      <w:r>
        <w:t xml:space="preserve">Staff must be able to:</w:t>
      </w:r>
    </w:p>
    <w:p>
      <w:pPr>
        <w:numPr>
          <w:ilvl w:val="0"/>
          <w:numId w:val="1075"/>
        </w:numPr>
      </w:pPr>
      <w:r>
        <w:t xml:space="preserve">Go to a WIS centre, find data, download them immediately, subscribe for regular delivery and cancel the subscription;</w:t>
      </w:r>
    </w:p>
    <w:p>
      <w:pPr>
        <w:pStyle w:val="Heading3"/>
      </w:pPr>
      <w:bookmarkStart w:id="234" w:name="Xeda70ac29a9bdb2a21684327d119b88f2565615"/>
      <w:r>
        <w:t xml:space="preserve">Key learning resources</w:t>
      </w:r>
      <w:bookmarkEnd w:id="234"/>
    </w:p>
    <w:p>
      <w:pPr>
        <w:pStyle w:val="FirstParagraph"/>
      </w:pPr>
      <w:r>
        <w:t xml:space="preserve">Data policies</w:t>
      </w:r>
    </w:p>
    <w:p>
      <w:pPr>
        <w:numPr>
          <w:ilvl w:val="0"/>
          <w:numId w:val="1076"/>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r>
        <w:t xml:space="preserve"> </w:t>
      </w:r>
      <w:r>
        <w:t xml:space="preserve">The centre’s data policies.</w:t>
      </w:r>
    </w:p>
    <w:p>
      <w:pPr>
        <w:pStyle w:val="FirstParagraph"/>
      </w:pPr>
      <w:r>
        <w:t xml:space="preserve">Data representations</w:t>
      </w:r>
    </w:p>
    <w:p>
      <w:pPr>
        <w:numPr>
          <w:ilvl w:val="0"/>
          <w:numId w:val="1077"/>
        </w:numPr>
      </w:pPr>
      <w:r>
        <w:t xml:space="preserve">Manual on Codes (WMO No. 306), Volume I.1; Volume I.2 and Volume I.3;</w:t>
      </w:r>
    </w:p>
    <w:p>
      <w:pPr>
        <w:numPr>
          <w:ilvl w:val="0"/>
          <w:numId w:val="1077"/>
        </w:numPr>
      </w:pPr>
      <w:r>
        <w:t xml:space="preserve">Guidance on migration to table driven code forms available at</w:t>
      </w:r>
      <w:r>
        <w:t xml:space="preserve"> </w:t>
      </w:r>
      <w:hyperlink r:id="rId235">
        <w:r>
          <w:rPr>
            <w:rStyle w:val="Hyperlink"/>
          </w:rPr>
          <w:t xml:space="preserve">http://www.wmo.int/pages/prog/www/WMOCodes.html</w:t>
        </w:r>
      </w:hyperlink>
      <w:r>
        <w:t xml:space="preserve">;</w:t>
      </w:r>
    </w:p>
    <w:p>
      <w:pPr>
        <w:numPr>
          <w:ilvl w:val="0"/>
          <w:numId w:val="1077"/>
        </w:numPr>
      </w:pPr>
      <w:r>
        <w:t xml:space="preserve">Tools used at the centre to read, write, convert, validate and display information in Table Driven Code Forms;</w:t>
      </w:r>
    </w:p>
    <w:p>
      <w:pPr>
        <w:numPr>
          <w:ilvl w:val="0"/>
          <w:numId w:val="1077"/>
        </w:numPr>
      </w:pPr>
      <w:r>
        <w:t xml:space="preserve">Sample data for reading and writing in Table Driven Code Forms.</w:t>
      </w:r>
    </w:p>
    <w:p>
      <w:pPr>
        <w:pStyle w:val="FirstParagraph"/>
      </w:pPr>
      <w:r>
        <w:t xml:space="preserve">WIS discovery, access and retrieval</w:t>
      </w:r>
    </w:p>
    <w:p>
      <w:pPr>
        <w:numPr>
          <w:ilvl w:val="0"/>
          <w:numId w:val="1078"/>
        </w:numPr>
      </w:pPr>
      <w:r>
        <w:t xml:space="preserve">Manual on the WMO Information System (WMO No. 1060), Part IV. WIS Technical Specifications (WIS TechSpec 2, 3, 4, and 5);</w:t>
      </w:r>
    </w:p>
    <w:p>
      <w:pPr>
        <w:numPr>
          <w:ilvl w:val="0"/>
          <w:numId w:val="1078"/>
        </w:numPr>
      </w:pPr>
      <w:r>
        <w:t xml:space="preserve">Guide to the WMO Information System (WMO No. 1061);</w:t>
      </w:r>
    </w:p>
    <w:p>
      <w:pPr>
        <w:numPr>
          <w:ilvl w:val="0"/>
          <w:numId w:val="1078"/>
        </w:numPr>
      </w:pPr>
      <w:r>
        <w:t xml:space="preserve">User account at a GISC accessible via a Web browser.</w:t>
      </w:r>
    </w:p>
    <w:p>
      <w:pPr>
        <w:pStyle w:val="FirstParagraph"/>
      </w:pPr>
      <w:r>
        <w:t xml:space="preserve">Managing data exchange</w:t>
      </w:r>
    </w:p>
    <w:p>
      <w:pPr>
        <w:numPr>
          <w:ilvl w:val="0"/>
          <w:numId w:val="1079"/>
        </w:numPr>
      </w:pPr>
      <w:r>
        <w:t xml:space="preserve">Manual on the WMO Information System;</w:t>
      </w:r>
    </w:p>
    <w:p>
      <w:pPr>
        <w:numPr>
          <w:ilvl w:val="0"/>
          <w:numId w:val="1079"/>
        </w:numPr>
      </w:pPr>
      <w:r>
        <w:t xml:space="preserve">Weather Reporting (WMO No. 9), Volume C1Volume C1;</w:t>
      </w:r>
    </w:p>
    <w:p>
      <w:pPr>
        <w:numPr>
          <w:ilvl w:val="0"/>
          <w:numId w:val="1079"/>
        </w:numPr>
      </w:pPr>
      <w:r>
        <w:t xml:space="preserve">Training environment on message and file switch;</w:t>
      </w:r>
    </w:p>
    <w:p>
      <w:pPr>
        <w:numPr>
          <w:ilvl w:val="0"/>
          <w:numId w:val="1079"/>
        </w:numPr>
      </w:pPr>
      <w:r>
        <w:t xml:space="preserve">World Weather Watch quantity monitoring statistics</w:t>
      </w:r>
    </w:p>
    <w:p>
      <w:pPr>
        <w:numPr>
          <w:ilvl w:val="0"/>
          <w:numId w:val="1079"/>
        </w:numPr>
      </w:pPr>
      <w:r>
        <w:t xml:space="preserve">WIGOS Data Quality Monitoring.</w:t>
      </w:r>
    </w:p>
    <w:p>
      <w:pPr>
        <w:pStyle w:val="FirstParagraph"/>
      </w:pPr>
      <w:r>
        <w:t xml:space="preserve">Security of data exchange</w:t>
      </w:r>
    </w:p>
    <w:p>
      <w:pPr>
        <w:numPr>
          <w:ilvl w:val="0"/>
          <w:numId w:val="1080"/>
        </w:numPr>
      </w:pPr>
      <w:r>
        <w:t xml:space="preserve">Guide to Information Technology Security (WMO No. 1115).</w:t>
      </w:r>
    </w:p>
    <w:p>
      <w:pPr>
        <w:pStyle w:val="FirstParagraph"/>
      </w:pPr>
      <w:r>
        <w:t xml:space="preserve">Network management</w:t>
      </w:r>
    </w:p>
    <w:p>
      <w:pPr>
        <w:numPr>
          <w:ilvl w:val="0"/>
          <w:numId w:val="1081"/>
        </w:numPr>
      </w:pPr>
      <w:r>
        <w:t xml:space="preserve">Network management tool and associated documentation;</w:t>
      </w:r>
    </w:p>
    <w:p>
      <w:pPr>
        <w:numPr>
          <w:ilvl w:val="0"/>
          <w:numId w:val="1081"/>
        </w:numPr>
      </w:pPr>
      <w:r>
        <w:t xml:space="preserve">System error reports and event viewing tools.</w:t>
      </w:r>
    </w:p>
    <w:p>
      <w:pPr>
        <w:pStyle w:val="Heading2"/>
      </w:pPr>
      <w:bookmarkStart w:id="236" w:name="X3e556a6c6ec34748fb9e54797b2aa10a649540f"/>
      <w:r>
        <w:t xml:space="preserve">Competency 4: manage data discovery</w:t>
      </w:r>
      <w:bookmarkEnd w:id="236"/>
    </w:p>
    <w:p>
      <w:pPr>
        <w:pStyle w:val="Heading3"/>
      </w:pPr>
      <w:bookmarkStart w:id="237" w:name="Xb701571c943536ddc1161c95b38effd3fdc1eb6"/>
      <w:r>
        <w:t xml:space="preserve">Competency description</w:t>
      </w:r>
      <w:bookmarkEnd w:id="237"/>
    </w:p>
    <w:p>
      <w:pPr>
        <w:pStyle w:val="FirstParagraph"/>
      </w:pPr>
      <w:r>
        <w:t xml:space="preserve">Create and maintain discovery metadata records describing services and information, and upload them to the WIS Discovery Metadata Catalogue.</w:t>
      </w:r>
    </w:p>
    <w:p>
      <w:pPr>
        <w:pStyle w:val="BodyText"/>
      </w:pPr>
      <w:r>
        <w:t xml:space="preserve">Each datum and product record held within WIS must have metadata associated with it so that it can be found and understood. These metadata records are held in a catalogue for discovery, access and retrieval (DAR).</w:t>
      </w:r>
    </w:p>
    <w:p>
      <w:pPr>
        <w:pStyle w:val="Heading3"/>
      </w:pPr>
      <w:bookmarkStart w:id="238" w:name="X7e9d61da6dc61ce5e6c7dbdef4b04c6796d2a62"/>
      <w:r>
        <w:t xml:space="preserve">Performance components</w:t>
      </w:r>
      <w:bookmarkEnd w:id="238"/>
    </w:p>
    <w:p>
      <w:pPr>
        <w:numPr>
          <w:ilvl w:val="0"/>
          <w:numId w:val="1082"/>
        </w:numPr>
      </w:pPr>
      <w:r>
        <w:t xml:space="preserve">Create and maintain discovery metadata records describing products and services;</w:t>
      </w:r>
    </w:p>
    <w:p>
      <w:pPr>
        <w:numPr>
          <w:ilvl w:val="0"/>
          <w:numId w:val="1082"/>
        </w:numPr>
      </w:pPr>
      <w:r>
        <w:t xml:space="preserve">Add, replace or delete metadata records within the catalogue;</w:t>
      </w:r>
    </w:p>
    <w:p>
      <w:pPr>
        <w:numPr>
          <w:ilvl w:val="0"/>
          <w:numId w:val="1082"/>
        </w:numPr>
      </w:pPr>
      <w:r>
        <w:t xml:space="preserve">Ensure that all information and service offerings from a WIS centre have complete, valid and meaningful discovery metadata records uploaded to the catalogue.</w:t>
      </w:r>
    </w:p>
    <w:p>
      <w:pPr>
        <w:pStyle w:val="Heading3"/>
      </w:pPr>
      <w:bookmarkStart w:id="239" w:name="X91ad47c7f3c4a12cd4e78c97c251c3e39fd0067"/>
      <w:r>
        <w:t xml:space="preserve">Knowledge and skill requirements</w:t>
      </w:r>
      <w:bookmarkEnd w:id="239"/>
    </w:p>
    <w:p>
      <w:pPr>
        <w:numPr>
          <w:ilvl w:val="0"/>
          <w:numId w:val="1083"/>
        </w:numPr>
      </w:pPr>
      <w:r>
        <w:t xml:space="preserve">Knowledge of WMO and ISO documentation sufficient to create complete and valid metadata;</w:t>
      </w:r>
    </w:p>
    <w:p>
      <w:pPr>
        <w:numPr>
          <w:ilvl w:val="0"/>
          <w:numId w:val="1083"/>
        </w:numPr>
      </w:pPr>
      <w:r>
        <w:t xml:space="preserve">Metadata entry and management tools;</w:t>
      </w:r>
    </w:p>
    <w:p>
      <w:pPr>
        <w:numPr>
          <w:ilvl w:val="0"/>
          <w:numId w:val="1083"/>
        </w:numPr>
      </w:pPr>
      <w:r>
        <w:t xml:space="preserve">Policies;</w:t>
      </w:r>
    </w:p>
    <w:p>
      <w:pPr>
        <w:numPr>
          <w:ilvl w:val="0"/>
          <w:numId w:val="1083"/>
        </w:numPr>
      </w:pPr>
      <w:r>
        <w:t xml:space="preserve">Discovery metadata concepts and formats;</w:t>
      </w:r>
    </w:p>
    <w:p>
      <w:pPr>
        <w:numPr>
          <w:ilvl w:val="0"/>
          <w:numId w:val="1083"/>
        </w:numPr>
      </w:pPr>
      <w:r>
        <w:t xml:space="preserve">Written English.</w:t>
      </w:r>
    </w:p>
    <w:p>
      <w:pPr>
        <w:pStyle w:val="Heading3"/>
      </w:pPr>
      <w:bookmarkStart w:id="240" w:name="X98f00a2e40096842f93207053139fc17a2e22e2"/>
      <w:r>
        <w:t xml:space="preserve">Learning outcomes</w:t>
      </w:r>
      <w:bookmarkEnd w:id="240"/>
    </w:p>
    <w:p>
      <w:pPr>
        <w:pStyle w:val="FirstParagraph"/>
      </w:pPr>
      <w:r>
        <w:t xml:space="preserve">Staff will be able to:</w:t>
      </w:r>
    </w:p>
    <w:p>
      <w:pPr>
        <w:numPr>
          <w:ilvl w:val="0"/>
          <w:numId w:val="1084"/>
        </w:numPr>
      </w:pPr>
      <w:r>
        <w:t xml:space="preserve">Use standard WIS tools to create discovery metadata from descriptions supplied by users;</w:t>
      </w:r>
    </w:p>
    <w:p>
      <w:pPr>
        <w:numPr>
          <w:ilvl w:val="0"/>
          <w:numId w:val="1084"/>
        </w:numPr>
      </w:pPr>
      <w:r>
        <w:t xml:space="preserve">Add, replace or delete metadata records within the catalogue.</w:t>
      </w:r>
    </w:p>
    <w:p>
      <w:pPr>
        <w:pStyle w:val="FirstParagraph"/>
      </w:pPr>
      <w:r>
        <w:t xml:space="preserve">Staff will learn:</w:t>
      </w:r>
    </w:p>
    <w:p>
      <w:pPr>
        <w:numPr>
          <w:ilvl w:val="0"/>
          <w:numId w:val="1085"/>
        </w:numPr>
      </w:pPr>
      <w:r>
        <w:t xml:space="preserve">The role of metadata in discovery, access and retrieval of data and products;</w:t>
      </w:r>
    </w:p>
    <w:p>
      <w:pPr>
        <w:numPr>
          <w:ilvl w:val="0"/>
          <w:numId w:val="1085"/>
        </w:numPr>
      </w:pPr>
      <w:r>
        <w:t xml:space="preserve">Approved metadata formats;</w:t>
      </w:r>
    </w:p>
    <w:p>
      <w:pPr>
        <w:numPr>
          <w:ilvl w:val="0"/>
          <w:numId w:val="1085"/>
        </w:numPr>
      </w:pPr>
      <w:r>
        <w:t xml:space="preserve">How to identify content that is mandatory, acceptable or inapplicable;</w:t>
      </w:r>
    </w:p>
    <w:p>
      <w:pPr>
        <w:numPr>
          <w:ilvl w:val="0"/>
          <w:numId w:val="1085"/>
        </w:numPr>
      </w:pPr>
      <w:r>
        <w:t xml:space="preserve">Use of metadata creation tools;</w:t>
      </w:r>
    </w:p>
    <w:p>
      <w:pPr>
        <w:numPr>
          <w:ilvl w:val="0"/>
          <w:numId w:val="1085"/>
        </w:numPr>
      </w:pPr>
      <w:r>
        <w:t xml:space="preserve">How to access and modify a catalogue;</w:t>
      </w:r>
    </w:p>
    <w:p>
      <w:pPr>
        <w:numPr>
          <w:ilvl w:val="0"/>
          <w:numId w:val="1085"/>
        </w:numPr>
      </w:pPr>
      <w:r>
        <w:t xml:space="preserve">How data flow within, to and from their centre;</w:t>
      </w:r>
    </w:p>
    <w:p>
      <w:pPr>
        <w:numPr>
          <w:ilvl w:val="0"/>
          <w:numId w:val="1085"/>
        </w:numPr>
      </w:pPr>
      <w:r>
        <w:t xml:space="preserve">About the tools that allow users to input descriptions.</w:t>
      </w:r>
    </w:p>
    <w:p>
      <w:pPr>
        <w:pStyle w:val="Heading3"/>
      </w:pPr>
      <w:bookmarkStart w:id="241" w:name="X9e81eec91189e8b6b4f97ccbf958b3b1d96655a"/>
      <w:r>
        <w:t xml:space="preserve">Learning activities</w:t>
      </w:r>
      <w:bookmarkEnd w:id="241"/>
    </w:p>
    <w:p>
      <w:pPr>
        <w:pStyle w:val="FirstParagraph"/>
      </w:pPr>
      <w:r>
        <w:t xml:space="preserve">To learn how to perform the required tasks staff may:</w:t>
      </w:r>
    </w:p>
    <w:p>
      <w:pPr>
        <w:numPr>
          <w:ilvl w:val="0"/>
          <w:numId w:val="1086"/>
        </w:numPr>
      </w:pPr>
      <w:r>
        <w:t xml:space="preserve">Create metadata records based on sample descriptions for a range of data and products typical of their WIS centre;</w:t>
      </w:r>
    </w:p>
    <w:p>
      <w:pPr>
        <w:numPr>
          <w:ilvl w:val="0"/>
          <w:numId w:val="1086"/>
        </w:numPr>
      </w:pPr>
      <w:r>
        <w:t xml:space="preserve">Insert such records into a catalogue, replace them with records that have been changed and delete them.</w:t>
      </w:r>
    </w:p>
    <w:p>
      <w:pPr>
        <w:pStyle w:val="Heading3"/>
      </w:pPr>
      <w:bookmarkStart w:id="242" w:name="Xe0c8683c0045576f3a0eb82aaf0636a16f84919"/>
      <w:r>
        <w:t xml:space="preserve">Assessment</w:t>
      </w:r>
      <w:bookmarkEnd w:id="242"/>
    </w:p>
    <w:p>
      <w:pPr>
        <w:pStyle w:val="FirstParagraph"/>
      </w:pPr>
      <w:r>
        <w:t xml:space="preserve">Staff must be able to demonstrate:</w:t>
      </w:r>
    </w:p>
    <w:p>
      <w:pPr>
        <w:numPr>
          <w:ilvl w:val="0"/>
          <w:numId w:val="1087"/>
        </w:numPr>
      </w:pPr>
      <w:r>
        <w:t xml:space="preserve">Successful creation of metadata records for typical products;</w:t>
      </w:r>
    </w:p>
    <w:p>
      <w:pPr>
        <w:numPr>
          <w:ilvl w:val="0"/>
          <w:numId w:val="1087"/>
        </w:numPr>
      </w:pPr>
      <w:r>
        <w:t xml:space="preserve">Competence in publishing and deleting metadata catalogue records.</w:t>
      </w:r>
    </w:p>
    <w:p>
      <w:pPr>
        <w:pStyle w:val="FirstParagraph"/>
      </w:pPr>
      <w:r>
        <w:t xml:space="preserve">Key learning resources</w:t>
      </w:r>
    </w:p>
    <w:p>
      <w:pPr>
        <w:numPr>
          <w:ilvl w:val="0"/>
          <w:numId w:val="1088"/>
        </w:numPr>
      </w:pPr>
      <w:r>
        <w:t xml:space="preserve">Manual on the WMO Information System (WMO No. 1060), Part IV WIS Technical Specifications (WIS TechSpec 1, 2, and 5), and Part V WIS Discovery Metadata;</w:t>
      </w:r>
    </w:p>
    <w:p>
      <w:pPr>
        <w:numPr>
          <w:ilvl w:val="0"/>
          <w:numId w:val="1088"/>
        </w:numPr>
      </w:pPr>
      <w:r>
        <w:t xml:space="preserve">WCMP Homepage on WMO Community website</w:t>
      </w:r>
    </w:p>
    <w:p>
      <w:pPr>
        <w:numPr>
          <w:ilvl w:val="0"/>
          <w:numId w:val="1088"/>
        </w:numPr>
      </w:pPr>
      <w:r>
        <w:t xml:space="preserve">WIS metadata guidance;</w:t>
      </w:r>
    </w:p>
    <w:p>
      <w:pPr>
        <w:numPr>
          <w:ilvl w:val="0"/>
          <w:numId w:val="1088"/>
        </w:numPr>
      </w:pPr>
      <w:r>
        <w:t xml:space="preserve">Metadata entry and management tools;</w:t>
      </w:r>
    </w:p>
    <w:p>
      <w:pPr>
        <w:numPr>
          <w:ilvl w:val="0"/>
          <w:numId w:val="1088"/>
        </w:numPr>
      </w:pPr>
      <w:r>
        <w:t xml:space="preserve">Samples of how to complete typical metadata records;</w:t>
      </w:r>
    </w:p>
    <w:p>
      <w:pPr>
        <w:numPr>
          <w:ilvl w:val="0"/>
          <w:numId w:val="1088"/>
        </w:numPr>
      </w:pPr>
      <w:r>
        <w:t xml:space="preserve">Metadata policies and WIS metadata guidelines;</w:t>
      </w:r>
    </w:p>
    <w:p>
      <w:pPr>
        <w:numPr>
          <w:ilvl w:val="0"/>
          <w:numId w:val="1088"/>
        </w:numPr>
      </w:pPr>
      <w:r>
        <w:t xml:space="preserve">ISO 19100 series: ISO standards on geographic information.</w:t>
      </w:r>
    </w:p>
    <w:p>
      <w:pPr>
        <w:pStyle w:val="Heading2"/>
      </w:pPr>
      <w:bookmarkStart w:id="243" w:name="X07e2699162c66d8571f4c2d92c9856c310dd34c"/>
      <w:r>
        <w:t xml:space="preserve">Competency 5: manage interaction among WIS Centres</w:t>
      </w:r>
      <w:bookmarkEnd w:id="243"/>
    </w:p>
    <w:p>
      <w:pPr>
        <w:pStyle w:val="Heading3"/>
      </w:pPr>
      <w:bookmarkStart w:id="244" w:name="X0490163a2311fb8ba4d387fa80067d57108dfda"/>
      <w:r>
        <w:t xml:space="preserve">Competency description</w:t>
      </w:r>
      <w:bookmarkEnd w:id="244"/>
    </w:p>
    <w:p>
      <w:pPr>
        <w:pStyle w:val="FirstParagraph"/>
      </w:pPr>
      <w:r>
        <w:t xml:space="preserve">Manage relationships and compliance between the participants’ centre and other WIS centres.</w:t>
      </w:r>
    </w:p>
    <w:p>
      <w:pPr>
        <w:pStyle w:val="Heading3"/>
      </w:pPr>
      <w:bookmarkStart w:id="245" w:name="X7774ac46c6aa1e157fa0fdc2e2714cfed1d7d90"/>
      <w:r>
        <w:t xml:space="preserve">Performance components</w:t>
      </w:r>
      <w:bookmarkEnd w:id="245"/>
    </w:p>
    <w:p>
      <w:pPr>
        <w:numPr>
          <w:ilvl w:val="0"/>
          <w:numId w:val="1089"/>
        </w:numPr>
      </w:pPr>
      <w:r>
        <w:t xml:space="preserve">Exchange information with other centres on operational matters;</w:t>
      </w:r>
    </w:p>
    <w:p>
      <w:pPr>
        <w:numPr>
          <w:ilvl w:val="0"/>
          <w:numId w:val="1089"/>
        </w:numPr>
      </w:pPr>
      <w:r>
        <w:t xml:space="preserve">Facilitate registration of new WIS centres;</w:t>
      </w:r>
    </w:p>
    <w:p>
      <w:pPr>
        <w:numPr>
          <w:ilvl w:val="0"/>
          <w:numId w:val="1089"/>
        </w:numPr>
      </w:pPr>
      <w:r>
        <w:t xml:space="preserve">Facilitate registration of new data and products by other WIS centres;</w:t>
      </w:r>
    </w:p>
    <w:p>
      <w:pPr>
        <w:numPr>
          <w:ilvl w:val="0"/>
          <w:numId w:val="1089"/>
        </w:numPr>
      </w:pPr>
      <w:r>
        <w:t xml:space="preserve">Create and respond to WIS service messages.</w:t>
      </w:r>
    </w:p>
    <w:p>
      <w:pPr>
        <w:pStyle w:val="Heading3"/>
      </w:pPr>
      <w:bookmarkStart w:id="246" w:name="X4fb9ef5db3fcb0b93105420e22adc9069610da7"/>
      <w:r>
        <w:t xml:space="preserve">Knowledge and skill requirements</w:t>
      </w:r>
      <w:bookmarkEnd w:id="246"/>
    </w:p>
    <w:p>
      <w:pPr>
        <w:numPr>
          <w:ilvl w:val="0"/>
          <w:numId w:val="1090"/>
        </w:numPr>
      </w:pPr>
      <w:r>
        <w:t xml:space="preserve">Knowledge of current exchanges and requirements for notification of operational changes;</w:t>
      </w:r>
    </w:p>
    <w:p>
      <w:pPr>
        <w:numPr>
          <w:ilvl w:val="0"/>
          <w:numId w:val="1090"/>
        </w:numPr>
      </w:pPr>
      <w:r>
        <w:t xml:space="preserve">Procedures and practices for registration of other centres and their data and products;</w:t>
      </w:r>
    </w:p>
    <w:p>
      <w:pPr>
        <w:numPr>
          <w:ilvl w:val="0"/>
          <w:numId w:val="1090"/>
        </w:numPr>
      </w:pPr>
      <w:r>
        <w:t xml:space="preserve">Service level agreements;</w:t>
      </w:r>
    </w:p>
    <w:p>
      <w:pPr>
        <w:numPr>
          <w:ilvl w:val="0"/>
          <w:numId w:val="1090"/>
        </w:numPr>
      </w:pPr>
      <w:r>
        <w:t xml:space="preserve">Written English.</w:t>
      </w:r>
    </w:p>
    <w:p>
      <w:pPr>
        <w:pStyle w:val="Heading3"/>
      </w:pPr>
      <w:bookmarkStart w:id="247" w:name="X9c30553d5c8da9a95d132841db131d32e103359"/>
      <w:r>
        <w:t xml:space="preserve">Learning outcomes</w:t>
      </w:r>
      <w:bookmarkEnd w:id="247"/>
    </w:p>
    <w:p>
      <w:pPr>
        <w:pStyle w:val="FirstParagraph"/>
      </w:pPr>
      <w:r>
        <w:t xml:space="preserve">Staff will be able to:</w:t>
      </w:r>
    </w:p>
    <w:p>
      <w:pPr>
        <w:numPr>
          <w:ilvl w:val="0"/>
          <w:numId w:val="1091"/>
        </w:numPr>
      </w:pPr>
      <w:r>
        <w:t xml:space="preserve">Facilitate registration of new WIS centres and their data and products;</w:t>
      </w:r>
    </w:p>
    <w:p>
      <w:pPr>
        <w:numPr>
          <w:ilvl w:val="0"/>
          <w:numId w:val="1091"/>
        </w:numPr>
      </w:pPr>
      <w:r>
        <w:t xml:space="preserve">Keep other WIS centres informed of the status of services, incidents and requests;</w:t>
      </w:r>
    </w:p>
    <w:p>
      <w:pPr>
        <w:numPr>
          <w:ilvl w:val="0"/>
          <w:numId w:val="1091"/>
        </w:numPr>
      </w:pPr>
      <w:r>
        <w:t xml:space="preserve">Monitor and respond to service level reports;</w:t>
      </w:r>
    </w:p>
    <w:p>
      <w:pPr>
        <w:numPr>
          <w:ilvl w:val="0"/>
          <w:numId w:val="1091"/>
        </w:numPr>
      </w:pPr>
      <w:r>
        <w:t xml:space="preserve">Manage subscriptions.</w:t>
      </w:r>
    </w:p>
    <w:p>
      <w:pPr>
        <w:pStyle w:val="FirstParagraph"/>
      </w:pPr>
      <w:r>
        <w:t xml:space="preserve">Staff will learn:</w:t>
      </w:r>
    </w:p>
    <w:p>
      <w:pPr>
        <w:numPr>
          <w:ilvl w:val="0"/>
          <w:numId w:val="1092"/>
        </w:numPr>
      </w:pPr>
      <w:r>
        <w:t xml:space="preserve">About current exchanges and requirements for notification of operational changes;</w:t>
      </w:r>
    </w:p>
    <w:p>
      <w:pPr>
        <w:numPr>
          <w:ilvl w:val="0"/>
          <w:numId w:val="1092"/>
        </w:numPr>
      </w:pPr>
      <w:r>
        <w:t xml:space="preserve">What type of data, products and services are available at their centre;</w:t>
      </w:r>
    </w:p>
    <w:p>
      <w:pPr>
        <w:numPr>
          <w:ilvl w:val="0"/>
          <w:numId w:val="1092"/>
        </w:numPr>
      </w:pPr>
      <w:r>
        <w:t xml:space="preserve">Procedures and practices for registration of other centres and their data and products;</w:t>
      </w:r>
    </w:p>
    <w:p>
      <w:pPr>
        <w:numPr>
          <w:ilvl w:val="0"/>
          <w:numId w:val="1092"/>
        </w:numPr>
      </w:pPr>
      <w:r>
        <w:t xml:space="preserve">Procedures and practices for notifying other centres about operational changes and service availability.</w:t>
      </w:r>
    </w:p>
    <w:p>
      <w:pPr>
        <w:pStyle w:val="Heading3"/>
      </w:pPr>
      <w:bookmarkStart w:id="248" w:name="X6bc70ede52bd03d97b8d6e814c9905a0bee93b8"/>
      <w:r>
        <w:t xml:space="preserve">Learning activities</w:t>
      </w:r>
      <w:bookmarkEnd w:id="248"/>
    </w:p>
    <w:p>
      <w:pPr>
        <w:pStyle w:val="FirstParagraph"/>
      </w:pPr>
      <w:r>
        <w:t xml:space="preserve">To learn how to perform the required tasks staff may carry out the above activities with the help of software, tools and guidance as used in their operational environment, either in a classroom or under supervision on the job.</w:t>
      </w:r>
    </w:p>
    <w:p>
      <w:pPr>
        <w:pStyle w:val="Heading3"/>
      </w:pPr>
      <w:bookmarkStart w:id="249" w:name="X12cf4d73403c44b5d8ad7ed74b8a89ee21c8edb"/>
      <w:r>
        <w:t xml:space="preserve">Assessment</w:t>
      </w:r>
      <w:bookmarkEnd w:id="249"/>
    </w:p>
    <w:p>
      <w:pPr>
        <w:pStyle w:val="FirstParagraph"/>
      </w:pPr>
      <w:r>
        <w:t xml:space="preserve">Staff must be able to:</w:t>
      </w:r>
    </w:p>
    <w:p>
      <w:pPr>
        <w:numPr>
          <w:ilvl w:val="0"/>
          <w:numId w:val="1093"/>
        </w:numPr>
      </w:pPr>
      <w:r>
        <w:t xml:space="preserve">Respond to a request for registration of a new centre and its data and products;</w:t>
      </w:r>
    </w:p>
    <w:p>
      <w:pPr>
        <w:numPr>
          <w:ilvl w:val="0"/>
          <w:numId w:val="1093"/>
        </w:numPr>
      </w:pPr>
      <w:r>
        <w:t xml:space="preserve">Prepare notifications of typical operational scenarios;</w:t>
      </w:r>
    </w:p>
    <w:p>
      <w:pPr>
        <w:numPr>
          <w:ilvl w:val="0"/>
          <w:numId w:val="1093"/>
        </w:numPr>
      </w:pPr>
      <w:r>
        <w:t xml:space="preserve">Respond to typical notifications from other WIS centres.</w:t>
      </w:r>
    </w:p>
    <w:p>
      <w:pPr>
        <w:pStyle w:val="Heading3"/>
      </w:pPr>
      <w:bookmarkStart w:id="250" w:name="X3bb4346c71f9f09dfb147b15a45f742643b6c30"/>
      <w:r>
        <w:t xml:space="preserve">Key learning resources</w:t>
      </w:r>
      <w:bookmarkEnd w:id="250"/>
    </w:p>
    <w:p>
      <w:pPr>
        <w:numPr>
          <w:ilvl w:val="0"/>
          <w:numId w:val="1094"/>
        </w:numPr>
      </w:pPr>
      <w:r>
        <w:t xml:space="preserve">Manual on the WMO Information System (WMO No. 1060), Part III Functions of WIS, and Part IV WIS Technical Specifications;</w:t>
      </w:r>
    </w:p>
    <w:p>
      <w:pPr>
        <w:numPr>
          <w:ilvl w:val="0"/>
          <w:numId w:val="1094"/>
        </w:numPr>
      </w:pPr>
      <w:r>
        <w:t xml:space="preserve">Guide to the WMO Information System (WMO No. 1061);</w:t>
      </w:r>
    </w:p>
    <w:p>
      <w:pPr>
        <w:numPr>
          <w:ilvl w:val="0"/>
          <w:numId w:val="1094"/>
        </w:numPr>
      </w:pPr>
      <w:r>
        <w:t xml:space="preserve">Weather Reporting (WMO No. 9), Volume C1;</w:t>
      </w:r>
    </w:p>
    <w:p>
      <w:pPr>
        <w:numPr>
          <w:ilvl w:val="0"/>
          <w:numId w:val="1094"/>
        </w:numPr>
      </w:pPr>
      <w:r>
        <w:t xml:space="preserve">Exchanging Meteorological Data: Guidelines on Relationships in Commercial Meteorological Activities – WMO Policy and Practice (WMO No. 837).</w:t>
      </w:r>
    </w:p>
    <w:p>
      <w:pPr>
        <w:pStyle w:val="Heading3"/>
      </w:pPr>
      <w:bookmarkStart w:id="251" w:name="X34980f338e3a35d903b4a56f19887058638fc71"/>
      <w:r>
        <w:t xml:space="preserve">Local resources</w:t>
      </w:r>
      <w:bookmarkEnd w:id="251"/>
    </w:p>
    <w:p>
      <w:pPr>
        <w:numPr>
          <w:ilvl w:val="0"/>
          <w:numId w:val="1095"/>
        </w:numPr>
      </w:pPr>
      <w:r>
        <w:t xml:space="preserve">Service level agreements (as used by the participants’ centre);</w:t>
      </w:r>
    </w:p>
    <w:p>
      <w:pPr>
        <w:numPr>
          <w:ilvl w:val="0"/>
          <w:numId w:val="1095"/>
        </w:numPr>
      </w:pPr>
      <w:r>
        <w:t xml:space="preserve">Frequently Asked Questions (FAQ) documents (for the user);</w:t>
      </w:r>
    </w:p>
    <w:p>
      <w:pPr>
        <w:numPr>
          <w:ilvl w:val="0"/>
          <w:numId w:val="1095"/>
        </w:numPr>
      </w:pPr>
      <w:r>
        <w:t xml:space="preserve">WIS software user guides;</w:t>
      </w:r>
    </w:p>
    <w:p>
      <w:pPr>
        <w:numPr>
          <w:ilvl w:val="0"/>
          <w:numId w:val="1095"/>
        </w:numPr>
      </w:pPr>
      <w:r>
        <w:t xml:space="preserve">Guidelines for services available at WIS centre;</w:t>
      </w:r>
    </w:p>
    <w:p>
      <w:pPr>
        <w:numPr>
          <w:ilvl w:val="0"/>
          <w:numId w:val="1095"/>
        </w:numPr>
      </w:pPr>
      <w:r>
        <w:t xml:space="preserve">Data policy and associated guidance material;</w:t>
      </w:r>
    </w:p>
    <w:p>
      <w:pPr>
        <w:numPr>
          <w:ilvl w:val="0"/>
          <w:numId w:val="1095"/>
        </w:numPr>
      </w:pPr>
      <w:r>
        <w:t xml:space="preserve">First line support procedures and guides;</w:t>
      </w:r>
    </w:p>
    <w:p>
      <w:pPr>
        <w:numPr>
          <w:ilvl w:val="0"/>
          <w:numId w:val="1095"/>
        </w:numPr>
      </w:pPr>
      <w:r>
        <w:t xml:space="preserve">User database (for contact information);</w:t>
      </w:r>
    </w:p>
    <w:p>
      <w:pPr>
        <w:numPr>
          <w:ilvl w:val="0"/>
          <w:numId w:val="1095"/>
        </w:numPr>
      </w:pPr>
      <w:r>
        <w:t xml:space="preserve">Case tracking and customer management;</w:t>
      </w:r>
    </w:p>
    <w:p>
      <w:pPr>
        <w:numPr>
          <w:ilvl w:val="0"/>
          <w:numId w:val="1095"/>
        </w:numPr>
      </w:pPr>
      <w:r>
        <w:t xml:space="preserve">WIS user management;</w:t>
      </w:r>
    </w:p>
    <w:p>
      <w:pPr>
        <w:numPr>
          <w:ilvl w:val="0"/>
          <w:numId w:val="1095"/>
        </w:numPr>
      </w:pPr>
      <w:r>
        <w:t xml:space="preserve">WIS subscription management;</w:t>
      </w:r>
    </w:p>
    <w:p>
      <w:pPr>
        <w:numPr>
          <w:ilvl w:val="0"/>
          <w:numId w:val="1095"/>
        </w:numPr>
      </w:pPr>
      <w:r>
        <w:t xml:space="preserve">Monitoring dashboard for WIS components.</w:t>
      </w:r>
    </w:p>
    <w:p>
      <w:pPr>
        <w:pStyle w:val="Heading2"/>
      </w:pPr>
      <w:bookmarkStart w:id="252" w:name="X6c66f9b2f18a9b1b8a79f88d56445ee8f64723a"/>
      <w:r>
        <w:t xml:space="preserve">Competency 6: manage external user interactions</w:t>
      </w:r>
      <w:bookmarkEnd w:id="252"/>
    </w:p>
    <w:p>
      <w:pPr>
        <w:pStyle w:val="Heading3"/>
      </w:pPr>
      <w:bookmarkStart w:id="253" w:name="X258cb87d778ce068283bde0a807e572cf8fc646"/>
      <w:r>
        <w:t xml:space="preserve">Competency description</w:t>
      </w:r>
      <w:bookmarkEnd w:id="253"/>
    </w:p>
    <w:p>
      <w:pPr>
        <w:pStyle w:val="FirstParagraph"/>
      </w:pPr>
      <w:r>
        <w:t xml:space="preserve">Ensure that users, including other centres, data providers and subscribers, can publish and access data and products through WIS.</w:t>
      </w:r>
    </w:p>
    <w:p>
      <w:pPr>
        <w:pStyle w:val="Heading3"/>
      </w:pPr>
      <w:bookmarkStart w:id="254" w:name="X1f689f7c4fb6a67b8c0d756c6ac360a1d5472dd"/>
      <w:r>
        <w:t xml:space="preserve">Performance components</w:t>
      </w:r>
      <w:bookmarkEnd w:id="254"/>
    </w:p>
    <w:p>
      <w:pPr>
        <w:numPr>
          <w:ilvl w:val="0"/>
          <w:numId w:val="1096"/>
        </w:numPr>
      </w:pPr>
      <w:r>
        <w:t xml:space="preserve">Register data providers and subscribers and maintain a service agreement;</w:t>
      </w:r>
    </w:p>
    <w:p>
      <w:pPr>
        <w:numPr>
          <w:ilvl w:val="0"/>
          <w:numId w:val="1096"/>
        </w:numPr>
      </w:pPr>
      <w:r>
        <w:t xml:space="preserve">Set and register access criteria;</w:t>
      </w:r>
    </w:p>
    <w:p>
      <w:pPr>
        <w:numPr>
          <w:ilvl w:val="0"/>
          <w:numId w:val="1096"/>
        </w:numPr>
      </w:pPr>
      <w:r>
        <w:t xml:space="preserve">Provide systems and support for users to publish and access data and products;</w:t>
      </w:r>
    </w:p>
    <w:p>
      <w:pPr>
        <w:numPr>
          <w:ilvl w:val="0"/>
          <w:numId w:val="1096"/>
        </w:numPr>
      </w:pPr>
      <w:r>
        <w:t xml:space="preserve">Manage user relations to ensure a high satisfaction level.</w:t>
      </w:r>
    </w:p>
    <w:p>
      <w:pPr>
        <w:pStyle w:val="Heading3"/>
      </w:pPr>
      <w:bookmarkStart w:id="255" w:name="X6f77aeeba34f1cabbaaa4f6f2ac30f489cca818"/>
      <w:r>
        <w:t xml:space="preserve">Knowledge and skill requirements</w:t>
      </w:r>
      <w:bookmarkEnd w:id="255"/>
    </w:p>
    <w:p>
      <w:pPr>
        <w:numPr>
          <w:ilvl w:val="0"/>
          <w:numId w:val="1097"/>
        </w:numPr>
      </w:pPr>
      <w:r>
        <w:t xml:space="preserve">Data policies;</w:t>
      </w:r>
    </w:p>
    <w:p>
      <w:pPr>
        <w:numPr>
          <w:ilvl w:val="0"/>
          <w:numId w:val="1097"/>
        </w:numPr>
      </w:pPr>
      <w:r>
        <w:t xml:space="preserve">External WIS interface;</w:t>
      </w:r>
    </w:p>
    <w:p>
      <w:pPr>
        <w:numPr>
          <w:ilvl w:val="0"/>
          <w:numId w:val="1097"/>
        </w:numPr>
      </w:pPr>
      <w:r>
        <w:t xml:space="preserve">WIS registration and monitoring tools and policies;</w:t>
      </w:r>
    </w:p>
    <w:p>
      <w:pPr>
        <w:numPr>
          <w:ilvl w:val="0"/>
          <w:numId w:val="1097"/>
        </w:numPr>
      </w:pPr>
      <w:r>
        <w:t xml:space="preserve">User support documentation and help files;</w:t>
      </w:r>
    </w:p>
    <w:p>
      <w:pPr>
        <w:numPr>
          <w:ilvl w:val="0"/>
          <w:numId w:val="1097"/>
        </w:numPr>
      </w:pPr>
      <w:r>
        <w:t xml:space="preserve">Written English.</w:t>
      </w:r>
    </w:p>
    <w:p>
      <w:pPr>
        <w:pStyle w:val="Heading3"/>
      </w:pPr>
      <w:bookmarkStart w:id="256" w:name="X4d37bb952db529bd8bba35accd5008c10ed92d5"/>
      <w:r>
        <w:t xml:space="preserve">Learning outcomes</w:t>
      </w:r>
      <w:bookmarkEnd w:id="256"/>
    </w:p>
    <w:p>
      <w:pPr>
        <w:pStyle w:val="FirstParagraph"/>
      </w:pPr>
      <w:r>
        <w:t xml:space="preserve">Staff will be able to:</w:t>
      </w:r>
    </w:p>
    <w:p>
      <w:pPr>
        <w:numPr>
          <w:ilvl w:val="0"/>
          <w:numId w:val="1098"/>
        </w:numPr>
      </w:pPr>
      <w:r>
        <w:t xml:space="preserve">Register new WIS users and providers, setting roles, access authorizations and levels;</w:t>
      </w:r>
    </w:p>
    <w:p>
      <w:pPr>
        <w:numPr>
          <w:ilvl w:val="0"/>
          <w:numId w:val="1098"/>
        </w:numPr>
      </w:pPr>
      <w:r>
        <w:t xml:space="preserve">Create and amend WIS user subscriptions;</w:t>
      </w:r>
    </w:p>
    <w:p>
      <w:pPr>
        <w:numPr>
          <w:ilvl w:val="0"/>
          <w:numId w:val="1098"/>
        </w:numPr>
      </w:pPr>
      <w:r>
        <w:t xml:space="preserve">Use WIS tools to assist users and providers in resolving problems;</w:t>
      </w:r>
    </w:p>
    <w:p>
      <w:pPr>
        <w:numPr>
          <w:ilvl w:val="0"/>
          <w:numId w:val="1098"/>
        </w:numPr>
      </w:pPr>
      <w:r>
        <w:t xml:space="preserve">Create and respond to WIS service messages;</w:t>
      </w:r>
    </w:p>
    <w:p>
      <w:pPr>
        <w:numPr>
          <w:ilvl w:val="0"/>
          <w:numId w:val="1098"/>
        </w:numPr>
      </w:pPr>
      <w:r>
        <w:t xml:space="preserve">Undertake first line investigation and diagnosis;</w:t>
      </w:r>
    </w:p>
    <w:p>
      <w:pPr>
        <w:numPr>
          <w:ilvl w:val="0"/>
          <w:numId w:val="1098"/>
        </w:numPr>
      </w:pPr>
      <w:r>
        <w:t xml:space="preserve">Manage incidents and requests: log them, categorize and prioritize them, escalate as appropriate and close them when the user is satisfied;</w:t>
      </w:r>
    </w:p>
    <w:p>
      <w:pPr>
        <w:numPr>
          <w:ilvl w:val="0"/>
          <w:numId w:val="1098"/>
        </w:numPr>
      </w:pPr>
      <w:r>
        <w:t xml:space="preserve">Keep users informed of the status of services, incidents and requests;</w:t>
      </w:r>
    </w:p>
    <w:p>
      <w:pPr>
        <w:numPr>
          <w:ilvl w:val="0"/>
          <w:numId w:val="1098"/>
        </w:numPr>
      </w:pPr>
      <w:r>
        <w:t xml:space="preserve">Gather information and report on user and provider satisfaction;</w:t>
      </w:r>
    </w:p>
    <w:p>
      <w:pPr>
        <w:numPr>
          <w:ilvl w:val="0"/>
          <w:numId w:val="1098"/>
        </w:numPr>
      </w:pPr>
      <w:r>
        <w:t xml:space="preserve">Assist users in uploading and accessing data;</w:t>
      </w:r>
    </w:p>
    <w:p>
      <w:pPr>
        <w:numPr>
          <w:ilvl w:val="0"/>
          <w:numId w:val="1098"/>
        </w:numPr>
      </w:pPr>
      <w:r>
        <w:t xml:space="preserve">Identify potential problems in services and implement improvements.</w:t>
      </w:r>
    </w:p>
    <w:p>
      <w:pPr>
        <w:pStyle w:val="FirstParagraph"/>
      </w:pPr>
      <w:r>
        <w:t xml:space="preserve">Staff will learn:</w:t>
      </w:r>
    </w:p>
    <w:p>
      <w:pPr>
        <w:numPr>
          <w:ilvl w:val="0"/>
          <w:numId w:val="1099"/>
        </w:numPr>
      </w:pPr>
      <w:r>
        <w:t xml:space="preserve">What type of data, products and services are available at their centre;</w:t>
      </w:r>
    </w:p>
    <w:p>
      <w:pPr>
        <w:numPr>
          <w:ilvl w:val="0"/>
          <w:numId w:val="1099"/>
        </w:numPr>
      </w:pPr>
      <w:r>
        <w:t xml:space="preserve">How WIS applications, including discovery, access and retrieval (DAR) should be used;</w:t>
      </w:r>
    </w:p>
    <w:p>
      <w:pPr>
        <w:numPr>
          <w:ilvl w:val="0"/>
          <w:numId w:val="1099"/>
        </w:numPr>
      </w:pPr>
      <w:r>
        <w:t xml:space="preserve">How to apply data policies;</w:t>
      </w:r>
    </w:p>
    <w:p>
      <w:pPr>
        <w:numPr>
          <w:ilvl w:val="0"/>
          <w:numId w:val="1099"/>
        </w:numPr>
      </w:pPr>
      <w:r>
        <w:t xml:space="preserve">How to interact effectively with users and providers.</w:t>
      </w:r>
    </w:p>
    <w:p>
      <w:pPr>
        <w:pStyle w:val="Heading3"/>
      </w:pPr>
      <w:bookmarkStart w:id="257" w:name="Xbf59f3457639e2fd0975bf42900614caa99712e"/>
      <w:r>
        <w:t xml:space="preserve">Learning activities</w:t>
      </w:r>
      <w:bookmarkEnd w:id="257"/>
    </w:p>
    <w:p>
      <w:pPr>
        <w:pStyle w:val="FirstParagraph"/>
      </w:pPr>
      <w:r>
        <w:t xml:space="preserve">To learn how to perform the required tasks staff may:</w:t>
      </w:r>
    </w:p>
    <w:p>
      <w:pPr>
        <w:numPr>
          <w:ilvl w:val="0"/>
          <w:numId w:val="1100"/>
        </w:numPr>
      </w:pPr>
      <w:r>
        <w:t xml:space="preserve">Register users (data providers and subscribers) and set access authorizations and levels using the same software, tools and guidance as in their operational environment;</w:t>
      </w:r>
    </w:p>
    <w:p>
      <w:pPr>
        <w:numPr>
          <w:ilvl w:val="0"/>
          <w:numId w:val="1100"/>
        </w:numPr>
      </w:pPr>
      <w:r>
        <w:t xml:space="preserve">Role play user interactions.</w:t>
      </w:r>
    </w:p>
    <w:p>
      <w:pPr>
        <w:pStyle w:val="Heading3"/>
      </w:pPr>
      <w:bookmarkStart w:id="258" w:name="X5b7e120d217f721608fc5e6d2957c3ae2f6df45"/>
      <w:r>
        <w:t xml:space="preserve">Assessment</w:t>
      </w:r>
      <w:bookmarkEnd w:id="258"/>
    </w:p>
    <w:p>
      <w:pPr>
        <w:pStyle w:val="FirstParagraph"/>
      </w:pPr>
      <w:r>
        <w:t xml:space="preserve">Staff must be able to:</w:t>
      </w:r>
    </w:p>
    <w:p>
      <w:pPr>
        <w:numPr>
          <w:ilvl w:val="0"/>
          <w:numId w:val="1101"/>
        </w:numPr>
      </w:pPr>
      <w:r>
        <w:t xml:space="preserve">Register typical data providers and users;</w:t>
      </w:r>
    </w:p>
    <w:p>
      <w:pPr>
        <w:numPr>
          <w:ilvl w:val="0"/>
          <w:numId w:val="1101"/>
        </w:numPr>
      </w:pPr>
      <w:r>
        <w:t xml:space="preserve">Ensure that users are able to upload and access data;</w:t>
      </w:r>
    </w:p>
    <w:p>
      <w:pPr>
        <w:numPr>
          <w:ilvl w:val="0"/>
          <w:numId w:val="1101"/>
        </w:numPr>
      </w:pPr>
      <w:r>
        <w:t xml:space="preserve">Respond to typical incidents.</w:t>
      </w:r>
    </w:p>
    <w:p>
      <w:pPr>
        <w:pStyle w:val="Heading3"/>
      </w:pPr>
      <w:bookmarkStart w:id="259" w:name="Xa8e02470dc2cbb1339242c2a21d5e9b0e57df11"/>
      <w:r>
        <w:t xml:space="preserve">Key learning resources</w:t>
      </w:r>
      <w:bookmarkEnd w:id="259"/>
    </w:p>
    <w:p>
      <w:pPr>
        <w:numPr>
          <w:ilvl w:val="0"/>
          <w:numId w:val="1102"/>
        </w:numPr>
      </w:pPr>
      <w:r>
        <w:t xml:space="preserve">Manual on the WMO Information System (WMO No. 1060), Part IV WIS Technical Specifications (WIS Tech Spec 2, 3, 4, and 5);</w:t>
      </w:r>
    </w:p>
    <w:p>
      <w:pPr>
        <w:numPr>
          <w:ilvl w:val="0"/>
          <w:numId w:val="1102"/>
        </w:numPr>
      </w:pPr>
      <w:r>
        <w:t xml:space="preserve">Guide to the WMO Information System (WMO No. 1061);</w:t>
      </w:r>
    </w:p>
    <w:p>
      <w:pPr>
        <w:numPr>
          <w:ilvl w:val="0"/>
          <w:numId w:val="1102"/>
        </w:numPr>
      </w:pPr>
      <w:r>
        <w:t xml:space="preserve">Weather Reporting (WMO No. 9), Volume C1;</w:t>
      </w:r>
    </w:p>
    <w:p>
      <w:pPr>
        <w:numPr>
          <w:ilvl w:val="0"/>
          <w:numId w:val="1102"/>
        </w:numPr>
      </w:pPr>
      <w:r>
        <w:t xml:space="preserve">Exchanging Meteorological Data: Guidelines on Relationships in Commercial Meteorological Activities – WMO Policy and Practice (WMO No. 837).</w:t>
      </w:r>
    </w:p>
    <w:p>
      <w:pPr>
        <w:pStyle w:val="FirstParagraph"/>
      </w:pPr>
      <w:r>
        <w:t xml:space="preserve">Local resources</w:t>
      </w:r>
    </w:p>
    <w:p>
      <w:pPr>
        <w:numPr>
          <w:ilvl w:val="0"/>
          <w:numId w:val="1103"/>
        </w:numPr>
      </w:pPr>
      <w:r>
        <w:t xml:space="preserve">Service level agreements (as used by their centre);</w:t>
      </w:r>
    </w:p>
    <w:p>
      <w:pPr>
        <w:numPr>
          <w:ilvl w:val="0"/>
          <w:numId w:val="1103"/>
        </w:numPr>
      </w:pPr>
      <w:r>
        <w:t xml:space="preserve">FAQ documents (for the user);</w:t>
      </w:r>
    </w:p>
    <w:p>
      <w:pPr>
        <w:numPr>
          <w:ilvl w:val="0"/>
          <w:numId w:val="1103"/>
        </w:numPr>
      </w:pPr>
      <w:r>
        <w:t xml:space="preserve">WIS software user guides;</w:t>
      </w:r>
    </w:p>
    <w:p>
      <w:pPr>
        <w:numPr>
          <w:ilvl w:val="0"/>
          <w:numId w:val="1103"/>
        </w:numPr>
      </w:pPr>
      <w:r>
        <w:t xml:space="preserve">Guidelines for services available at WIS centre;</w:t>
      </w:r>
    </w:p>
    <w:p>
      <w:pPr>
        <w:numPr>
          <w:ilvl w:val="0"/>
          <w:numId w:val="1103"/>
        </w:numPr>
      </w:pPr>
      <w:r>
        <w:t xml:space="preserve">Data policy and associated guidance material;</w:t>
      </w:r>
    </w:p>
    <w:p>
      <w:pPr>
        <w:numPr>
          <w:ilvl w:val="0"/>
          <w:numId w:val="1103"/>
        </w:numPr>
      </w:pPr>
      <w:r>
        <w:t xml:space="preserve">First line support procedures and guides;</w:t>
      </w:r>
    </w:p>
    <w:p>
      <w:pPr>
        <w:numPr>
          <w:ilvl w:val="0"/>
          <w:numId w:val="1103"/>
        </w:numPr>
      </w:pPr>
      <w:r>
        <w:t xml:space="preserve">User database (for contact information);</w:t>
      </w:r>
    </w:p>
    <w:p>
      <w:pPr>
        <w:numPr>
          <w:ilvl w:val="0"/>
          <w:numId w:val="1103"/>
        </w:numPr>
      </w:pPr>
      <w:r>
        <w:t xml:space="preserve">Case tracking and customer management;</w:t>
      </w:r>
    </w:p>
    <w:p>
      <w:pPr>
        <w:numPr>
          <w:ilvl w:val="0"/>
          <w:numId w:val="1103"/>
        </w:numPr>
      </w:pPr>
      <w:r>
        <w:t xml:space="preserve">WIS user management;</w:t>
      </w:r>
    </w:p>
    <w:p>
      <w:pPr>
        <w:numPr>
          <w:ilvl w:val="0"/>
          <w:numId w:val="1103"/>
        </w:numPr>
      </w:pPr>
      <w:r>
        <w:t xml:space="preserve">WIS subscription management;</w:t>
      </w:r>
    </w:p>
    <w:p>
      <w:pPr>
        <w:numPr>
          <w:ilvl w:val="0"/>
          <w:numId w:val="1103"/>
        </w:numPr>
      </w:pPr>
      <w:r>
        <w:t xml:space="preserve">Monitoring dashboard for WIS components.</w:t>
      </w:r>
    </w:p>
    <w:p>
      <w:pPr>
        <w:pStyle w:val="Heading2"/>
      </w:pPr>
      <w:bookmarkStart w:id="260" w:name="X745ff7b3513c22d1789b9f0461b850f03b9478c"/>
      <w:r>
        <w:t xml:space="preserve">Competency 7: manage the operational service</w:t>
      </w:r>
      <w:bookmarkEnd w:id="260"/>
    </w:p>
    <w:p>
      <w:pPr>
        <w:pStyle w:val="Heading3"/>
      </w:pPr>
      <w:bookmarkStart w:id="261" w:name="Xd86a1fcd2c0253adc3dc918e9189bda06dfe197"/>
      <w:r>
        <w:t xml:space="preserve">Competency description</w:t>
      </w:r>
      <w:bookmarkEnd w:id="261"/>
    </w:p>
    <w:p>
      <w:pPr>
        <w:pStyle w:val="FirstParagraph"/>
      </w:pPr>
      <w:r>
        <w:t xml:space="preserve">Ensure the quality and continuity of the service.</w:t>
      </w:r>
    </w:p>
    <w:p>
      <w:pPr>
        <w:pStyle w:val="BodyText"/>
      </w:pPr>
      <w:r>
        <w:t xml:space="preserve">This is essentially a management role ensuring that the WIS system operates as required, now and in the future. Some of the skills required are generic management skills, rather than WIS specific, and would be taught or learnt elsewhere.</w:t>
      </w:r>
    </w:p>
    <w:p>
      <w:pPr>
        <w:pStyle w:val="Heading3"/>
      </w:pPr>
      <w:bookmarkStart w:id="262" w:name="Xf0ce181467a8208aab1c0a7ce31f4953cee6ecc"/>
      <w:r>
        <w:t xml:space="preserve">Performance components</w:t>
      </w:r>
      <w:bookmarkEnd w:id="262"/>
    </w:p>
    <w:p>
      <w:pPr>
        <w:numPr>
          <w:ilvl w:val="0"/>
          <w:numId w:val="1104"/>
        </w:numPr>
      </w:pPr>
      <w:r>
        <w:t xml:space="preserve">Coordinate all WIS functions and activities of the centre;</w:t>
      </w:r>
    </w:p>
    <w:p>
      <w:pPr>
        <w:numPr>
          <w:ilvl w:val="0"/>
          <w:numId w:val="1104"/>
        </w:numPr>
      </w:pPr>
      <w:r>
        <w:t xml:space="preserve">Ensure and demonstrate compliance with regulations and policies;</w:t>
      </w:r>
    </w:p>
    <w:p>
      <w:pPr>
        <w:numPr>
          <w:ilvl w:val="0"/>
          <w:numId w:val="1104"/>
        </w:numPr>
      </w:pPr>
      <w:r>
        <w:t xml:space="preserve">Monitor and meet quality and service performance standards;</w:t>
      </w:r>
    </w:p>
    <w:p>
      <w:pPr>
        <w:numPr>
          <w:ilvl w:val="0"/>
          <w:numId w:val="1104"/>
        </w:numPr>
      </w:pPr>
      <w:r>
        <w:t xml:space="preserve">Ensure service continuity through risk management and planning and implementation of service contingency, backup and restoration. Ensure data continuity in the event of system failure;</w:t>
      </w:r>
    </w:p>
    <w:p>
      <w:pPr>
        <w:numPr>
          <w:ilvl w:val="0"/>
          <w:numId w:val="1104"/>
        </w:numPr>
      </w:pPr>
      <w:r>
        <w:t xml:space="preserve">Plan and coordinate the delivery of new functionalities.</w:t>
      </w:r>
    </w:p>
    <w:p>
      <w:pPr>
        <w:pStyle w:val="Heading3"/>
      </w:pPr>
      <w:bookmarkStart w:id="263" w:name="Xf24d31aecef157a070ba6440ec0c4c652849e0e"/>
      <w:r>
        <w:t xml:space="preserve">Knowledge and skill requirements</w:t>
      </w:r>
      <w:bookmarkEnd w:id="263"/>
    </w:p>
    <w:p>
      <w:pPr>
        <w:numPr>
          <w:ilvl w:val="0"/>
          <w:numId w:val="1105"/>
        </w:numPr>
      </w:pPr>
      <w:r>
        <w:t xml:space="preserve">General management skills;</w:t>
      </w:r>
    </w:p>
    <w:p>
      <w:pPr>
        <w:numPr>
          <w:ilvl w:val="0"/>
          <w:numId w:val="1105"/>
        </w:numPr>
      </w:pPr>
      <w:r>
        <w:t xml:space="preserve">Overview of local and external WIS operations and associated service agreements;</w:t>
      </w:r>
    </w:p>
    <w:p>
      <w:pPr>
        <w:numPr>
          <w:ilvl w:val="0"/>
          <w:numId w:val="1105"/>
        </w:numPr>
      </w:pPr>
      <w:r>
        <w:t xml:space="preserve">WIS regulations and policies;</w:t>
      </w:r>
    </w:p>
    <w:p>
      <w:pPr>
        <w:numPr>
          <w:ilvl w:val="0"/>
          <w:numId w:val="1105"/>
        </w:numPr>
      </w:pPr>
      <w:r>
        <w:t xml:space="preserve">Functional specifications;</w:t>
      </w:r>
    </w:p>
    <w:p>
      <w:pPr>
        <w:numPr>
          <w:ilvl w:val="0"/>
          <w:numId w:val="1105"/>
        </w:numPr>
      </w:pPr>
      <w:r>
        <w:t xml:space="preserve">Written English.</w:t>
      </w:r>
    </w:p>
    <w:p>
      <w:pPr>
        <w:pStyle w:val="Heading3"/>
      </w:pPr>
      <w:bookmarkStart w:id="264" w:name="X807d899bcfafbae5086b8b6d0f9504586a4bf55"/>
      <w:r>
        <w:t xml:space="preserve">Learning outcomes</w:t>
      </w:r>
      <w:bookmarkEnd w:id="264"/>
    </w:p>
    <w:p>
      <w:pPr>
        <w:pStyle w:val="FirstParagraph"/>
      </w:pPr>
      <w:r>
        <w:t xml:space="preserve">Staff will be able to:</w:t>
      </w:r>
    </w:p>
    <w:p>
      <w:pPr>
        <w:numPr>
          <w:ilvl w:val="0"/>
          <w:numId w:val="1106"/>
        </w:numPr>
      </w:pPr>
      <w:r>
        <w:t xml:space="preserve">Ensure that the WIS centre meets quality and service performance standards;</w:t>
      </w:r>
    </w:p>
    <w:p>
      <w:pPr>
        <w:numPr>
          <w:ilvl w:val="0"/>
          <w:numId w:val="1106"/>
        </w:numPr>
      </w:pPr>
      <w:r>
        <w:t xml:space="preserve">Identify the challenges and issues to be addressed;</w:t>
      </w:r>
    </w:p>
    <w:p>
      <w:pPr>
        <w:numPr>
          <w:ilvl w:val="0"/>
          <w:numId w:val="1106"/>
        </w:numPr>
      </w:pPr>
      <w:r>
        <w:t xml:space="preserve">Foster compliance with WIS framework.</w:t>
      </w:r>
    </w:p>
    <w:p>
      <w:pPr>
        <w:pStyle w:val="FirstParagraph"/>
      </w:pPr>
      <w:r>
        <w:t xml:space="preserve">Staff will learn:</w:t>
      </w:r>
    </w:p>
    <w:p>
      <w:pPr>
        <w:numPr>
          <w:ilvl w:val="0"/>
          <w:numId w:val="1107"/>
        </w:numPr>
      </w:pPr>
      <w:r>
        <w:t xml:space="preserve">Functions and responsibilities of the WIS centre;</w:t>
      </w:r>
    </w:p>
    <w:p>
      <w:pPr>
        <w:numPr>
          <w:ilvl w:val="0"/>
          <w:numId w:val="1107"/>
        </w:numPr>
      </w:pPr>
      <w:r>
        <w:t xml:space="preserve">WIS quality and service performance standards;</w:t>
      </w:r>
    </w:p>
    <w:p>
      <w:pPr>
        <w:numPr>
          <w:ilvl w:val="0"/>
          <w:numId w:val="1107"/>
        </w:numPr>
      </w:pPr>
      <w:r>
        <w:t xml:space="preserve">Methods to manage quality, risk and operational service;</w:t>
      </w:r>
    </w:p>
    <w:p>
      <w:pPr>
        <w:numPr>
          <w:ilvl w:val="0"/>
          <w:numId w:val="1107"/>
        </w:numPr>
      </w:pPr>
      <w:r>
        <w:t xml:space="preserve">How to monitor quality and service performance standards;</w:t>
      </w:r>
    </w:p>
    <w:p>
      <w:pPr>
        <w:numPr>
          <w:ilvl w:val="0"/>
          <w:numId w:val="1107"/>
        </w:numPr>
      </w:pPr>
      <w:r>
        <w:t xml:space="preserve">How to analyse, demonstrate and report quality and service performance at the WIS centre;</w:t>
      </w:r>
    </w:p>
    <w:p>
      <w:pPr>
        <w:numPr>
          <w:ilvl w:val="0"/>
          <w:numId w:val="1107"/>
        </w:numPr>
      </w:pPr>
      <w:r>
        <w:t xml:space="preserve">How to maintain troubleshooting, backup and restoration procedures;</w:t>
      </w:r>
    </w:p>
    <w:p>
      <w:pPr>
        <w:numPr>
          <w:ilvl w:val="0"/>
          <w:numId w:val="1107"/>
        </w:numPr>
      </w:pPr>
      <w:r>
        <w:t xml:space="preserve">How to plan and coordinate the delivery of new functionalities and improvements;</w:t>
      </w:r>
    </w:p>
    <w:p>
      <w:pPr>
        <w:numPr>
          <w:ilvl w:val="0"/>
          <w:numId w:val="1107"/>
        </w:numPr>
      </w:pPr>
      <w:r>
        <w:t xml:space="preserve">How to integrate new technologies and developments;</w:t>
      </w:r>
    </w:p>
    <w:p>
      <w:pPr>
        <w:numPr>
          <w:ilvl w:val="0"/>
          <w:numId w:val="1107"/>
        </w:numPr>
      </w:pPr>
      <w:r>
        <w:t xml:space="preserve">How to update the regulatory documents;</w:t>
      </w:r>
    </w:p>
    <w:p>
      <w:pPr>
        <w:numPr>
          <w:ilvl w:val="0"/>
          <w:numId w:val="1107"/>
        </w:numPr>
      </w:pPr>
      <w:r>
        <w:t xml:space="preserve">How to maintain service agreements;</w:t>
      </w:r>
    </w:p>
    <w:p>
      <w:pPr>
        <w:numPr>
          <w:ilvl w:val="0"/>
          <w:numId w:val="1107"/>
        </w:numPr>
      </w:pPr>
      <w:r>
        <w:t xml:space="preserve">How to plan monitoring resources;</w:t>
      </w:r>
    </w:p>
    <w:p>
      <w:pPr>
        <w:numPr>
          <w:ilvl w:val="0"/>
          <w:numId w:val="1107"/>
        </w:numPr>
      </w:pPr>
      <w:r>
        <w:t xml:space="preserve">How to align budget restrictions with human resources demands.</w:t>
      </w:r>
    </w:p>
    <w:p>
      <w:pPr>
        <w:pStyle w:val="Heading3"/>
      </w:pPr>
      <w:bookmarkStart w:id="265" w:name="Xe90cc66308a0f78148e2ed15de251782739e675"/>
      <w:r>
        <w:t xml:space="preserve">Learning activities</w:t>
      </w:r>
      <w:bookmarkEnd w:id="265"/>
    </w:p>
    <w:p>
      <w:pPr>
        <w:pStyle w:val="FirstParagraph"/>
      </w:pPr>
      <w:r>
        <w:t xml:space="preserve">To learn how to perform the required tasks staff may:</w:t>
      </w:r>
    </w:p>
    <w:p>
      <w:pPr>
        <w:pStyle w:val="BodyText"/>
      </w:pPr>
      <w:r>
        <w:t xml:space="preserve">Follow quality and service performance standards;</w:t>
      </w:r>
      <w:r>
        <w:t xml:space="preserve"> </w:t>
      </w:r>
      <w:r>
        <w:t xml:space="preserve">Analyse quality and service performance in the WIS centre;</w:t>
      </w:r>
      <w:r>
        <w:t xml:space="preserve"> </w:t>
      </w:r>
      <w:r>
        <w:t xml:space="preserve">Demonstrate and report quality and service performance;</w:t>
      </w:r>
      <w:r>
        <w:t xml:space="preserve"> </w:t>
      </w:r>
      <w:r>
        <w:t xml:space="preserve">Maintain troubleshooting, backup and restoration procedures;</w:t>
      </w:r>
      <w:r>
        <w:t xml:space="preserve"> </w:t>
      </w:r>
      <w:r>
        <w:t xml:space="preserve">Plan and coordinate the delivery of new functionalities;</w:t>
      </w:r>
      <w:r>
        <w:t xml:space="preserve"> </w:t>
      </w:r>
      <w:r>
        <w:t xml:space="preserve">Keep timely records, as required.</w:t>
      </w:r>
    </w:p>
    <w:p>
      <w:pPr>
        <w:pStyle w:val="Heading3"/>
      </w:pPr>
      <w:bookmarkStart w:id="266" w:name="X39a8637bf48f75a91882c8400fad847b4df817d"/>
      <w:r>
        <w:t xml:space="preserve">Assessment</w:t>
      </w:r>
      <w:bookmarkEnd w:id="266"/>
    </w:p>
    <w:p>
      <w:pPr>
        <w:pStyle w:val="FirstParagraph"/>
      </w:pPr>
      <w:r>
        <w:t xml:space="preserve">Staff must be able to:</w:t>
      </w:r>
    </w:p>
    <w:p>
      <w:pPr>
        <w:numPr>
          <w:ilvl w:val="0"/>
          <w:numId w:val="1108"/>
        </w:numPr>
      </w:pPr>
      <w:r>
        <w:t xml:space="preserve">Demonstrate successful WIS service;</w:t>
      </w:r>
    </w:p>
    <w:p>
      <w:pPr>
        <w:numPr>
          <w:ilvl w:val="0"/>
          <w:numId w:val="1108"/>
        </w:numPr>
      </w:pPr>
      <w:r>
        <w:t xml:space="preserve">Plan replacement and upgrade of equipment and applications to meet new functionalities and requirements.</w:t>
      </w:r>
    </w:p>
    <w:p>
      <w:pPr>
        <w:pStyle w:val="Heading3"/>
      </w:pPr>
      <w:bookmarkStart w:id="267" w:name="Xbfdb832c39042fcbfb7813a95780540a1c2e4dc"/>
      <w:r>
        <w:t xml:space="preserve">Key learning resources</w:t>
      </w:r>
      <w:bookmarkEnd w:id="267"/>
    </w:p>
    <w:p>
      <w:pPr>
        <w:numPr>
          <w:ilvl w:val="0"/>
          <w:numId w:val="1109"/>
        </w:numPr>
      </w:pPr>
      <w:r>
        <w:t xml:space="preserve">Technical Regulations (WMO No. 49), Volume I;</w:t>
      </w:r>
    </w:p>
    <w:p>
      <w:pPr>
        <w:numPr>
          <w:ilvl w:val="0"/>
          <w:numId w:val="1109"/>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p>
    <w:p>
      <w:pPr>
        <w:numPr>
          <w:ilvl w:val="0"/>
          <w:numId w:val="1109"/>
        </w:numPr>
      </w:pPr>
      <w:r>
        <w:t xml:space="preserve">Manual on the WMO Information System (WMO No. 1060), Part IV WIS Technical Specifications (WIS TechSpec 6);</w:t>
      </w:r>
    </w:p>
    <w:p>
      <w:pPr>
        <w:numPr>
          <w:ilvl w:val="0"/>
          <w:numId w:val="1109"/>
        </w:numPr>
      </w:pPr>
      <w:r>
        <w:t xml:space="preserve">Guide to the WMO Information System (WMO No. 1061);</w:t>
      </w:r>
    </w:p>
    <w:p>
      <w:pPr>
        <w:numPr>
          <w:ilvl w:val="0"/>
          <w:numId w:val="1109"/>
        </w:numPr>
      </w:pPr>
      <w:r>
        <w:t xml:space="preserve">WIS demonstration procedures and guidelines;</w:t>
      </w:r>
    </w:p>
    <w:p>
      <w:pPr>
        <w:numPr>
          <w:ilvl w:val="0"/>
          <w:numId w:val="1109"/>
        </w:numPr>
      </w:pPr>
      <w:r>
        <w:t xml:space="preserve">Monitoring reports;</w:t>
      </w:r>
    </w:p>
    <w:p>
      <w:pPr>
        <w:numPr>
          <w:ilvl w:val="0"/>
          <w:numId w:val="1109"/>
        </w:numPr>
      </w:pPr>
      <w:r>
        <w:t xml:space="preserve">Audit reports.</w:t>
      </w:r>
    </w:p>
    <w:p>
      <w:pPr>
        <w:pStyle w:val="Heading1"/>
      </w:pPr>
      <w:bookmarkStart w:id="268" w:name="X946ebe6ed733e2babfcea3fe569ce4cf8b0ccf0"/>
      <w:r>
        <w:t xml:space="preserve">Recommended practices for audit and certification of WIS Centres</w:t>
      </w:r>
      <w:bookmarkEnd w:id="268"/>
    </w:p>
    <w:p>
      <w:pPr>
        <w:pStyle w:val="Heading2"/>
      </w:pPr>
      <w:bookmarkStart w:id="269" w:name="X7189df3a15a6aaa00b722934551031eba484b9f"/>
      <w:r>
        <w:t xml:space="preserve">Background</w:t>
      </w:r>
      <w:bookmarkEnd w:id="269"/>
    </w:p>
    <w:p>
      <w:pPr>
        <w:pStyle w:val="FirstParagraph"/>
      </w:pPr>
      <w:r>
        <w:t xml:space="preserve">The Infrastructure Commission is responsible for certification of WIS centres’ compliance with the WIS technical specifications defined in the Manual on WIS. The INFCOM will maintain, within the structure of its SC-IMT on Information Management and Technology (SC-IMT), and the Expert Team on Audit and Certification (ET-AC) to coordinate audits and certification of WIS centres.</w:t>
      </w:r>
    </w:p>
    <w:p>
      <w:pPr>
        <w:pStyle w:val="BodyText"/>
      </w:pPr>
      <w:r>
        <w:t xml:space="preserve">Audits and certifications will be carried out in line with the principles established in the Technical Regulations (WMO-No. 49), Volume I: General Meteorological Standards and Recommended Practices, Part VII.</w:t>
      </w:r>
    </w:p>
    <w:p>
      <w:pPr>
        <w:pStyle w:val="Heading2"/>
      </w:pPr>
      <w:bookmarkStart w:id="270" w:name="Xafddb1bd41bbf43690f29cb91a0bf700e1b5925"/>
      <w:r>
        <w:t xml:space="preserve">Auditing and certification</w:t>
      </w:r>
      <w:bookmarkEnd w:id="270"/>
    </w:p>
    <w:p>
      <w:pPr>
        <w:pStyle w:val="FirstParagraph"/>
      </w:pPr>
      <w:r>
        <w:t xml:space="preserve">Auditors and certifiers shall be or shall become members of ET-AC. New members must have relevant technical or auditing experience. They must be members (core or associate) of an SC-IMT expert team or have written commitment of the Permanent Representative of their country with WMO allowing them to participate as members of the ET-AC. New members will be mentored by a nominated existing expert. Note that regional diversity of members of ET-AC is essential. Access to ET-AC Workspace and online databases is restricted to ET-AC and the WMO Secretariat.</w:t>
      </w:r>
    </w:p>
    <w:p>
      <w:pPr>
        <w:pStyle w:val="Heading3"/>
      </w:pPr>
      <w:bookmarkStart w:id="271" w:name="X6ff01feb729316dcb1db880bc39972dbf90e8e3"/>
      <w:r>
        <w:t xml:space="preserve">GISC audits</w:t>
      </w:r>
      <w:bookmarkEnd w:id="271"/>
    </w:p>
    <w:p>
      <w:pPr>
        <w:pStyle w:val="FirstParagraph"/>
      </w:pPr>
      <w:r>
        <w:t xml:space="preserve">The Expert Team on Audit and Certification, on behalf of INFCOM, is responsible for auditing and certification of GISCs.</w:t>
      </w:r>
    </w:p>
    <w:p>
      <w:pPr>
        <w:pStyle w:val="BodyText"/>
      </w:pPr>
      <w:r>
        <w:t xml:space="preserve">A GISC should be audited by two experts, one of whom must have previous experience of auditing GISCs. Auditors should be from a different region than that of the GISC.</w:t>
      </w:r>
    </w:p>
    <w:p>
      <w:pPr>
        <w:pStyle w:val="BodyText"/>
      </w:pPr>
      <w:r>
        <w:t xml:space="preserve">Travel and per diem should be at the GISC’s expense and arranged through WMO.</w:t>
      </w:r>
    </w:p>
    <w:p>
      <w:pPr>
        <w:pStyle w:val="Heading4"/>
      </w:pPr>
      <w:bookmarkStart w:id="272" w:name="X04c4fd8c93c76053346221f6b7ddb1fabdd2123"/>
      <w:r>
        <w:t xml:space="preserve">Scope of GISC audits</w:t>
      </w:r>
      <w:bookmarkEnd w:id="272"/>
    </w:p>
    <w:p>
      <w:pPr>
        <w:pStyle w:val="FirstParagraph"/>
      </w:pPr>
      <w:r>
        <w:t xml:space="preserve">Full audits will cover all aspects of WIS compliance and shall include site visits using practices inline with those of the ISO 9000 series standards.</w:t>
      </w:r>
    </w:p>
    <w:p>
      <w:pPr>
        <w:pStyle w:val="BodyText"/>
      </w:pPr>
      <w:r>
        <w:t xml:space="preserve">Interim audits will focus on a particular subset of topics. Actual elements to be focused on will be determined by the Standing Committee on Information Management and Technology (SC-IMT) or its delegated expert team. Centres will be told in advance on which subset of topics the interim audit will focus. Possible areas for review in interim audits include:</w:t>
      </w:r>
    </w:p>
    <w:p>
      <w:pPr>
        <w:pStyle w:val="BodyText"/>
      </w:pPr>
      <w:r>
        <w:t xml:space="preserve">a) GISC operations;</w:t>
      </w:r>
      <w:r>
        <w:t xml:space="preserve"> </w:t>
      </w:r>
      <w:r>
        <w:t xml:space="preserve">b) Metadata management;</w:t>
      </w:r>
      <w:r>
        <w:t xml:space="preserve"> </w:t>
      </w:r>
      <w:r>
        <w:t xml:space="preserve">c) Monitoring;</w:t>
      </w:r>
      <w:r>
        <w:t xml:space="preserve"> </w:t>
      </w:r>
      <w:r>
        <w:t xml:space="preserve">d) Incident management</w:t>
      </w:r>
      <w:r>
        <w:t xml:space="preserve"> </w:t>
      </w:r>
      <w:r>
        <w:t xml:space="preserve">e) Quality of service provided by the GISC;</w:t>
      </w:r>
      <w:r>
        <w:t xml:space="preserve"> </w:t>
      </w:r>
      <w:r>
        <w:t xml:space="preserve">e) Coordination within its Area of Responsibility:</w:t>
      </w:r>
      <w:r>
        <w:t xml:space="preserve"> </w:t>
      </w:r>
      <w:r>
        <w:t xml:space="preserve">i) Management of the GISC Area of Responsibility;</w:t>
      </w:r>
      <w:r>
        <w:t xml:space="preserve"> </w:t>
      </w:r>
      <w:r>
        <w:t xml:space="preserve">ii) Capacity development;</w:t>
      </w:r>
      <w:r>
        <w:t xml:space="preserve"> </w:t>
      </w:r>
      <w:r>
        <w:t xml:space="preserve">iii) Participation in WIS coordination and planning mechanisms</w:t>
      </w:r>
    </w:p>
    <w:p>
      <w:pPr>
        <w:pStyle w:val="Heading2"/>
      </w:pPr>
      <w:bookmarkStart w:id="273" w:name="X31970d9b26eb972e49798f8ced8d53f6784b18d"/>
      <w:r>
        <w:t xml:space="preserve">DCPC certification</w:t>
      </w:r>
      <w:bookmarkEnd w:id="273"/>
    </w:p>
    <w:p>
      <w:pPr>
        <w:pStyle w:val="FirstParagraph"/>
      </w:pPr>
      <w:r>
        <w:t xml:space="preserve">Data Collection or Production Centres are to be certified by the ET-AC. Where a DCPC is not using the infrastructure of its principal GISC, and its principal GISC is operational, it can be certified by ET-AC once the principal GISC has performed the necessary tests. However, if the principal GISC is not operational, the ET-CAC will arrange for a suitable GISC to perform the tests. Where a DCPC uses the infrastructure of its principal GISC, it is certified as a part of the GISC certification process.</w:t>
      </w:r>
    </w:p>
    <w:p>
      <w:pPr>
        <w:pStyle w:val="BodyText"/>
      </w:pPr>
      <w:r>
        <w:t xml:space="preserve">The certification of a DCPC requires only one ET-AC coordinator, who will ask a GISC to undertake tests with the DCPC. It is expected that the centre’s principal GISC will undertake those tests.</w:t>
      </w:r>
    </w:p>
    <w:p>
      <w:pPr>
        <w:pStyle w:val="Heading3"/>
      </w:pPr>
      <w:bookmarkStart w:id="274" w:name="Xbec9e7ab93e03ef32856c7d9489b0d043813c59"/>
      <w:r>
        <w:t xml:space="preserve">Verification of compliance of NCs</w:t>
      </w:r>
      <w:bookmarkEnd w:id="274"/>
    </w:p>
    <w:p>
      <w:pPr>
        <w:pStyle w:val="FirstParagraph"/>
      </w:pPr>
      <w:r>
        <w:t xml:space="preserve">Compliance of NCs is the responsibility of the Permanent Representative with WMO of the Member accountable for the centre. Verification of compliance of an NC should be done by its principal GISC. The Expert Team on Audit and Certification will monitor the NC compliance process in consultation with NCs and GISCs.</w:t>
      </w:r>
    </w:p>
    <w:p>
      <w:pPr>
        <w:pStyle w:val="Heading2"/>
      </w:pPr>
      <w:bookmarkStart w:id="275" w:name="X3385611eba59cfabe7412774c526738dbd0fa96"/>
      <w:r>
        <w:t xml:space="preserve">The review cycle</w:t>
      </w:r>
      <w:bookmarkEnd w:id="275"/>
    </w:p>
    <w:p>
      <w:pPr>
        <w:pStyle w:val="FirstParagraph"/>
      </w:pPr>
      <w:r>
        <w:t xml:space="preserve">The review cycle should start from the date of INFCOM endorsement. Audits should take place within the calendar year in which the cycle ends, and their timing will need to be coordinated with the experts called upon to undertake them.</w:t>
      </w:r>
    </w:p>
    <w:p>
      <w:pPr>
        <w:pStyle w:val="BodyText"/>
      </w:pPr>
      <w:r>
        <w:t xml:space="preserve">The INFCOM endorsement date should be recorded in the WIS centre database. The date on which the centre became operational should also be recorded if known. Similarly, to an ISO 9001:2015 audit process, the GISC audit will follow the principle of alternating intermediate and full audits aligned with the INFCOM/EC four-year cycle:</w:t>
      </w:r>
    </w:p>
    <w:p>
      <w:pPr>
        <w:pStyle w:val="BodyText"/>
      </w:pPr>
      <w:r>
        <w:t xml:space="preserve">a) Intermediate audit (interim, four years): a mid-cycle review of performance and compliance to provide, if necessary, opportunities to introduce corrective actions well in advance of a full audit;</w:t>
      </w:r>
      <w:r>
        <w:t xml:space="preserve"> </w:t>
      </w:r>
      <w:r>
        <w:t xml:space="preserve">b) Full audit (every second audit, i.e., every eight years): this audit will result in a recommendation for confirmation or cancellation of endorsement.</w:t>
      </w:r>
    </w:p>
    <w:p>
      <w:pPr>
        <w:pStyle w:val="Heading3"/>
      </w:pPr>
      <w:bookmarkStart w:id="276" w:name="Xb100ad31746e4c37a33356bbdf597a59eec1106"/>
      <w:r>
        <w:t xml:space="preserve">Review of DCPCs</w:t>
      </w:r>
      <w:bookmarkEnd w:id="276"/>
    </w:p>
    <w:p>
      <w:pPr>
        <w:pStyle w:val="FirstParagraph"/>
      </w:pPr>
      <w:r>
        <w:t xml:space="preserve">The DCPC review cycle will be eight years. Reviews will cover all aspects of WIS compliance.</w:t>
      </w:r>
    </w:p>
    <w:p>
      <w:pPr>
        <w:pStyle w:val="Heading3"/>
      </w:pPr>
      <w:bookmarkStart w:id="277" w:name="X44ec3ae2cb3a855ee03f7a15b46a6e8559ff6d6"/>
      <w:r>
        <w:t xml:space="preserve">Review of NCs</w:t>
      </w:r>
      <w:bookmarkEnd w:id="277"/>
    </w:p>
    <w:p>
      <w:pPr>
        <w:pStyle w:val="FirstParagraph"/>
      </w:pPr>
      <w:r>
        <w:t xml:space="preserve">Review of NC compliance is the responsibility of the Permanent Representative with WMO of the Member responsible for the Centre in liaison with the NC and its principal GISC.</w:t>
      </w:r>
    </w:p>
    <w:p>
      <w:pPr>
        <w:pStyle w:val="Heading2"/>
      </w:pPr>
      <w:bookmarkStart w:id="278" w:name="Xa0852bd6b652253c92942d988fc2ca7cd825174"/>
      <w:r>
        <w:t xml:space="preserve">Ad hoc audits or reviews</w:t>
      </w:r>
      <w:bookmarkEnd w:id="278"/>
    </w:p>
    <w:p>
      <w:pPr>
        <w:pStyle w:val="FirstParagraph"/>
      </w:pPr>
      <w:r>
        <w:t xml:space="preserve">An ad hoc audit or review can be requested by the president of INFCOM due, for example, to non-conformance causing problems with WIS operations.</w:t>
      </w:r>
    </w:p>
    <w:p>
      <w:pPr>
        <w:pStyle w:val="Heading2"/>
      </w:pPr>
      <w:bookmarkStart w:id="279" w:name="X9ab13a3e1cbb37015c8f4dc14c50a3a9a73af89"/>
      <w:r>
        <w:t xml:space="preserve">Audit or review outcome</w:t>
      </w:r>
      <w:bookmarkEnd w:id="279"/>
    </w:p>
    <w:p>
      <w:pPr>
        <w:pStyle w:val="FirstParagraph"/>
      </w:pPr>
      <w:r>
        <w:t xml:space="preserve">The outcome of the audit or review will be categorized as "endorsed", "endorsed with qualification" or "not endorsed". Audit or review recommendations will be provided to the president of INFCOM and to the Director of WIS.</w:t>
      </w:r>
    </w:p>
    <w:p>
      <w:pPr>
        <w:pStyle w:val="Heading2"/>
      </w:pPr>
      <w:bookmarkStart w:id="280" w:name="Xf4a1e64e74945af47752f37fd83d713f9b4fb08"/>
      <w:r>
        <w:t xml:space="preserve">Format of report</w:t>
      </w:r>
      <w:bookmarkEnd w:id="280"/>
    </w:p>
    <w:p>
      <w:pPr>
        <w:pStyle w:val="FirstParagraph"/>
      </w:pPr>
      <w:r>
        <w:t xml:space="preserve">The Expert Team on Audit and Certification will use a template for final reports, although the content will reflect the areas audited.</w:t>
      </w:r>
    </w:p>
    <w:p>
      <w:pPr>
        <w:pStyle w:val="Heading2"/>
      </w:pPr>
      <w:bookmarkStart w:id="281" w:name="X3fe9238d52e17f5173416070b32debd7ef65d08"/>
      <w:r>
        <w:t xml:space="preserve">Public notification of type of INFCOM endorsement</w:t>
      </w:r>
      <w:bookmarkEnd w:id="281"/>
    </w:p>
    <w:p>
      <w:pPr>
        <w:pStyle w:val="FirstParagraph"/>
      </w:pPr>
      <w:r>
        <w:t xml:space="preserve">The endorsement of INFCOM is based on continued successful audit outcomes. Centre endorsements are published only as "INFCOM endorsed" with no public declaration of whether endorsement was with "qualifications".</w:t>
      </w:r>
    </w:p>
    <w:p>
      <w:pPr>
        <w:pStyle w:val="BodyText"/>
      </w:pPr>
      <w:r>
        <w:t xml:space="preserve">Details of reviews and audits of centres are confidential. Auditors will have access to the previous reports on a centre to perform their role.</w:t>
      </w:r>
    </w:p>
    <w:p>
      <w:pPr>
        <w:pStyle w:val="Heading2"/>
      </w:pPr>
      <w:bookmarkStart w:id="282" w:name="X8530bb5edb799f3a94a5cf8af0dfd264749ebae"/>
      <w:r>
        <w:t xml:space="preserve">Review of audits with qualification</w:t>
      </w:r>
      <w:bookmarkEnd w:id="282"/>
    </w:p>
    <w:p>
      <w:pPr>
        <w:pStyle w:val="FirstParagraph"/>
      </w:pPr>
      <w:r>
        <w:t xml:space="preserve">Global Information System Centres that were "endorsed with qualifications" have two years from the date of the audit to demonstrate that they have taken remedial action on the points of qualification.</w:t>
      </w:r>
    </w:p>
    <w:p>
      <w:pPr>
        <w:pStyle w:val="BodyText"/>
      </w:pPr>
      <w:r>
        <w:t xml:space="preserve">The Expert Team on Audit and Certification will investigate GISCs that were "endorsed with qualifications" and have not demonstrated that they have taken remedial action within two years of the date of audit. The Expert Team should report to INFCOM on progress in addressing the aspects that incurred the "qualification" and can recommend to INFCOM that it revokes its endorsement.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5">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6">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65">
    <w:p>
      <w:pPr>
        <w:pStyle w:val="FootnoteText"/>
      </w:pPr>
      <w:r>
        <w:rPr>
          <w:rStyle w:val="FootnoteReference"/>
        </w:rPr>
        <w:footnoteRef/>
      </w:r>
      <w:r>
        <w:t xml:space="preserve"> </w:t>
      </w:r>
      <w:r>
        <w:t xml:space="preserve">Data accessible via a WIS2 Global Cache will be "Core data" (as defined in the WMO Unified Data Policy) – consequently it must be provided without restriction on use.</w:t>
      </w:r>
    </w:p>
  </w:footnote>
  <w:footnote w:id="66">
    <w:p>
      <w:pPr>
        <w:pStyle w:val="FootnoteText"/>
      </w:pPr>
      <w:r>
        <w:rPr>
          <w:rStyle w:val="FootnoteReference"/>
        </w:rPr>
        <w:footnoteRef/>
      </w:r>
      <w:r>
        <w:t xml:space="preserve"> </w:t>
      </w:r>
      <w:r>
        <w:t xml:space="preserve">A WIS2 Global Cache may be used ensure efficient and highly available access to data. See 8.4 Global Cache for more information.</w:t>
      </w:r>
    </w:p>
  </w:footnote>
  <w:footnote w:id="67">
    <w:p>
      <w:pPr>
        <w:pStyle w:val="FootnoteText"/>
      </w:pPr>
      <w:r>
        <w:rPr>
          <w:rStyle w:val="FootnoteReference"/>
        </w:rPr>
        <w:footnoteRef/>
      </w:r>
      <w:r>
        <w:t xml:space="preserve"> </w:t>
      </w:r>
      <w:r>
        <w:t xml:space="preserve">Even if generally robust, the Internet, as opposed to private networks, such as dedicated lines or the RMDCN, has no end-to-end Service Level Agreement (SLA). Robustness is based factual experience and not contractual SLA.</w:t>
      </w:r>
    </w:p>
  </w:footnote>
  <w:footnote w:id="70">
    <w:p>
      <w:pPr>
        <w:pStyle w:val="FootnoteText"/>
      </w:pPr>
      <w:r>
        <w:rPr>
          <w:rStyle w:val="FootnoteReference"/>
        </w:rPr>
        <w:footnoteRef/>
      </w:r>
      <w:r>
        <w:t xml:space="preserve"> </w:t>
      </w:r>
      <w:r>
        <w:t xml:space="preserve">Excluding the top two levels ("channel" and "version") – these are not considered part of the data classification scheme in the WMO Core Metadata Profile because they relate to data distribution mechanisms.</w:t>
      </w:r>
    </w:p>
  </w:footnote>
  <w:footnote w:id="73">
    <w:p>
      <w:pPr>
        <w:pStyle w:val="FootnoteText"/>
      </w:pPr>
      <w:r>
        <w:rPr>
          <w:rStyle w:val="FootnoteReference"/>
        </w:rPr>
        <w:footnoteRef/>
      </w:r>
      <w:r>
        <w:t xml:space="preserve"> </w:t>
      </w:r>
      <w:r>
        <w:t xml:space="preserve">OpenMetrics is proposed as a draft standard within IETF.</w:t>
      </w:r>
    </w:p>
  </w:footnote>
  <w:footnote w:id="123">
    <w:p>
      <w:pPr>
        <w:pStyle w:val="FootnoteText"/>
      </w:pPr>
      <w:r>
        <w:rPr>
          <w:rStyle w:val="FootnoteReference"/>
        </w:rPr>
        <w:footnoteRef/>
      </w:r>
      <w:r>
        <w:t xml:space="preserve"> </w:t>
      </w:r>
      <w:hyperlink r:id="rId124">
        <w:r>
          <w:rPr>
            <w:rStyle w:val="Hyperlink"/>
          </w:rPr>
          <w:t xml:space="preserve">https://go-fair.org</w:t>
        </w:r>
      </w:hyperlink>
    </w:p>
  </w:footnote>
  <w:footnote w:id="148">
    <w:p>
      <w:pPr>
        <w:pStyle w:val="FootnoteText"/>
      </w:pPr>
      <w:r>
        <w:rPr>
          <w:rStyle w:val="FootnoteReference"/>
        </w:rPr>
        <w:footnoteRef/>
      </w:r>
      <w:r>
        <w:t xml:space="preserve"> </w:t>
      </w:r>
      <w:hyperlink r:id="rId149">
        <w:r>
          <w:rPr>
            <w:rStyle w:val="Hyperlink"/>
          </w:rPr>
          <w:t xml:space="preserve">https://wmo-im.github.io/wcmp2</w:t>
        </w:r>
      </w:hyperlink>
    </w:p>
  </w:footnote>
  <w:footnote w:id="150">
    <w:p>
      <w:pPr>
        <w:pStyle w:val="FootnoteText"/>
      </w:pPr>
      <w:r>
        <w:rPr>
          <w:rStyle w:val="FootnoteReference"/>
        </w:rPr>
        <w:footnoteRef/>
      </w:r>
      <w:r>
        <w:t xml:space="preserve"> </w:t>
      </w:r>
      <w:hyperlink r:id="rId151">
        <w:r>
          <w:rPr>
            <w:rStyle w:val="Hyperlink"/>
          </w:rPr>
          <w:t xml:space="preserve">https://github.com/wmo-im/wis2-topic-hierarchy</w:t>
        </w:r>
      </w:hyperlink>
    </w:p>
  </w:footnote>
  <w:footnote w:id="152">
    <w:p>
      <w:pPr>
        <w:pStyle w:val="FootnoteText"/>
      </w:pPr>
      <w:r>
        <w:rPr>
          <w:rStyle w:val="FootnoteReference"/>
        </w:rPr>
        <w:footnoteRef/>
      </w:r>
      <w:r>
        <w:t xml:space="preserve"> </w:t>
      </w:r>
      <w:hyperlink r:id="rId153">
        <w:r>
          <w:rPr>
            <w:rStyle w:val="Hyperlink"/>
          </w:rPr>
          <w:t xml:space="preserve">https://wmo-im.github.io/wis2-notification-message</w:t>
        </w:r>
      </w:hyperlink>
    </w:p>
  </w:footnote>
  <w:footnote w:id="154">
    <w:p>
      <w:pPr>
        <w:pStyle w:val="FootnoteText"/>
      </w:pPr>
      <w:r>
        <w:rPr>
          <w:rStyle w:val="FootnoteReference"/>
        </w:rPr>
        <w:footnoteRef/>
      </w:r>
      <w:r>
        <w:t xml:space="preserve"> </w:t>
      </w:r>
      <w:hyperlink r:id="rId155">
        <w:r>
          <w:rPr>
            <w:rStyle w:val="Hyperlink"/>
          </w:rPr>
          <w:t xml:space="preserve">https://github.com/wmo-im/wis2-metric-hierarchy</w:t>
        </w:r>
      </w:hyperlink>
    </w:p>
  </w:footnote>
  <w:footnote w:id="156">
    <w:p>
      <w:pPr>
        <w:pStyle w:val="FootnoteText"/>
      </w:pPr>
      <w:r>
        <w:rPr>
          <w:rStyle w:val="FootnoteReference"/>
        </w:rPr>
        <w:footnoteRef/>
      </w:r>
      <w:r>
        <w:t xml:space="preserve"> </w:t>
      </w:r>
      <w:hyperlink r:id="rId157">
        <w:r>
          <w:rPr>
            <w:rStyle w:val="Hyperlink"/>
          </w:rPr>
          <w:t xml:space="preserve">https://www.w3.org/TR/webarch</w:t>
        </w:r>
      </w:hyperlink>
    </w:p>
  </w:footnote>
  <w:footnote w:id="158">
    <w:p>
      <w:pPr>
        <w:pStyle w:val="FootnoteText"/>
      </w:pPr>
      <w:r>
        <w:rPr>
          <w:rStyle w:val="FootnoteReference"/>
        </w:rPr>
        <w:footnoteRef/>
      </w:r>
      <w:r>
        <w:t xml:space="preserve"> </w:t>
      </w:r>
      <w:hyperlink r:id="rId159">
        <w:r>
          <w:rPr>
            <w:rStyle w:val="Hyperlink"/>
          </w:rPr>
          <w:t xml:space="preserve">https://www.ietf.org/rfc/rfc3339.txt</w:t>
        </w:r>
      </w:hyperlink>
    </w:p>
  </w:footnote>
  <w:footnote w:id="160">
    <w:p>
      <w:pPr>
        <w:pStyle w:val="FootnoteText"/>
      </w:pPr>
      <w:r>
        <w:rPr>
          <w:rStyle w:val="FootnoteReference"/>
        </w:rPr>
        <w:footnoteRef/>
      </w:r>
      <w:r>
        <w:t xml:space="preserve"> </w:t>
      </w:r>
      <w:hyperlink r:id="rId161">
        <w:r>
          <w:rPr>
            <w:rStyle w:val="Hyperlink"/>
          </w:rPr>
          <w:t xml:space="preserve">https://www.ietf.org/rfc/rfc3986.txt</w:t>
        </w:r>
      </w:hyperlink>
    </w:p>
  </w:footnote>
  <w:footnote w:id="162">
    <w:p>
      <w:pPr>
        <w:pStyle w:val="FootnoteText"/>
      </w:pPr>
      <w:r>
        <w:rPr>
          <w:rStyle w:val="FootnoteReference"/>
        </w:rPr>
        <w:footnoteRef/>
      </w:r>
      <w:r>
        <w:t xml:space="preserve"> </w:t>
      </w:r>
      <w:hyperlink r:id="rId163">
        <w:r>
          <w:rPr>
            <w:rStyle w:val="Hyperlink"/>
          </w:rPr>
          <w:t xml:space="preserve">https://www.ietf.org/rfc/rfc7946.txt</w:t>
        </w:r>
      </w:hyperlink>
    </w:p>
  </w:footnote>
  <w:footnote w:id="164">
    <w:p>
      <w:pPr>
        <w:pStyle w:val="FootnoteText"/>
      </w:pPr>
      <w:r>
        <w:rPr>
          <w:rStyle w:val="FootnoteReference"/>
        </w:rPr>
        <w:footnoteRef/>
      </w:r>
      <w:r>
        <w:t xml:space="preserve"> </w:t>
      </w:r>
      <w:hyperlink r:id="rId165">
        <w:r>
          <w:rPr>
            <w:rStyle w:val="Hyperlink"/>
          </w:rPr>
          <w:t xml:space="preserve">https://docs.ogc.org/DRAFTS/20-004.html</w:t>
        </w:r>
      </w:hyperlink>
    </w:p>
  </w:footnote>
  <w:footnote w:id="166">
    <w:p>
      <w:pPr>
        <w:pStyle w:val="FootnoteText"/>
      </w:pPr>
      <w:r>
        <w:rPr>
          <w:rStyle w:val="FootnoteReference"/>
        </w:rPr>
        <w:footnoteRef/>
      </w:r>
      <w:r>
        <w:t xml:space="preserve"> </w:t>
      </w:r>
      <w:hyperlink r:id="rId167">
        <w:r>
          <w:rPr>
            <w:rStyle w:val="Hyperlink"/>
          </w:rPr>
          <w:t xml:space="preserve">https://docs.oasis-open.org/mqtt/mqtt/v3.1.1/os/mqtt-v3.1.1-os.html</w:t>
        </w:r>
      </w:hyperlink>
    </w:p>
  </w:footnote>
  <w:footnote w:id="168">
    <w:p>
      <w:pPr>
        <w:pStyle w:val="FootnoteText"/>
      </w:pPr>
      <w:r>
        <w:rPr>
          <w:rStyle w:val="FootnoteReference"/>
        </w:rPr>
        <w:footnoteRef/>
      </w:r>
      <w:r>
        <w:t xml:space="preserve"> </w:t>
      </w:r>
      <w:hyperlink r:id="rId169">
        <w:r>
          <w:rPr>
            <w:rStyle w:val="Hyperlink"/>
          </w:rPr>
          <w:t xml:space="preserve">https://docs.oasis-open.org/mqtt/mqtt/v5.0/mqtt-v5.0.html</w:t>
        </w:r>
      </w:hyperlink>
    </w:p>
  </w:footnote>
  <w:footnote w:id="170">
    <w:p>
      <w:pPr>
        <w:pStyle w:val="FootnoteText"/>
      </w:pPr>
      <w:r>
        <w:rPr>
          <w:rStyle w:val="FootnoteReference"/>
        </w:rPr>
        <w:footnoteRef/>
      </w:r>
      <w:r>
        <w:t xml:space="preserve"> </w:t>
      </w:r>
      <w:hyperlink r:id="rId171">
        <w:r>
          <w:rPr>
            <w:rStyle w:val="Hyperlink"/>
          </w:rPr>
          <w:t xml:space="preserve">https://openmetrics.io</w:t>
        </w:r>
      </w:hyperlink>
    </w:p>
  </w:footnote>
  <w:footnote w:id="173">
    <w:p>
      <w:pPr>
        <w:pStyle w:val="FootnoteText"/>
      </w:pPr>
      <w:r>
        <w:rPr>
          <w:rStyle w:val="FootnoteReference"/>
        </w:rPr>
        <w:footnoteRef/>
      </w:r>
      <w:r>
        <w:t xml:space="preserve"> </w:t>
      </w:r>
      <w:hyperlink r:id="rId174">
        <w:r>
          <w:rPr>
            <w:rStyle w:val="Hyperlink"/>
          </w:rPr>
          <w:t xml:space="preserve">https://library.wmo.int/index.php?lvl=notice_display&amp;id=20422</w:t>
        </w:r>
      </w:hyperlink>
    </w:p>
  </w:footnote>
  <w:footnote w:id="175">
    <w:p>
      <w:pPr>
        <w:pStyle w:val="FootnoteText"/>
      </w:pPr>
      <w:r>
        <w:rPr>
          <w:rStyle w:val="FootnoteReference"/>
        </w:rPr>
        <w:footnoteRef/>
      </w:r>
      <w:r>
        <w:t xml:space="preserve"> </w:t>
      </w:r>
      <w:hyperlink r:id="rId176">
        <w:r>
          <w:rPr>
            <w:rStyle w:val="Hyperlink"/>
          </w:rPr>
          <w:t xml:space="preserve">https://library.wmo.int/index.php?lvl=notice_display&amp;id=21644</w:t>
        </w:r>
      </w:hyperlink>
    </w:p>
  </w:footnote>
  <w:footnote w:id="177">
    <w:p>
      <w:pPr>
        <w:pStyle w:val="FootnoteText"/>
      </w:pPr>
      <w:r>
        <w:rPr>
          <w:rStyle w:val="FootnoteReference"/>
        </w:rPr>
        <w:footnoteRef/>
      </w:r>
      <w:r>
        <w:t xml:space="preserve"> </w:t>
      </w:r>
      <w:hyperlink r:id="rId178">
        <w:r>
          <w:rPr>
            <w:rStyle w:val="Hyperlink"/>
          </w:rPr>
          <w:t xml:space="preserve">https://www.w3.org/TR/dwbp</w:t>
        </w:r>
      </w:hyperlink>
    </w:p>
  </w:footnote>
  <w:footnote w:id="179">
    <w:p>
      <w:pPr>
        <w:pStyle w:val="FootnoteText"/>
      </w:pPr>
      <w:r>
        <w:rPr>
          <w:rStyle w:val="FootnoteReference"/>
        </w:rPr>
        <w:footnoteRef/>
      </w:r>
      <w:r>
        <w:t xml:space="preserve"> </w:t>
      </w:r>
      <w:hyperlink r:id="rId180">
        <w:r>
          <w:rPr>
            <w:rStyle w:val="Hyperlink"/>
          </w:rPr>
          <w:t xml:space="preserve">https://www.w3.org/TR/sdw-bp</w:t>
        </w:r>
      </w:hyperlink>
    </w:p>
  </w:footnote>
  <w:footnote w:id="181">
    <w:p>
      <w:pPr>
        <w:pStyle w:val="FootnoteText"/>
      </w:pPr>
      <w:r>
        <w:rPr>
          <w:rStyle w:val="FootnoteReference"/>
        </w:rPr>
        <w:footnoteRef/>
      </w:r>
      <w:r>
        <w:t xml:space="preserve"> </w:t>
      </w:r>
      <w:hyperlink r:id="rId182">
        <w:r>
          <w:rPr>
            <w:rStyle w:val="Hyperlink"/>
          </w:rPr>
          <w:t xml:space="preserve">https://www.ogc.org/blog-article/towards-a-cloud-native-ogc</w:t>
        </w:r>
      </w:hyperlink>
    </w:p>
  </w:footnote>
  <w:footnote w:id="183">
    <w:p>
      <w:pPr>
        <w:pStyle w:val="FootnoteText"/>
      </w:pPr>
      <w:r>
        <w:rPr>
          <w:rStyle w:val="FootnoteReference"/>
        </w:rPr>
        <w:footnoteRef/>
      </w:r>
      <w:r>
        <w:t xml:space="preserve"> </w:t>
      </w:r>
      <w:hyperlink r:id="rId184">
        <w:r>
          <w:rPr>
            <w:rStyle w:val="Hyperlink"/>
          </w:rPr>
          <w:t xml:space="preserve">https://www.ogc.org/blog-article/towards-a-cloud-native-geospatial-standards-baseline</w:t>
        </w:r>
      </w:hyperlink>
    </w:p>
  </w:footnote>
  <w:footnote w:id="185">
    <w:p>
      <w:pPr>
        <w:pStyle w:val="FootnoteText"/>
      </w:pPr>
      <w:r>
        <w:rPr>
          <w:rStyle w:val="FootnoteReference"/>
        </w:rPr>
        <w:footnoteRef/>
      </w:r>
      <w:r>
        <w:t xml:space="preserve"> </w:t>
      </w:r>
      <w:hyperlink r:id="rId186">
        <w:r>
          <w:rPr>
            <w:rStyle w:val="Hyperlink"/>
          </w:rPr>
          <w:t xml:space="preserve">https://spec.openapis.org/oas/v3.1.0</w:t>
        </w:r>
      </w:hyperlink>
    </w:p>
  </w:footnote>
  <w:footnote w:id="187">
    <w:p>
      <w:pPr>
        <w:pStyle w:val="FootnoteText"/>
      </w:pPr>
      <w:r>
        <w:rPr>
          <w:rStyle w:val="FootnoteReference"/>
        </w:rPr>
        <w:footnoteRef/>
      </w:r>
      <w:r>
        <w:t xml:space="preserve"> </w:t>
      </w:r>
      <w:hyperlink r:id="rId188">
        <w:r>
          <w:rPr>
            <w:rStyle w:val="Hyperlink"/>
          </w:rPr>
          <w:t xml:space="preserve">https://ogcapi.ogc.org</w:t>
        </w:r>
      </w:hyperlink>
    </w:p>
  </w:footnote>
  <w:footnote w:id="189">
    <w:p>
      <w:pPr>
        <w:pStyle w:val="FootnoteText"/>
      </w:pPr>
      <w:r>
        <w:rPr>
          <w:rStyle w:val="FootnoteReference"/>
        </w:rPr>
        <w:footnoteRef/>
      </w:r>
      <w:r>
        <w:t xml:space="preserve"> </w:t>
      </w:r>
      <w:hyperlink r:id="rId190">
        <w:r>
          <w:rPr>
            <w:rStyle w:val="Hyperlink"/>
          </w:rPr>
          <w:t xml:space="preserve">https://docs.opengeospatial.org/is/17-069r4/17-069r4.html</w:t>
        </w:r>
      </w:hyperlink>
    </w:p>
  </w:footnote>
  <w:footnote w:id="191">
    <w:p>
      <w:pPr>
        <w:pStyle w:val="FootnoteText"/>
      </w:pPr>
      <w:r>
        <w:rPr>
          <w:rStyle w:val="FootnoteReference"/>
        </w:rPr>
        <w:footnoteRef/>
      </w:r>
      <w:r>
        <w:t xml:space="preserve"> </w:t>
      </w:r>
      <w:hyperlink r:id="rId192">
        <w:r>
          <w:rPr>
            <w:rStyle w:val="Hyperlink"/>
          </w:rPr>
          <w:t xml:space="preserve">http://docs.ogc.org/DRAFTS/19-087.html</w:t>
        </w:r>
      </w:hyperlink>
    </w:p>
  </w:footnote>
  <w:footnote w:id="193">
    <w:p>
      <w:pPr>
        <w:pStyle w:val="FootnoteText"/>
      </w:pPr>
      <w:r>
        <w:rPr>
          <w:rStyle w:val="FootnoteReference"/>
        </w:rPr>
        <w:footnoteRef/>
      </w:r>
      <w:r>
        <w:t xml:space="preserve"> </w:t>
      </w:r>
      <w:hyperlink r:id="rId194">
        <w:r>
          <w:rPr>
            <w:rStyle w:val="Hyperlink"/>
          </w:rPr>
          <w:t xml:space="preserve">https://docs.ogc.org/is/19-086r5/19-086r5.html</w:t>
        </w:r>
      </w:hyperlink>
    </w:p>
  </w:footnote>
  <w:footnote w:id="195">
    <w:p>
      <w:pPr>
        <w:pStyle w:val="FootnoteText"/>
      </w:pPr>
      <w:r>
        <w:rPr>
          <w:rStyle w:val="FootnoteReference"/>
        </w:rPr>
        <w:footnoteRef/>
      </w:r>
      <w:r>
        <w:t xml:space="preserve"> </w:t>
      </w:r>
      <w:hyperlink r:id="rId196">
        <w:r>
          <w:rPr>
            <w:rStyle w:val="Hyperlink"/>
          </w:rPr>
          <w:t xml:space="preserve">https://schema.org</w:t>
        </w:r>
      </w:hyperlink>
    </w:p>
  </w:footnote>
  <w:footnote w:id="197">
    <w:p>
      <w:pPr>
        <w:pStyle w:val="FootnoteText"/>
      </w:pPr>
      <w:r>
        <w:rPr>
          <w:rStyle w:val="FootnoteReference"/>
        </w:rPr>
        <w:footnoteRef/>
      </w:r>
      <w:r>
        <w:t xml:space="preserve"> </w:t>
      </w:r>
      <w:hyperlink r:id="rId198">
        <w:r>
          <w:rPr>
            <w:rStyle w:val="Hyperlink"/>
          </w:rPr>
          <w:t xml:space="preserve">https://stacspec.org</w:t>
        </w:r>
      </w:hyperlink>
    </w:p>
  </w:footnote>
  <w:footnote w:id="199">
    <w:p>
      <w:pPr>
        <w:pStyle w:val="FootnoteText"/>
      </w:pPr>
      <w:r>
        <w:rPr>
          <w:rStyle w:val="FootnoteReference"/>
        </w:rPr>
        <w:footnoteRef/>
      </w:r>
      <w:r>
        <w:t xml:space="preserve"> </w:t>
      </w:r>
      <w:hyperlink r:id="rId200">
        <w:r>
          <w:rPr>
            <w:rStyle w:val="Hyperlink"/>
          </w:rPr>
          <w:t xml:space="preserve">https://docs.wis2box.wis.wmo.int</w:t>
        </w:r>
      </w:hyperlink>
    </w:p>
  </w:footnote>
  <w:footnote w:id="201">
    <w:p>
      <w:pPr>
        <w:pStyle w:val="FootnoteText"/>
      </w:pPr>
      <w:r>
        <w:rPr>
          <w:rStyle w:val="FootnoteReference"/>
        </w:rPr>
        <w:footnoteRef/>
      </w:r>
      <w:r>
        <w:t xml:space="preserve"> </w:t>
      </w:r>
      <w:hyperlink r:id="rId202">
        <w:r>
          <w:rPr>
            <w:rStyle w:val="Hyperlink"/>
          </w:rPr>
          <w:t xml:space="preserve">https://mosquitto.org</w:t>
        </w:r>
      </w:hyperlink>
    </w:p>
  </w:footnote>
  <w:footnote w:id="203">
    <w:p>
      <w:pPr>
        <w:pStyle w:val="FootnoteText"/>
      </w:pPr>
      <w:r>
        <w:rPr>
          <w:rStyle w:val="FootnoteReference"/>
        </w:rPr>
        <w:footnoteRef/>
      </w:r>
      <w:r>
        <w:t xml:space="preserve"> </w:t>
      </w:r>
      <w:hyperlink r:id="rId204">
        <w:r>
          <w:rPr>
            <w:rStyle w:val="Hyperlink"/>
          </w:rPr>
          <w:t xml:space="preserve">https://www.rabbitmq.com/mqtt.html</w:t>
        </w:r>
      </w:hyperlink>
    </w:p>
  </w:footnote>
  <w:footnote w:id="205">
    <w:p>
      <w:pPr>
        <w:pStyle w:val="FootnoteText"/>
      </w:pPr>
      <w:r>
        <w:rPr>
          <w:rStyle w:val="FootnoteReference"/>
        </w:rPr>
        <w:footnoteRef/>
      </w:r>
      <w:r>
        <w:t xml:space="preserve"> </w:t>
      </w:r>
      <w:hyperlink r:id="rId206">
        <w:r>
          <w:rPr>
            <w:rStyle w:val="Hyperlink"/>
          </w:rPr>
          <w:t xml:space="preserve">https://prometheus.io</w:t>
        </w:r>
      </w:hyperlink>
    </w:p>
  </w:footnote>
  <w:footnote w:id="207">
    <w:p>
      <w:pPr>
        <w:pStyle w:val="FootnoteText"/>
      </w:pPr>
      <w:r>
        <w:rPr>
          <w:rStyle w:val="FootnoteReference"/>
        </w:rPr>
        <w:footnoteRef/>
      </w:r>
      <w:r>
        <w:t xml:space="preserve"> </w:t>
      </w:r>
      <w:hyperlink r:id="rId208">
        <w:r>
          <w:rPr>
            <w:rStyle w:val="Hyperlink"/>
          </w:rPr>
          <w:t xml:space="preserve">https://grafana.com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801">
    <w:nsid w:val="b3cbbde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hyperlink" Id="rId192" Target="http://docs.ogc.org/DRAFTS/19-087.html" TargetMode="External" /><Relationship Type="http://schemas.openxmlformats.org/officeDocument/2006/relationships/hyperlink" Id="rId235" Target="http://www.wmo.int/pages/prog/www/WMOCodes.html" TargetMode="External" /><Relationship Type="http://schemas.openxmlformats.org/officeDocument/2006/relationships/hyperlink" Id="rId135"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7" Target="https://docs.oasis-open.org/mqtt/mqtt/v3.1.1/os/mqtt-v3.1.1-os.html" TargetMode="External" /><Relationship Type="http://schemas.openxmlformats.org/officeDocument/2006/relationships/hyperlink" Id="rId169" Target="https://docs.oasis-open.org/mqtt/mqtt/v5.0/mqtt-v5.0.html" TargetMode="External" /><Relationship Type="http://schemas.openxmlformats.org/officeDocument/2006/relationships/hyperlink" Id="rId165" Target="https://docs.ogc.org/DRAFTS/20-004.html" TargetMode="External" /><Relationship Type="http://schemas.openxmlformats.org/officeDocument/2006/relationships/hyperlink" Id="rId194" Target="https://docs.ogc.org/is/19-086r5/19-086r5.html" TargetMode="External" /><Relationship Type="http://schemas.openxmlformats.org/officeDocument/2006/relationships/hyperlink" Id="rId190" Target="https://docs.opengeospatial.org/is/17-069r4/17-069r4.html" TargetMode="External" /><Relationship Type="http://schemas.openxmlformats.org/officeDocument/2006/relationships/hyperlink" Id="rId200" Target="https://docs.wis2box.wis.wmo.int" TargetMode="External" /><Relationship Type="http://schemas.openxmlformats.org/officeDocument/2006/relationships/hyperlink" Id="rId155" Target="https://github.com/wmo-im/wis2-metric-hierarchy" TargetMode="External" /><Relationship Type="http://schemas.openxmlformats.org/officeDocument/2006/relationships/hyperlink" Id="rId151" Target="https://github.com/wmo-im/wis2-topic-hierarchy" TargetMode="External" /><Relationship Type="http://schemas.openxmlformats.org/officeDocument/2006/relationships/hyperlink" Id="rId88" Target="https://github.com/wmo-im/wis2box" TargetMode="External" /><Relationship Type="http://schemas.openxmlformats.org/officeDocument/2006/relationships/hyperlink" Id="rId124" Target="https://go-fair.org" TargetMode="External" /><Relationship Type="http://schemas.openxmlformats.org/officeDocument/2006/relationships/hyperlink" Id="rId208" Target="https://grafana.com" TargetMode="External" /><Relationship Type="http://schemas.openxmlformats.org/officeDocument/2006/relationships/hyperlink" Id="rId174" Target="https://library.wmo.int/index.php?lvl=notice_display&amp;id=20422" TargetMode="External" /><Relationship Type="http://schemas.openxmlformats.org/officeDocument/2006/relationships/hyperlink" Id="rId176" Target="https://library.wmo.int/index.php?lvl=notice_display&amp;id=21644" TargetMode="External" /><Relationship Type="http://schemas.openxmlformats.org/officeDocument/2006/relationships/hyperlink" Id="rId202" Target="https://mosquitto.org" TargetMode="External" /><Relationship Type="http://schemas.openxmlformats.org/officeDocument/2006/relationships/hyperlink" Id="rId188" Target="https://ogcapi.ogc.org" TargetMode="External" /><Relationship Type="http://schemas.openxmlformats.org/officeDocument/2006/relationships/hyperlink" Id="rId171" Target="https://openmetrics.io" TargetMode="External" /><Relationship Type="http://schemas.openxmlformats.org/officeDocument/2006/relationships/hyperlink" Id="rId206" Target="https://prometheus.io" TargetMode="External" /><Relationship Type="http://schemas.openxmlformats.org/officeDocument/2006/relationships/hyperlink" Id="rId196" Target="https://schema.org" TargetMode="External" /><Relationship Type="http://schemas.openxmlformats.org/officeDocument/2006/relationships/hyperlink" Id="rId186" Target="https://spec.openapis.org/oas/v3.1.0" TargetMode="External" /><Relationship Type="http://schemas.openxmlformats.org/officeDocument/2006/relationships/hyperlink" Id="rId198" Target="https://stacspec.org" TargetMode="External" /><Relationship Type="http://schemas.openxmlformats.org/officeDocument/2006/relationships/hyperlink" Id="rId149" Target="https://wmo-im.github.io/wcmp2" TargetMode="External" /><Relationship Type="http://schemas.openxmlformats.org/officeDocument/2006/relationships/hyperlink" Id="rId153" Target="https://wmo-im.github.io/wis2-notification-message" TargetMode="External" /><Relationship Type="http://schemas.openxmlformats.org/officeDocument/2006/relationships/hyperlink" Id="rId159" Target="https://www.ietf.org/rfc/rfc3339.txt" TargetMode="External" /><Relationship Type="http://schemas.openxmlformats.org/officeDocument/2006/relationships/hyperlink" Id="rId161" Target="https://www.ietf.org/rfc/rfc3986.txt" TargetMode="External" /><Relationship Type="http://schemas.openxmlformats.org/officeDocument/2006/relationships/hyperlink" Id="rId163" Target="https://www.ietf.org/rfc/rfc7946.txt" TargetMode="External" /><Relationship Type="http://schemas.openxmlformats.org/officeDocument/2006/relationships/hyperlink" Id="rId184" Target="https://www.ogc.org/blog-article/towards-a-cloud-native-geospatial-standards-baseline" TargetMode="External" /><Relationship Type="http://schemas.openxmlformats.org/officeDocument/2006/relationships/hyperlink" Id="rId182" Target="https://www.ogc.org/blog-article/towards-a-cloud-native-ogc" TargetMode="External" /><Relationship Type="http://schemas.openxmlformats.org/officeDocument/2006/relationships/hyperlink" Id="rId204" Target="https://www.rabbitmq.com/mqtt.html" TargetMode="External" /><Relationship Type="http://schemas.openxmlformats.org/officeDocument/2006/relationships/hyperlink" Id="rId178" Target="https://www.w3.org/TR/dwbp" TargetMode="External" /><Relationship Type="http://schemas.openxmlformats.org/officeDocument/2006/relationships/hyperlink" Id="rId180" Target="https://www.w3.org/TR/sdw-bp" TargetMode="External" /><Relationship Type="http://schemas.openxmlformats.org/officeDocument/2006/relationships/hyperlink" Id="rId157"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92" Target="http://docs.ogc.org/DRAFTS/19-087.html" TargetMode="External" /><Relationship Type="http://schemas.openxmlformats.org/officeDocument/2006/relationships/hyperlink" Id="rId235" Target="http://www.wmo.int/pages/prog/www/WMOCodes.html" TargetMode="External" /><Relationship Type="http://schemas.openxmlformats.org/officeDocument/2006/relationships/hyperlink" Id="rId135"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7" Target="https://docs.oasis-open.org/mqtt/mqtt/v3.1.1/os/mqtt-v3.1.1-os.html" TargetMode="External" /><Relationship Type="http://schemas.openxmlformats.org/officeDocument/2006/relationships/hyperlink" Id="rId169" Target="https://docs.oasis-open.org/mqtt/mqtt/v5.0/mqtt-v5.0.html" TargetMode="External" /><Relationship Type="http://schemas.openxmlformats.org/officeDocument/2006/relationships/hyperlink" Id="rId165" Target="https://docs.ogc.org/DRAFTS/20-004.html" TargetMode="External" /><Relationship Type="http://schemas.openxmlformats.org/officeDocument/2006/relationships/hyperlink" Id="rId194" Target="https://docs.ogc.org/is/19-086r5/19-086r5.html" TargetMode="External" /><Relationship Type="http://schemas.openxmlformats.org/officeDocument/2006/relationships/hyperlink" Id="rId190" Target="https://docs.opengeospatial.org/is/17-069r4/17-069r4.html" TargetMode="External" /><Relationship Type="http://schemas.openxmlformats.org/officeDocument/2006/relationships/hyperlink" Id="rId200" Target="https://docs.wis2box.wis.wmo.int" TargetMode="External" /><Relationship Type="http://schemas.openxmlformats.org/officeDocument/2006/relationships/hyperlink" Id="rId155" Target="https://github.com/wmo-im/wis2-metric-hierarchy" TargetMode="External" /><Relationship Type="http://schemas.openxmlformats.org/officeDocument/2006/relationships/hyperlink" Id="rId151" Target="https://github.com/wmo-im/wis2-topic-hierarchy" TargetMode="External" /><Relationship Type="http://schemas.openxmlformats.org/officeDocument/2006/relationships/hyperlink" Id="rId88" Target="https://github.com/wmo-im/wis2box" TargetMode="External" /><Relationship Type="http://schemas.openxmlformats.org/officeDocument/2006/relationships/hyperlink" Id="rId124" Target="https://go-fair.org" TargetMode="External" /><Relationship Type="http://schemas.openxmlformats.org/officeDocument/2006/relationships/hyperlink" Id="rId208" Target="https://grafana.com" TargetMode="External" /><Relationship Type="http://schemas.openxmlformats.org/officeDocument/2006/relationships/hyperlink" Id="rId174" Target="https://library.wmo.int/index.php?lvl=notice_display&amp;id=20422" TargetMode="External" /><Relationship Type="http://schemas.openxmlformats.org/officeDocument/2006/relationships/hyperlink" Id="rId176" Target="https://library.wmo.int/index.php?lvl=notice_display&amp;id=21644" TargetMode="External" /><Relationship Type="http://schemas.openxmlformats.org/officeDocument/2006/relationships/hyperlink" Id="rId202" Target="https://mosquitto.org" TargetMode="External" /><Relationship Type="http://schemas.openxmlformats.org/officeDocument/2006/relationships/hyperlink" Id="rId188" Target="https://ogcapi.ogc.org" TargetMode="External" /><Relationship Type="http://schemas.openxmlformats.org/officeDocument/2006/relationships/hyperlink" Id="rId171" Target="https://openmetrics.io" TargetMode="External" /><Relationship Type="http://schemas.openxmlformats.org/officeDocument/2006/relationships/hyperlink" Id="rId206" Target="https://prometheus.io" TargetMode="External" /><Relationship Type="http://schemas.openxmlformats.org/officeDocument/2006/relationships/hyperlink" Id="rId196" Target="https://schema.org" TargetMode="External" /><Relationship Type="http://schemas.openxmlformats.org/officeDocument/2006/relationships/hyperlink" Id="rId186" Target="https://spec.openapis.org/oas/v3.1.0" TargetMode="External" /><Relationship Type="http://schemas.openxmlformats.org/officeDocument/2006/relationships/hyperlink" Id="rId198" Target="https://stacspec.org" TargetMode="External" /><Relationship Type="http://schemas.openxmlformats.org/officeDocument/2006/relationships/hyperlink" Id="rId149" Target="https://wmo-im.github.io/wcmp2" TargetMode="External" /><Relationship Type="http://schemas.openxmlformats.org/officeDocument/2006/relationships/hyperlink" Id="rId153" Target="https://wmo-im.github.io/wis2-notification-message" TargetMode="External" /><Relationship Type="http://schemas.openxmlformats.org/officeDocument/2006/relationships/hyperlink" Id="rId159" Target="https://www.ietf.org/rfc/rfc3339.txt" TargetMode="External" /><Relationship Type="http://schemas.openxmlformats.org/officeDocument/2006/relationships/hyperlink" Id="rId161" Target="https://www.ietf.org/rfc/rfc3986.txt" TargetMode="External" /><Relationship Type="http://schemas.openxmlformats.org/officeDocument/2006/relationships/hyperlink" Id="rId163" Target="https://www.ietf.org/rfc/rfc7946.txt" TargetMode="External" /><Relationship Type="http://schemas.openxmlformats.org/officeDocument/2006/relationships/hyperlink" Id="rId184" Target="https://www.ogc.org/blog-article/towards-a-cloud-native-geospatial-standards-baseline" TargetMode="External" /><Relationship Type="http://schemas.openxmlformats.org/officeDocument/2006/relationships/hyperlink" Id="rId182" Target="https://www.ogc.org/blog-article/towards-a-cloud-native-ogc" TargetMode="External" /><Relationship Type="http://schemas.openxmlformats.org/officeDocument/2006/relationships/hyperlink" Id="rId204" Target="https://www.rabbitmq.com/mqtt.html" TargetMode="External" /><Relationship Type="http://schemas.openxmlformats.org/officeDocument/2006/relationships/hyperlink" Id="rId178" Target="https://www.w3.org/TR/dwbp" TargetMode="External" /><Relationship Type="http://schemas.openxmlformats.org/officeDocument/2006/relationships/hyperlink" Id="rId180" Target="https://www.w3.org/TR/sdw-bp" TargetMode="External" /><Relationship Type="http://schemas.openxmlformats.org/officeDocument/2006/relationships/hyperlink" Id="rId157"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2023-09-26T15:37:31Z</dcterms:created>
  <dcterms:modified xsi:type="dcterms:W3CDTF">2023-09-26T15:37:31Z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ies>
</file>