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5D1B1F70"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благоговение;</w:t>
      </w:r>
      <w:r w:rsidR="00060AF2">
        <w:rPr>
          <w:rFonts w:ascii="Times New Roman" w:eastAsia="Calibri" w:hAnsi="Times New Roman" w:cs="Times New Roman"/>
          <w:sz w:val="28"/>
          <w:szCs w:val="28"/>
        </w:rPr>
        <w:t xml:space="preserve"> </w:t>
      </w:r>
      <w:r>
        <w:rPr>
          <w:rFonts w:ascii="Times New Roman" w:eastAsia="Calibri" w:hAnsi="Times New Roman" w:cs="Times New Roman"/>
          <w:sz w:val="28"/>
          <w:szCs w:val="28"/>
        </w:rPr>
        <w:t>4) страх и трепет.</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Покаяние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6D4953BF" w:rsidR="009006B7" w:rsidRPr="00892D7B"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покаяние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r w:rsidR="00892D7B" w:rsidRPr="00892D7B">
        <w:rPr>
          <w:rFonts w:ascii="Times New Roman" w:eastAsia="Calibri" w:hAnsi="Times New Roman" w:cs="Times New Roman"/>
          <w:sz w:val="28"/>
          <w:szCs w:val="28"/>
        </w:rPr>
        <w:t xml:space="preserve"> </w:t>
      </w:r>
      <w:r w:rsidR="00892D7B">
        <w:rPr>
          <w:rFonts w:ascii="Times New Roman" w:eastAsia="Calibri" w:hAnsi="Times New Roman" w:cs="Times New Roman"/>
          <w:sz w:val="28"/>
          <w:szCs w:val="28"/>
        </w:rPr>
        <w:t xml:space="preserve">СТРАНИЦА 38 </w:t>
      </w:r>
      <w:r w:rsidR="00892D7B">
        <w:rPr>
          <w:rFonts w:ascii="Times New Roman" w:eastAsia="Calibri" w:hAnsi="Times New Roman" w:cs="Times New Roman"/>
          <w:sz w:val="28"/>
          <w:szCs w:val="28"/>
          <w:lang w:val="en-US"/>
        </w:rPr>
        <w:t>~</w:t>
      </w:r>
      <w:r w:rsidR="00892D7B">
        <w:rPr>
          <w:rFonts w:ascii="Times New Roman" w:eastAsia="Calibri" w:hAnsi="Times New Roman" w:cs="Times New Roman"/>
          <w:sz w:val="28"/>
          <w:szCs w:val="28"/>
        </w:rPr>
        <w:t xml:space="preserve"> САМОЕ НАЧАЛО.</w:t>
      </w:r>
    </w:p>
    <w:p w14:paraId="65F9FC85" w14:textId="425976FF" w:rsidR="002621FF" w:rsidRDefault="002621FF" w:rsidP="00FB2298">
      <w:pPr>
        <w:spacing w:after="0" w:line="360" w:lineRule="auto"/>
        <w:jc w:val="both"/>
        <w:rPr>
          <w:rFonts w:ascii="Times New Roman" w:eastAsia="Calibri" w:hAnsi="Times New Roman" w:cs="Times New Roman"/>
          <w:i/>
          <w:iCs/>
          <w:sz w:val="28"/>
          <w:szCs w:val="28"/>
        </w:rPr>
      </w:pPr>
    </w:p>
    <w:p w14:paraId="7D36F810" w14:textId="40D77F70" w:rsidR="002621FF" w:rsidRDefault="002621FF" w:rsidP="00FB2298">
      <w:pPr>
        <w:spacing w:after="0" w:line="360" w:lineRule="auto"/>
        <w:jc w:val="both"/>
        <w:rPr>
          <w:rFonts w:ascii="Times New Roman" w:eastAsia="Calibri" w:hAnsi="Times New Roman" w:cs="Times New Roman"/>
          <w:i/>
          <w:iCs/>
          <w:sz w:val="28"/>
          <w:szCs w:val="28"/>
        </w:rPr>
      </w:pPr>
    </w:p>
    <w:p w14:paraId="1F4B0DAE" w14:textId="44900DB2"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371BD4A8" w14:textId="704097ED" w:rsidR="00567F4A" w:rsidRPr="00567F4A"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После умно-деятельной молитвы, как было написано ранее, молящийся достигает новой степени — умное-сердечной деятельной молитвы. Этот тип молитвы отличается от предыдущих тем, что здесь телесное и духовное естества человека начинают сближаться в молитвенном опыте: словами молитвы сопровождаются не только вниманием, но внутренними чувствами и некоторыми начатками таинственных молитвенных движений.</w:t>
      </w:r>
    </w:p>
    <w:p w14:paraId="79114F1D" w14:textId="20D4AC33"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19DEDAF9" w14:textId="15835003" w:rsidR="00DF7988" w:rsidRDefault="00DF7988"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5D61CF6C"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Эту молитвенную ступень христианин может обрести только в случае значительного очищения сердца и всего внутреннего человека от страстей и греховных склонностей. В данной работе эта ступень объединяет в себе два вида молитвы: умно-сердечную самодвижную (которая движется сама по себе, водимая Святым Духом) и умно-сердечную чистую (которая является полностью непарительной).</w:t>
      </w:r>
    </w:p>
    <w:p w14:paraId="430A886A" w14:textId="2897B450" w:rsidR="00DF7988" w:rsidRPr="00DF7988"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Эти молитвы отличаются от всех предыдущих тем, что их главным аспектом является практически полное преобладание духовного и Божественного над телесным.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Эта молитва совершается в любом месте, в любое время, и при </w:t>
      </w:r>
      <w:r>
        <w:rPr>
          <w:rFonts w:ascii="Times New Roman" w:eastAsia="Calibri" w:hAnsi="Times New Roman" w:cs="Times New Roman"/>
          <w:sz w:val="28"/>
          <w:szCs w:val="28"/>
        </w:rPr>
        <w:lastRenderedPageBreak/>
        <w:t>любых условиях обстоятельствах: ее ничто не может прекратить. Именно эта молитва является матерью и завершением всех добродетелей: она доводит человека до духовного совершенства и приводит к соединению христианской души с Богом в единый дух. В этом единении христианин может (не всегда) обрести высший дар — зрительную молитву</w:t>
      </w:r>
      <w:r w:rsidR="0015504D">
        <w:rPr>
          <w:rFonts w:ascii="Times New Roman" w:eastAsia="Calibri" w:hAnsi="Times New Roman" w:cs="Times New Roman"/>
          <w:sz w:val="28"/>
          <w:szCs w:val="28"/>
        </w:rPr>
        <w:t xml:space="preserve"> и как-бы начать смотреть на мир глазами Бога.</w:t>
      </w:r>
    </w:p>
    <w:p w14:paraId="69A1367D" w14:textId="77777777" w:rsidR="00DF7988" w:rsidRPr="00567F4A" w:rsidRDefault="00DF7988" w:rsidP="00FB2298">
      <w:pPr>
        <w:spacing w:after="0" w:line="360" w:lineRule="auto"/>
        <w:jc w:val="both"/>
        <w:rPr>
          <w:rFonts w:ascii="Times New Roman" w:eastAsia="Calibri" w:hAnsi="Times New Roman" w:cs="Times New Roman"/>
          <w:sz w:val="28"/>
          <w:szCs w:val="28"/>
        </w:rPr>
      </w:pPr>
    </w:p>
    <w:sectPr w:rsidR="00DF7988" w:rsidRPr="00567F4A"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80BA7" w14:textId="77777777" w:rsidR="008A6B19" w:rsidRDefault="008A6B19" w:rsidP="00795FD8">
      <w:pPr>
        <w:spacing w:after="0" w:line="240" w:lineRule="auto"/>
      </w:pPr>
      <w:r>
        <w:separator/>
      </w:r>
    </w:p>
  </w:endnote>
  <w:endnote w:type="continuationSeparator" w:id="0">
    <w:p w14:paraId="6534E94D" w14:textId="77777777" w:rsidR="008A6B19" w:rsidRDefault="008A6B19"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DB36C" w14:textId="77777777" w:rsidR="008A6B19" w:rsidRDefault="008A6B19" w:rsidP="00795FD8">
      <w:pPr>
        <w:spacing w:after="0" w:line="240" w:lineRule="auto"/>
      </w:pPr>
      <w:r>
        <w:separator/>
      </w:r>
    </w:p>
  </w:footnote>
  <w:footnote w:type="continuationSeparator" w:id="0">
    <w:p w14:paraId="6B445355" w14:textId="77777777" w:rsidR="008A6B19" w:rsidRDefault="008A6B19"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60AF2"/>
    <w:rsid w:val="00084115"/>
    <w:rsid w:val="00084144"/>
    <w:rsid w:val="000A1B52"/>
    <w:rsid w:val="000A5413"/>
    <w:rsid w:val="000D22B4"/>
    <w:rsid w:val="000F40ED"/>
    <w:rsid w:val="00105039"/>
    <w:rsid w:val="001121FA"/>
    <w:rsid w:val="001140B7"/>
    <w:rsid w:val="001402EE"/>
    <w:rsid w:val="00151501"/>
    <w:rsid w:val="0015504D"/>
    <w:rsid w:val="00177179"/>
    <w:rsid w:val="001C0DD1"/>
    <w:rsid w:val="001D0141"/>
    <w:rsid w:val="001E30BE"/>
    <w:rsid w:val="00223A0A"/>
    <w:rsid w:val="0022495C"/>
    <w:rsid w:val="00250537"/>
    <w:rsid w:val="002621FF"/>
    <w:rsid w:val="002C6C77"/>
    <w:rsid w:val="002E09C8"/>
    <w:rsid w:val="002F2470"/>
    <w:rsid w:val="00312577"/>
    <w:rsid w:val="00316AA5"/>
    <w:rsid w:val="00331D4C"/>
    <w:rsid w:val="00360D5E"/>
    <w:rsid w:val="00360D8E"/>
    <w:rsid w:val="003D018D"/>
    <w:rsid w:val="00430FD8"/>
    <w:rsid w:val="004339A2"/>
    <w:rsid w:val="00435387"/>
    <w:rsid w:val="00443056"/>
    <w:rsid w:val="00456BF7"/>
    <w:rsid w:val="00477670"/>
    <w:rsid w:val="004A2D12"/>
    <w:rsid w:val="004F6111"/>
    <w:rsid w:val="00500F45"/>
    <w:rsid w:val="0051656F"/>
    <w:rsid w:val="00517F79"/>
    <w:rsid w:val="00522C9C"/>
    <w:rsid w:val="00531104"/>
    <w:rsid w:val="0053641B"/>
    <w:rsid w:val="00540827"/>
    <w:rsid w:val="0055170D"/>
    <w:rsid w:val="005658DF"/>
    <w:rsid w:val="00567F4A"/>
    <w:rsid w:val="00571C02"/>
    <w:rsid w:val="0057262B"/>
    <w:rsid w:val="00585F75"/>
    <w:rsid w:val="00601265"/>
    <w:rsid w:val="0064396E"/>
    <w:rsid w:val="006454A3"/>
    <w:rsid w:val="00685C20"/>
    <w:rsid w:val="006D7363"/>
    <w:rsid w:val="00706F0D"/>
    <w:rsid w:val="0073440C"/>
    <w:rsid w:val="00795FD8"/>
    <w:rsid w:val="007A2BAC"/>
    <w:rsid w:val="007B5038"/>
    <w:rsid w:val="007E6CE2"/>
    <w:rsid w:val="00800B76"/>
    <w:rsid w:val="00804574"/>
    <w:rsid w:val="008061CD"/>
    <w:rsid w:val="0083035C"/>
    <w:rsid w:val="00835F1A"/>
    <w:rsid w:val="00862D09"/>
    <w:rsid w:val="00877F40"/>
    <w:rsid w:val="00892D7B"/>
    <w:rsid w:val="008A6310"/>
    <w:rsid w:val="008A6B19"/>
    <w:rsid w:val="008F062F"/>
    <w:rsid w:val="009006B7"/>
    <w:rsid w:val="0092257B"/>
    <w:rsid w:val="00922EBD"/>
    <w:rsid w:val="00953E83"/>
    <w:rsid w:val="009651C7"/>
    <w:rsid w:val="009764E5"/>
    <w:rsid w:val="00986B3E"/>
    <w:rsid w:val="009B1A9A"/>
    <w:rsid w:val="009C2324"/>
    <w:rsid w:val="009D118D"/>
    <w:rsid w:val="009D39D6"/>
    <w:rsid w:val="009E46C6"/>
    <w:rsid w:val="00A564B9"/>
    <w:rsid w:val="00A77BAD"/>
    <w:rsid w:val="00A845C7"/>
    <w:rsid w:val="00A849F9"/>
    <w:rsid w:val="00AE0DD1"/>
    <w:rsid w:val="00AE4ADC"/>
    <w:rsid w:val="00B119B9"/>
    <w:rsid w:val="00B2012A"/>
    <w:rsid w:val="00B35B98"/>
    <w:rsid w:val="00B72AC3"/>
    <w:rsid w:val="00BD6C78"/>
    <w:rsid w:val="00BE2A80"/>
    <w:rsid w:val="00C03D0B"/>
    <w:rsid w:val="00C12D08"/>
    <w:rsid w:val="00C73240"/>
    <w:rsid w:val="00C7360F"/>
    <w:rsid w:val="00D12C9D"/>
    <w:rsid w:val="00DA3AF8"/>
    <w:rsid w:val="00DA5C07"/>
    <w:rsid w:val="00DC3CD5"/>
    <w:rsid w:val="00DC7E4C"/>
    <w:rsid w:val="00DE29BD"/>
    <w:rsid w:val="00DF7988"/>
    <w:rsid w:val="00E07264"/>
    <w:rsid w:val="00E13269"/>
    <w:rsid w:val="00E443E1"/>
    <w:rsid w:val="00E61DFC"/>
    <w:rsid w:val="00E84BBD"/>
    <w:rsid w:val="00EA4F4F"/>
    <w:rsid w:val="00EC6A76"/>
    <w:rsid w:val="00EE7F29"/>
    <w:rsid w:val="00F16D02"/>
    <w:rsid w:val="00F572A2"/>
    <w:rsid w:val="00F6490C"/>
    <w:rsid w:val="00F66595"/>
    <w:rsid w:val="00FA0A9B"/>
    <w:rsid w:val="00FA302E"/>
    <w:rsid w:val="00FB2298"/>
    <w:rsid w:val="00FC011E"/>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24</Pages>
  <Words>6333</Words>
  <Characters>36102</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59</cp:revision>
  <dcterms:created xsi:type="dcterms:W3CDTF">2023-01-30T14:35:00Z</dcterms:created>
  <dcterms:modified xsi:type="dcterms:W3CDTF">2023-09-12T15:08:00Z</dcterms:modified>
</cp:coreProperties>
</file>