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0.png" ContentType="image/png"/>
  <Override PartName="/word/media/rId29.png" ContentType="image/png"/>
  <Override PartName="/word/media/rId32.png" ContentType="image/png"/>
  <Override PartName="/word/media/rId41.png" ContentType="image/png"/>
  <Override PartName="/word/media/rId42.png" ContentType="image/png"/>
  <Override PartName="/word/media/rId38.png" ContentType="image/png"/>
  <Override PartName="/word/media/rId39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Paper’s</w:t>
      </w:r>
      <w:r>
        <w:t xml:space="preserve"> </w:t>
      </w:r>
      <w:r>
        <w:t xml:space="preserve">figure:</w:t>
      </w:r>
      <w:r>
        <w:t xml:space="preserve"> </w:t>
      </w:r>
      <w:r>
        <w:t xml:space="preserve">A</w:t>
      </w:r>
      <w:r>
        <w:t xml:space="preserve"> </w:t>
      </w:r>
      <w:r>
        <w:t xml:space="preserve">dynamic</w:t>
      </w:r>
      <w:r>
        <w:t xml:space="preserve"> </w:t>
      </w:r>
      <w:r>
        <w:t xml:space="preserve">fleet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U.S</w:t>
      </w:r>
      <w:r>
        <w:t xml:space="preserve"> </w:t>
      </w:r>
      <w:r>
        <w:t xml:space="preserve">light-duty</w:t>
      </w:r>
      <w:r>
        <w:t xml:space="preserve"> </w:t>
      </w:r>
      <w:r>
        <w:t xml:space="preserve">vehicle</w:t>
      </w:r>
      <w:r>
        <w:t xml:space="preserve"> </w:t>
      </w:r>
      <w:r>
        <w:t xml:space="preserve">lightweighting</w:t>
      </w:r>
      <w:r>
        <w:t xml:space="preserve"> </w:t>
      </w:r>
      <w:r>
        <w:t xml:space="preserve">and</w:t>
      </w:r>
      <w:r>
        <w:t xml:space="preserve"> </w:t>
      </w:r>
      <w:r>
        <w:t xml:space="preserve">associated</w:t>
      </w:r>
      <w:r>
        <w:t xml:space="preserve"> </w:t>
      </w:r>
      <w:r>
        <w:t xml:space="preserve">greenhouse</w:t>
      </w:r>
      <w:r>
        <w:t xml:space="preserve"> </w:t>
      </w:r>
      <w:r>
        <w:t xml:space="preserve">gas</w:t>
      </w:r>
      <w:r>
        <w:t xml:space="preserve"> </w:t>
      </w:r>
      <w:r>
        <w:t xml:space="preserve">emissions</w:t>
      </w:r>
      <w:r>
        <w:t xml:space="preserve"> </w:t>
      </w:r>
      <w:r>
        <w:t xml:space="preserve">from</w:t>
      </w:r>
      <w:r>
        <w:t xml:space="preserve"> </w:t>
      </w:r>
      <w:r>
        <w:t xml:space="preserve">2016-2050</w:t>
      </w:r>
    </w:p>
    <w:p>
      <w:pPr>
        <w:pStyle w:val="FirstParagraph"/>
      </w:pPr>
      <w:r>
        <w:rPr>
          <w:i/>
        </w:rPr>
        <w:t xml:space="preserve">Alexandre Milovanoff</w:t>
      </w:r>
      <w:r>
        <w:rPr>
          <w:vertAlign w:val="superscript"/>
          <w:i/>
        </w:rPr>
        <w:t xml:space="preserve">a</w:t>
      </w:r>
      <w:r>
        <w:rPr>
          <w:i/>
        </w:rPr>
        <w:t xml:space="preserve">, Hyung Chul Kim</w:t>
      </w:r>
      <w:r>
        <w:rPr>
          <w:vertAlign w:val="superscript"/>
          <w:i/>
        </w:rPr>
        <w:t xml:space="preserve">b</w:t>
      </w:r>
      <w:r>
        <w:rPr>
          <w:i/>
        </w:rPr>
        <w:t xml:space="preserve">, Robert De Kleine</w:t>
      </w:r>
      <w:r>
        <w:rPr>
          <w:vertAlign w:val="superscript"/>
          <w:i/>
        </w:rPr>
        <w:t xml:space="preserve">b</w:t>
      </w:r>
      <w:r>
        <w:rPr>
          <w:i/>
        </w:rPr>
        <w:t xml:space="preserve">, Timothy J. Wallington</w:t>
      </w:r>
      <w:r>
        <w:rPr>
          <w:vertAlign w:val="superscript"/>
          <w:i/>
        </w:rPr>
        <w:t xml:space="preserve">b</w:t>
      </w:r>
      <w:r>
        <w:rPr>
          <w:i/>
        </w:rPr>
        <w:t xml:space="preserve">, I. Daniel Posen</w:t>
      </w:r>
      <w:r>
        <w:rPr>
          <w:vertAlign w:val="superscript"/>
          <w:i/>
        </w:rPr>
        <w:t xml:space="preserve">a</w:t>
      </w:r>
      <w:r>
        <w:rPr>
          <w:i/>
        </w:rPr>
        <w:t xml:space="preserve">, Heather L. MacLean</w:t>
      </w:r>
      <w:r>
        <w:rPr>
          <w:vertAlign w:val="superscript"/>
          <w:i/>
        </w:rPr>
        <w:t xml:space="preserve">a,c</w:t>
      </w:r>
      <w:r>
        <w:br w:type="textWrapping"/>
      </w:r>
      <w:r>
        <w:rPr>
          <w:vertAlign w:val="superscript"/>
          <w:i/>
        </w:rPr>
        <w:t xml:space="preserve">a</w:t>
      </w:r>
      <w:r>
        <w:rPr>
          <w:i/>
        </w:rPr>
        <w:t xml:space="preserve">: Department of Civil &amp; Mineral Engineering, University of Toronto, 35 St. George Street, Toronto, Ontario, M5S 1A4 Canada</w:t>
      </w:r>
      <w:r>
        <w:br w:type="textWrapping"/>
      </w:r>
      <w:r>
        <w:rPr>
          <w:vertAlign w:val="superscript"/>
          <w:i/>
        </w:rPr>
        <w:t xml:space="preserve">b</w:t>
      </w:r>
      <w:r>
        <w:rPr>
          <w:i/>
        </w:rPr>
        <w:t xml:space="preserve">: Materials &amp; Manufacturing R&amp;A Department, Ford Motor Company, Dearborn, Michigan 48121-2053, United States</w:t>
      </w:r>
      <w:r>
        <w:br w:type="textWrapping"/>
      </w:r>
      <w:r>
        <w:rPr>
          <w:vertAlign w:val="superscript"/>
          <w:i/>
        </w:rPr>
        <w:t xml:space="preserve">c</w:t>
      </w:r>
      <w:r>
        <w:rPr>
          <w:i/>
        </w:rPr>
        <w:t xml:space="preserve">: Department of Chemical Engineering &amp; Applied Chemistry, University of Toronto, 200 College Street, Toronto, Ontario, M5S 3E5 Canada</w:t>
      </w:r>
      <w:r>
        <w:br w:type="textWrapping"/>
      </w:r>
      <w:r>
        <w:rPr>
          <w:i/>
        </w:rPr>
        <w:t xml:space="preserve">Corresponding Author: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alexandre.milovanoff@mail.utoronto.ca</w:t>
        </w:r>
      </w:hyperlink>
    </w:p>
    <w:p>
      <w:pPr>
        <w:pStyle w:val="Heading1"/>
      </w:pPr>
      <w:bookmarkStart w:id="22" w:name="toc"/>
      <w:bookmarkEnd w:id="22"/>
      <w:r>
        <w:t xml:space="preserve">TOC</w:t>
      </w:r>
    </w:p>
    <w:p>
      <w:pPr>
        <w:pStyle w:val="FirstParagraph"/>
      </w:pPr>
      <w:r>
        <w:drawing>
          <wp:inline>
            <wp:extent cx="1009204" cy="8257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gures_files/figure-docx/toc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204" cy="82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55135" cy="17187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gures_files/figure-docx/toc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135" cy="171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paper"/>
      <w:bookmarkEnd w:id="25"/>
      <w:r>
        <w:t xml:space="preserve">Paper</w:t>
      </w:r>
    </w:p>
    <w:p>
      <w:pPr>
        <w:pStyle w:val="Heading2"/>
      </w:pPr>
      <w:bookmarkStart w:id="26" w:name="material-composition"/>
      <w:bookmarkEnd w:id="26"/>
      <w:r>
        <w:t xml:space="preserve">Material composition</w:t>
      </w:r>
    </w:p>
    <w:p>
      <w:pPr>
        <w:pStyle w:val="TableCaption"/>
      </w:pPr>
      <w:r>
        <w:t xml:space="preserve">ICEV-G Car</w:t>
      </w:r>
    </w:p>
    <w:tbl>
      <w:tblPr>
        <w:tblStyle w:val="TableNormal"/>
        <w:tblW w:type="pct" w:w="0.0"/>
        <w:tblLook w:firstRow="1"/>
        <w:tblCaption w:val="ICEV-G Ca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Steel Intensive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Aluminum Intensive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Aluminum Maximum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BAU 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 Aluminum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 Iron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HSS/AHSS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Mild steel and other steels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p>
            <w:pPr>
              <w:pStyle w:val="Compact"/>
              <w:jc w:val="right"/>
            </w:pPr>
            <w:r>
              <w:t xml:space="preserve">602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504</w:t>
            </w:r>
          </w:p>
        </w:tc>
        <w:tc>
          <w:p>
            <w:pPr>
              <w:pStyle w:val="Compact"/>
              <w:jc w:val="right"/>
            </w:pPr>
            <w:r>
              <w:t xml:space="preserve">493</w:t>
            </w:r>
          </w:p>
        </w:tc>
        <w:tc>
          <w:p>
            <w:pPr>
              <w:pStyle w:val="Compact"/>
              <w:jc w:val="right"/>
            </w:pPr>
            <w:r>
              <w:t xml:space="preserve">484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Wrought Aluminum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1606</w:t>
            </w:r>
          </w:p>
        </w:tc>
        <w:tc>
          <w:p>
            <w:pPr>
              <w:pStyle w:val="Compact"/>
              <w:jc w:val="right"/>
            </w:pPr>
            <w:r>
              <w:t xml:space="preserve">1498</w:t>
            </w:r>
          </w:p>
        </w:tc>
        <w:tc>
          <w:p>
            <w:pPr>
              <w:pStyle w:val="Compact"/>
              <w:jc w:val="right"/>
            </w:pPr>
            <w:r>
              <w:t xml:space="preserve">1376</w:t>
            </w:r>
          </w:p>
        </w:tc>
        <w:tc>
          <w:p>
            <w:pPr>
              <w:pStyle w:val="Compact"/>
              <w:jc w:val="right"/>
            </w:pPr>
            <w:r>
              <w:t xml:space="preserve">1698</w:t>
            </w:r>
          </w:p>
        </w:tc>
        <w:tc>
          <w:p>
            <w:pPr>
              <w:pStyle w:val="Compact"/>
              <w:jc w:val="right"/>
            </w:pPr>
            <w:r>
              <w:t xml:space="preserve">1617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 savings (kg)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 savings (%)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27" w:name="fleet-ghgs-emissions"/>
      <w:bookmarkEnd w:id="27"/>
      <w:r>
        <w:t xml:space="preserve">Fleet GHGs emissions</w:t>
      </w:r>
    </w:p>
    <w:p>
      <w:pPr>
        <w:pStyle w:val="Heading3"/>
      </w:pPr>
      <w:bookmarkStart w:id="28" w:name="panel-a"/>
      <w:bookmarkEnd w:id="28"/>
      <w:r>
        <w:t xml:space="preserve">Panel (a)</w:t>
      </w:r>
    </w:p>
    <w:p>
      <w:pPr>
        <w:pStyle w:val="FirstParagraph"/>
      </w:pPr>
      <w:r>
        <w:drawing>
          <wp:inline>
            <wp:extent cx="3211103" cy="32111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gures_files/figure-docx/fig_fleet_ghg_l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03" cy="321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###Panel (b)</w:t>
      </w:r>
    </w:p>
    <w:p>
      <w:pPr>
        <w:pStyle w:val="BodyText"/>
      </w:pPr>
      <w:r>
        <w:drawing>
          <wp:inline>
            <wp:extent cx="3211103" cy="32111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gures_files/figure-docx/fig_2_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03" cy="321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panel-c"/>
      <w:bookmarkEnd w:id="31"/>
      <w:r>
        <w:t xml:space="preserve">Panel (c)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gures_files/figure-docx/fig_fleet_ghg_lw_ph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</w:t>
      </w:r>
    </w:p>
    <w:p>
      <w:pPr>
        <w:pStyle w:val="Heading2"/>
      </w:pPr>
      <w:bookmarkStart w:id="33" w:name="impact-of-external-factors-on-ghg-emissions-changes-due-to-lightweighting"/>
      <w:bookmarkEnd w:id="33"/>
      <w:r>
        <w:t xml:space="preserve">Impact of External factors on GHG emissions changes due to lightweighting</w:t>
      </w:r>
    </w:p>
    <w:p>
      <w:pPr>
        <w:pStyle w:val="Heading3"/>
      </w:pPr>
      <w:bookmarkStart w:id="34" w:name="panel-a-1"/>
      <w:bookmarkEnd w:id="34"/>
      <w:r>
        <w:t xml:space="preserve">Panel (a)</w:t>
      </w:r>
    </w:p>
    <w:p>
      <w:pPr>
        <w:pStyle w:val="SourceCode"/>
      </w:pPr>
      <w:r>
        <w:rPr>
          <w:rStyle w:val="VerbatimChar"/>
        </w:rPr>
        <w:t xml:space="preserve">## [1] "Fuel consumption improvements"          </w:t>
      </w:r>
      <w:r>
        <w:br w:type="textWrapping"/>
      </w:r>
      <w:r>
        <w:rPr>
          <w:rStyle w:val="VerbatimChar"/>
        </w:rPr>
        <w:t xml:space="preserve">## [2] "Alternative powertrain/fuel penetration"</w:t>
      </w:r>
      <w:r>
        <w:br w:type="textWrapping"/>
      </w:r>
      <w:r>
        <w:rPr>
          <w:rStyle w:val="VerbatimChar"/>
        </w:rPr>
        <w:t xml:space="preserve">## [3] "Oil prices"                             </w:t>
      </w:r>
      <w:r>
        <w:br w:type="textWrapping"/>
      </w:r>
      <w:r>
        <w:rPr>
          <w:rStyle w:val="VerbatimChar"/>
        </w:rPr>
        <w:t xml:space="preserve">## [4] "Automotive material recovery"</w:t>
      </w:r>
    </w:p>
    <w:p>
      <w:pPr>
        <w:pStyle w:val="Heading3"/>
      </w:pPr>
      <w:bookmarkStart w:id="35" w:name="panels-b-and-c"/>
      <w:bookmarkEnd w:id="35"/>
      <w:r>
        <w:t xml:space="preserve">Panels (b) and (c)</w:t>
      </w:r>
    </w:p>
    <w:p>
      <w:pPr>
        <w:pStyle w:val="Heading2"/>
      </w:pPr>
      <w:bookmarkStart w:id="36" w:name="timing-and-pace-in-ligthweighting"/>
      <w:bookmarkEnd w:id="36"/>
      <w:r>
        <w:t xml:space="preserve">Timing and pace in ligthweighting</w:t>
      </w:r>
    </w:p>
    <w:p>
      <w:pPr>
        <w:pStyle w:val="Heading3"/>
      </w:pPr>
      <w:bookmarkStart w:id="37" w:name="panel-a---absolute-for-entire-period"/>
      <w:bookmarkEnd w:id="37"/>
      <w:r>
        <w:t xml:space="preserve">Panel (a) - Absolute for entire period</w:t>
      </w:r>
    </w:p>
    <w:p>
      <w:pPr>
        <w:pStyle w:val="FirstParagraph"/>
      </w:pPr>
      <w:r>
        <w:drawing>
          <wp:inline>
            <wp:extent cx="3669832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gures_files/figure-docx/lw_timing_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69832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gures_files/figure-docx/lw_timing_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per-vkt"/>
      <w:bookmarkEnd w:id="40"/>
      <w:r>
        <w:t xml:space="preserve">Per VKT</w:t>
      </w:r>
    </w:p>
    <w:p>
      <w:pPr>
        <w:pStyle w:val="FirstParagraph"/>
      </w:pPr>
      <w:r>
        <w:drawing>
          <wp:inline>
            <wp:extent cx="3669832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gures_files/figure-docx/lw_timing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69832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gures_files/figure-docx/lw_timing_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discussion"/>
      <w:bookmarkEnd w:id="43"/>
      <w:r>
        <w:t xml:space="preserve">Discussion</w:t>
      </w:r>
    </w:p>
    <w:p>
      <w:pPr>
        <w:pStyle w:val="Heading2"/>
      </w:pPr>
      <w:bookmarkStart w:id="44" w:name="section"/>
      <w:bookmarkEnd w:id="44"/>
      <w:r>
        <w:t xml:space="preserve">4.1</w:t>
      </w:r>
    </w:p>
    <w:p>
      <w:pPr>
        <w:pStyle w:val="Heading2"/>
      </w:pPr>
      <w:bookmarkStart w:id="45" w:name="section-1"/>
      <w:bookmarkEnd w:id="45"/>
      <w:r>
        <w:t xml:space="preserve">4.2</w:t>
      </w:r>
    </w:p>
    <w:sectPr w:rsidR="008D5D49" w:rsidRPr="00AF7D91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6550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4DE2" w:rsidRDefault="00D54D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54DE2" w:rsidRDefault="00D54DE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BC7F7E"/>
    <w:multiLevelType w:val="multilevel"/>
    <w:tmpl w:val="6B2846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032BC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1782D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AA84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F60A84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9E87D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1D0CAF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891A38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3CC4E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EAA8C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CB47C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9228E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4F71FC6"/>
    <w:multiLevelType w:val="hybridMultilevel"/>
    <w:tmpl w:val="6A469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cbe0b3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8F8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858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24B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62626" w:themeColor="text1" w:themeTint="D9"/>
      <w:sz w:val="4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524B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3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524B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595959" w:themeColor="text1" w:themeTint="A6"/>
      <w:sz w:val="32"/>
    </w:rPr>
  </w:style>
  <w:style w:type="paragraph" w:styleId="Heading5">
    <w:name w:val="heading 5"/>
    <w:basedOn w:val="Normal"/>
    <w:next w:val="BodyText"/>
    <w:uiPriority w:val="9"/>
    <w:unhideWhenUsed/>
    <w:qFormat/>
    <w:rsid w:val="00A524B4"/>
    <w:pPr>
      <w:keepNext/>
      <w:keepLines/>
      <w:spacing w:before="200" w:after="0"/>
      <w:outlineLvl w:val="4"/>
    </w:pPr>
    <w:rPr>
      <w:rFonts w:eastAsiaTheme="majorEastAsia" w:cstheme="majorBidi"/>
      <w:iCs/>
      <w:color w:val="7F7F7F" w:themeColor="text1" w:themeTint="80"/>
      <w:sz w:val="28"/>
    </w:rPr>
  </w:style>
  <w:style w:type="paragraph" w:styleId="Heading6">
    <w:name w:val="heading 6"/>
    <w:basedOn w:val="Normal"/>
    <w:next w:val="BodyText"/>
    <w:uiPriority w:val="9"/>
    <w:unhideWhenUsed/>
    <w:qFormat/>
    <w:rsid w:val="00A524B4"/>
    <w:pPr>
      <w:keepNext/>
      <w:keepLines/>
      <w:spacing w:before="200" w:after="0"/>
      <w:outlineLvl w:val="5"/>
    </w:pPr>
    <w:rPr>
      <w:rFonts w:eastAsiaTheme="majorEastAsia" w:cstheme="majorBidi"/>
      <w:b/>
      <w:i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524B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524B4"/>
  </w:style>
  <w:style w:type="paragraph" w:customStyle="1" w:styleId="Compact">
    <w:name w:val="Compact"/>
    <w:basedOn w:val="BodyText"/>
    <w:qFormat/>
    <w:rsid w:val="00A524B4"/>
    <w:pPr>
      <w:spacing w:before="120" w:after="120"/>
    </w:pPr>
  </w:style>
  <w:style w:type="paragraph" w:styleId="Title">
    <w:name w:val="Title"/>
    <w:basedOn w:val="Normal"/>
    <w:next w:val="BodyText"/>
    <w:qFormat/>
    <w:rsid w:val="00D858F8"/>
    <w:pPr>
      <w:keepNext/>
      <w:keepLines/>
      <w:spacing w:before="480" w:after="240"/>
      <w:jc w:val="center"/>
    </w:pPr>
    <w:rPr>
      <w:rFonts w:eastAsiaTheme="majorEastAsia" w:cstheme="majorBidi"/>
      <w:b/>
      <w:bCs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D858F8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054A1"/>
    <w:pPr>
      <w:spacing w:after="120"/>
    </w:pPr>
    <w:rPr>
      <w:i/>
      <w:sz w:val="22"/>
    </w:rPr>
  </w:style>
  <w:style w:type="paragraph" w:customStyle="1" w:styleId="TableCaption">
    <w:name w:val="Table Caption"/>
    <w:basedOn w:val="Caption"/>
    <w:rsid w:val="007054A1"/>
    <w:pPr>
      <w:keepNext/>
    </w:pPr>
  </w:style>
  <w:style w:type="paragraph" w:customStyle="1" w:styleId="ImageCaption">
    <w:name w:val="Image Caption"/>
    <w:basedOn w:val="Caption"/>
    <w:rsid w:val="00672973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054A1"/>
    <w:rPr>
      <w:rFonts w:ascii="Times New Roman" w:hAnsi="Times New Roman"/>
      <w:i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/>
      <w:sz w:val="22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F07F09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15601D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524B4"/>
    <w:rPr>
      <w:rFonts w:ascii="Times New Roman" w:hAnsi="Times New Roman"/>
    </w:rPr>
  </w:style>
  <w:style w:type="table" w:styleId="TableGrid">
    <w:name w:val="Table Grid"/>
    <w:basedOn w:val="TableNormal"/>
    <w:rsid w:val="008D5D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rsid w:val="008D5D4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nhideWhenUsed/>
    <w:rsid w:val="00D54DE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54DE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54DE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54DE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mailto:alexandre.milovanoff@mail.utoronto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alexandre.milovanoff@mail.utoronto.ca" TargetMode="External" 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Paper’s figure: A dynamic fleet model of U.S light-duty vehicle lightweighting and associated greenhouse gas emissions from 2016-2050</dc:title>
  <dc:creator/>
  <dcterms:created xsi:type="dcterms:W3CDTF">2019-04-11T14:16:34Z</dcterms:created>
  <dcterms:modified xsi:type="dcterms:W3CDTF">2019-04-11T14:16:34Z</dcterms:modified>
</cp:coreProperties>
</file>