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4453" w14:textId="4A048DB6" w:rsidR="00AD4E5C" w:rsidRDefault="00EB430B" w:rsidP="00F83CB3">
      <w:pPr>
        <w:pStyle w:val="Title"/>
      </w:pPr>
      <w:r>
        <w:t>DenseNe</w:t>
      </w:r>
      <w:r w:rsidR="00F83CB3">
        <w:t>t on CIFAR10</w:t>
      </w:r>
    </w:p>
    <w:p w14:paraId="7AD9AD02" w14:textId="114DF246" w:rsidR="00AB24DA" w:rsidRPr="00AB24DA" w:rsidRDefault="00AB24DA" w:rsidP="00AB24DA">
      <w:pPr>
        <w:jc w:val="right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Pablo Ruiz – Harvard University – </w:t>
      </w:r>
      <w:r w:rsidR="006965B4">
        <w:rPr>
          <w:color w:val="767171" w:themeColor="background2" w:themeShade="80"/>
        </w:rPr>
        <w:t>September</w:t>
      </w:r>
      <w:r>
        <w:rPr>
          <w:color w:val="767171" w:themeColor="background2" w:themeShade="80"/>
        </w:rPr>
        <w:t xml:space="preserve"> 2018</w:t>
      </w:r>
    </w:p>
    <w:p w14:paraId="36DEF3B7" w14:textId="14117E5B" w:rsidR="007C0F1C" w:rsidRDefault="00B861EA" w:rsidP="00B861EA">
      <w:pPr>
        <w:pStyle w:val="Heading1"/>
      </w:pPr>
      <w:r>
        <w:t>Introduction</w:t>
      </w:r>
    </w:p>
    <w:p w14:paraId="7E2937F4" w14:textId="4510EFF7" w:rsidR="00F4226B" w:rsidRDefault="00E32D0D" w:rsidP="00F4226B">
      <w:r>
        <w:t>This work is a continuation of</w:t>
      </w:r>
      <w:r w:rsidR="00F4226B">
        <w:t xml:space="preserve"> t</w:t>
      </w:r>
      <w:r w:rsidR="00064D6A">
        <w:t xml:space="preserve">he </w:t>
      </w:r>
      <w:hyperlink r:id="rId6" w:history="1">
        <w:r w:rsidR="00064D6A" w:rsidRPr="001D7AE9">
          <w:rPr>
            <w:rStyle w:val="Hyperlink"/>
          </w:rPr>
          <w:t xml:space="preserve">previous </w:t>
        </w:r>
        <w:r w:rsidRPr="001D7AE9">
          <w:rPr>
            <w:rStyle w:val="Hyperlink"/>
          </w:rPr>
          <w:t>tutorial</w:t>
        </w:r>
      </w:hyperlink>
      <w:r>
        <w:t>, where</w:t>
      </w:r>
      <w:r w:rsidR="00064D6A">
        <w:t xml:space="preserve"> we </w:t>
      </w:r>
      <w:r w:rsidR="007839FB">
        <w:t xml:space="preserve">demystified the </w:t>
      </w:r>
      <w:r w:rsidR="00A647BE">
        <w:t>DenseNe</w:t>
      </w:r>
      <w:r w:rsidR="00B93E98">
        <w:t>t</w:t>
      </w:r>
      <w:r w:rsidR="007839FB">
        <w:t xml:space="preserve"> following the original </w:t>
      </w:r>
      <w:r w:rsidR="00644F08">
        <w:t>paper</w:t>
      </w:r>
      <w:r w:rsidR="00644F08" w:rsidRPr="00A03054">
        <w:t xml:space="preserve"> </w:t>
      </w:r>
      <w:sdt>
        <w:sdtPr>
          <w:id w:val="1737738728"/>
          <w:citation/>
        </w:sdtPr>
        <w:sdtEndPr/>
        <w:sdtContent>
          <w:r w:rsidR="00644F08">
            <w:fldChar w:fldCharType="begin"/>
          </w:r>
          <w:r w:rsidR="00622382">
            <w:instrText xml:space="preserve">CITATION HeK16 \l 3082 </w:instrText>
          </w:r>
          <w:r w:rsidR="00644F08">
            <w:fldChar w:fldCharType="separate"/>
          </w:r>
          <w:r w:rsidR="00622382" w:rsidRPr="00622382">
            <w:rPr>
              <w:noProof/>
            </w:rPr>
            <w:t>[1]</w:t>
          </w:r>
          <w:r w:rsidR="00644F08">
            <w:fldChar w:fldCharType="end"/>
          </w:r>
        </w:sdtContent>
      </w:sdt>
      <w:r w:rsidR="00ED50E8">
        <w:t xml:space="preserve">. However, this structure is </w:t>
      </w:r>
      <w:r w:rsidR="00CE6D2B">
        <w:t>built to perform well on ImageNet dataset.</w:t>
      </w:r>
    </w:p>
    <w:p w14:paraId="59322F2E" w14:textId="1DFBF2A0" w:rsidR="00D56CDA" w:rsidRDefault="00D56CDA" w:rsidP="00F4226B">
      <w:r>
        <w:t xml:space="preserve">ImageNet dataset consist on a set of </w:t>
      </w:r>
      <w:r w:rsidR="00484560">
        <w:t>images</w:t>
      </w:r>
      <w:r w:rsidR="00611E33">
        <w:t xml:space="preserve"> (the authors used 1.28 million training images</w:t>
      </w:r>
      <w:r w:rsidR="00A26937">
        <w:t>, 50k validation images and 100k test images)</w:t>
      </w:r>
      <w:r w:rsidR="00552C8E">
        <w:t xml:space="preserve"> of size (</w:t>
      </w:r>
      <w:r w:rsidR="005B1910">
        <w:t>224x224)</w:t>
      </w:r>
      <w:r w:rsidR="00520B0B">
        <w:t xml:space="preserve"> belonging to 1000 different classes</w:t>
      </w:r>
      <w:r w:rsidR="005B1910">
        <w:t>.</w:t>
      </w:r>
      <w:r w:rsidR="001F1DEB">
        <w:t xml:space="preserve"> However, CIFAR10</w:t>
      </w:r>
      <w:r w:rsidR="00CC5622">
        <w:t xml:space="preserve"> consist on</w:t>
      </w:r>
      <w:r w:rsidR="009E66DA">
        <w:t xml:space="preserve"> a</w:t>
      </w:r>
      <w:r w:rsidR="00CC5622">
        <w:t xml:space="preserve"> different set of images (</w:t>
      </w:r>
      <w:r w:rsidR="000A0C57">
        <w:t>45k training i</w:t>
      </w:r>
      <w:r w:rsidR="009E3FF7">
        <w:t>mages, 5k validation images and</w:t>
      </w:r>
      <w:r w:rsidR="00611E33">
        <w:t xml:space="preserve"> </w:t>
      </w:r>
      <w:r w:rsidR="00981B51">
        <w:t>10k testing images) distributed into just 10 different classes.</w:t>
      </w:r>
    </w:p>
    <w:p w14:paraId="5E3C378D" w14:textId="1C114FB7" w:rsidR="00170DDA" w:rsidRDefault="00170DDA" w:rsidP="00F4226B">
      <w:r>
        <w:t xml:space="preserve">Because the sizes of the input volumes (images) are completely different, it is </w:t>
      </w:r>
      <w:r w:rsidR="00221602">
        <w:t>easy to think that the same structure will not be suitable to train on this dataset.</w:t>
      </w:r>
      <w:r w:rsidR="006900C0">
        <w:t xml:space="preserve"> </w:t>
      </w:r>
      <w:r w:rsidR="00B7185A">
        <w:t>We</w:t>
      </w:r>
      <w:r w:rsidR="00A45A90">
        <w:t xml:space="preserve"> can</w:t>
      </w:r>
      <w:r w:rsidR="00EE2C3A">
        <w:t xml:space="preserve">not </w:t>
      </w:r>
      <w:r w:rsidR="004160D9">
        <w:t>perform</w:t>
      </w:r>
      <w:r w:rsidR="00EE2C3A">
        <w:t xml:space="preserve"> the same reductions on the dataset without having dimensionality mismatches.</w:t>
      </w:r>
    </w:p>
    <w:p w14:paraId="7BC42F23" w14:textId="2984E659" w:rsidR="00A45A90" w:rsidRDefault="00596683" w:rsidP="00F4226B">
      <w:r>
        <w:t xml:space="preserve">We are going to follow the solution </w:t>
      </w:r>
      <w:r w:rsidR="00F30521">
        <w:t xml:space="preserve">the authors give </w:t>
      </w:r>
      <w:r w:rsidR="00A23F66">
        <w:t>(</w:t>
      </w:r>
      <w:r w:rsidR="00F30521">
        <w:t xml:space="preserve">to </w:t>
      </w:r>
      <w:r w:rsidR="00874607">
        <w:t>DenseNets</w:t>
      </w:r>
      <w:r w:rsidR="0068295E">
        <w:t xml:space="preserve"> to train on </w:t>
      </w:r>
      <w:r w:rsidR="005466B6">
        <w:t>CIFAR10</w:t>
      </w:r>
      <w:r w:rsidR="009F1A64">
        <w:t xml:space="preserve"> to build the DenseNet-BC with 100 layers and growth factor of 12</w:t>
      </w:r>
      <w:r w:rsidR="00A23F66">
        <w:t>)</w:t>
      </w:r>
      <w:r w:rsidR="005466B6">
        <w:t>, which are also tricky to follow like for ImageNet dataset.</w:t>
      </w:r>
      <w:r w:rsidR="005E5C25">
        <w:t xml:space="preserve"> On the paper</w:t>
      </w:r>
      <w:r w:rsidR="00B829CE" w:rsidRPr="00B829CE">
        <w:t xml:space="preserve"> </w:t>
      </w:r>
      <w:sdt>
        <w:sdtPr>
          <w:id w:val="-1956782476"/>
          <w:citation/>
        </w:sdtPr>
        <w:sdtEndPr/>
        <w:sdtContent>
          <w:r w:rsidR="00B829CE">
            <w:fldChar w:fldCharType="begin"/>
          </w:r>
          <w:r w:rsidR="00622382">
            <w:instrText xml:space="preserve">CITATION HeK16 \l 3082 </w:instrText>
          </w:r>
          <w:r w:rsidR="00B829CE">
            <w:fldChar w:fldCharType="separate"/>
          </w:r>
          <w:r w:rsidR="00622382" w:rsidRPr="00622382">
            <w:rPr>
              <w:noProof/>
            </w:rPr>
            <w:t>[1]</w:t>
          </w:r>
          <w:r w:rsidR="00B829CE">
            <w:fldChar w:fldCharType="end"/>
          </w:r>
        </w:sdtContent>
      </w:sdt>
      <w:r w:rsidR="005E5C25">
        <w:t xml:space="preserve">, section </w:t>
      </w:r>
      <w:r w:rsidR="007F0F7F">
        <w:rPr>
          <w:b/>
          <w:i/>
        </w:rPr>
        <w:t>3 DenseNets – Implementations details</w:t>
      </w:r>
      <w:r w:rsidR="005E5C25">
        <w:t xml:space="preserve">, </w:t>
      </w:r>
      <w:r w:rsidR="007F0F7F">
        <w:t>the configurations to build a DenseNet for CIFAR10 are provided.</w:t>
      </w:r>
    </w:p>
    <w:p w14:paraId="5226DBAF" w14:textId="113F4514" w:rsidR="008A7A2E" w:rsidRPr="005D0308" w:rsidRDefault="007844D7" w:rsidP="008A7A2E">
      <w:r>
        <w:t xml:space="preserve">Let’s follow then the literal explanation they give to construct the </w:t>
      </w:r>
      <w:r w:rsidR="00F35746">
        <w:t>DenseNets</w:t>
      </w:r>
      <w:r>
        <w:t>.</w:t>
      </w:r>
      <w:r w:rsidR="00B97C9B">
        <w:t xml:space="preserve"> </w:t>
      </w:r>
      <w:r w:rsidR="00A647B5">
        <w:t>Mos</w:t>
      </w:r>
      <w:r w:rsidR="00BE3F5F">
        <w:t>t important of</w:t>
      </w:r>
      <w:r w:rsidR="00A647B5">
        <w:t xml:space="preserve"> all,  </w:t>
      </w:r>
      <w:r w:rsidR="00B42C9C" w:rsidRPr="00A42FFC">
        <w:rPr>
          <w:b/>
        </w:rPr>
        <w:t>for CIFAR10 implementation</w:t>
      </w:r>
      <w:r w:rsidR="00664871" w:rsidRPr="00A42FFC">
        <w:rPr>
          <w:b/>
        </w:rPr>
        <w:t xml:space="preserve"> there are 3 DenseBlocks</w:t>
      </w:r>
      <w:r w:rsidR="00A42FFC">
        <w:t xml:space="preserve">, instead of four, </w:t>
      </w:r>
      <w:r w:rsidR="00664871">
        <w:t xml:space="preserve"> </w:t>
      </w:r>
      <w:r w:rsidR="00664871" w:rsidRPr="00A83F28">
        <w:rPr>
          <w:b/>
        </w:rPr>
        <w:t xml:space="preserve">with </w:t>
      </w:r>
      <w:r w:rsidR="00A83F28" w:rsidRPr="00A83F28">
        <w:rPr>
          <w:b/>
        </w:rPr>
        <w:t>equally distributed number</w:t>
      </w:r>
      <w:r w:rsidR="00664871" w:rsidRPr="00A83F28">
        <w:rPr>
          <w:b/>
        </w:rPr>
        <w:t xml:space="preserve"> of </w:t>
      </w:r>
      <w:r w:rsidR="003A3F7A" w:rsidRPr="00A83F28">
        <w:rPr>
          <w:b/>
        </w:rPr>
        <w:t>DenseLayers in each DenseBlock.</w:t>
      </w:r>
      <w:r w:rsidR="005D0308">
        <w:rPr>
          <w:b/>
        </w:rPr>
        <w:t xml:space="preserve"> </w:t>
      </w:r>
      <w:r w:rsidR="005D0308">
        <w:t xml:space="preserve">Because the </w:t>
      </w:r>
      <w:r w:rsidR="003C3998">
        <w:t>parameter</w:t>
      </w:r>
      <w:r w:rsidR="00464523">
        <w:t xml:space="preserve"> given</w:t>
      </w:r>
      <w:r w:rsidR="003C3998">
        <w:t xml:space="preserve"> by the authors</w:t>
      </w:r>
      <w:r w:rsidR="00464523">
        <w:t xml:space="preserve"> is the total number of layers of the network </w:t>
      </w:r>
      <m:oMath>
        <m:r>
          <w:rPr>
            <w:rFonts w:ascii="Cambria Math" w:hAnsi="Cambria Math"/>
          </w:rPr>
          <m:t>L</m:t>
        </m:r>
      </m:oMath>
      <w:r w:rsidR="000D3755">
        <w:rPr>
          <w:rFonts w:eastAsiaTheme="minorEastAsia"/>
        </w:rPr>
        <w:t xml:space="preserve">, we compute how many </w:t>
      </w:r>
      <w:r w:rsidR="00F70794">
        <w:rPr>
          <w:rFonts w:eastAsiaTheme="minorEastAsia"/>
        </w:rPr>
        <w:t>dense</w:t>
      </w:r>
      <w:r w:rsidR="00E54AE0">
        <w:rPr>
          <w:rFonts w:eastAsiaTheme="minorEastAsia"/>
        </w:rPr>
        <w:t xml:space="preserve"> </w:t>
      </w:r>
      <w:r w:rsidR="00F70794">
        <w:rPr>
          <w:rFonts w:eastAsiaTheme="minorEastAsia"/>
        </w:rPr>
        <w:t>layers</w:t>
      </w:r>
      <w:r w:rsidR="00A72A51">
        <w:rPr>
          <w:rFonts w:eastAsiaTheme="minorEastAsia"/>
        </w:rPr>
        <w:t xml:space="preserve"> within each dense block we need to include to reach that configuration.</w:t>
      </w:r>
      <w:r w:rsidR="00467634">
        <w:rPr>
          <w:rFonts w:eastAsiaTheme="minorEastAsia"/>
        </w:rPr>
        <w:t xml:space="preserve"> Being </w:t>
      </w:r>
      <m:oMath>
        <m:r>
          <w:rPr>
            <w:rFonts w:ascii="Cambria Math" w:hAnsi="Cambria Math"/>
          </w:rPr>
          <m:t>θ</m:t>
        </m:r>
      </m:oMath>
      <w:r w:rsidR="00467634">
        <w:rPr>
          <w:rFonts w:eastAsiaTheme="minorEastAsia"/>
        </w:rPr>
        <w:t xml:space="preserve"> the compression factor</w:t>
      </w:r>
      <w:r w:rsidR="0001622D">
        <w:rPr>
          <w:rFonts w:eastAsiaTheme="minorEastAsia"/>
        </w:rPr>
        <w:t>:</w:t>
      </w:r>
    </w:p>
    <w:p w14:paraId="523CB07F" w14:textId="15B1D7D2" w:rsidR="00372B89" w:rsidRPr="00750768" w:rsidRDefault="002D1B7C" w:rsidP="0007283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nDL=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(L-4)/3</m:t>
                      </m:r>
                    </m:e>
                  </m:d>
                  <m:r>
                    <w:rPr>
                      <w:rFonts w:ascii="Cambria Math" w:hAnsi="Cambria Math"/>
                    </w:rPr>
                    <m:t>,  if θ=0</m:t>
                  </m:r>
                </m:e>
                <m:e>
                  <m:r>
                    <w:rPr>
                      <w:rFonts w:ascii="Cambria Math" w:hAnsi="Cambria Math"/>
                    </w:rPr>
                    <m:t>0.5*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(L-4)/3</m:t>
                      </m:r>
                    </m:e>
                  </m:d>
                  <m:r>
                    <w:rPr>
                      <w:rFonts w:ascii="Cambria Math" w:hAnsi="Cambria Math"/>
                    </w:rPr>
                    <m:t>,  if θ=0.5</m:t>
                  </m:r>
                </m:e>
              </m:eqArr>
            </m:e>
          </m:d>
        </m:oMath>
      </m:oMathPara>
    </w:p>
    <w:p w14:paraId="0410B173" w14:textId="06F0A916" w:rsidR="00413877" w:rsidRDefault="00616244" w:rsidP="00750768">
      <w:r>
        <w:t>The reason to remo</w:t>
      </w:r>
      <w:r w:rsidR="0021320B">
        <w:t>ve 4 layers is because we need to consider only those belonging to dense blocks</w:t>
      </w:r>
      <w:r w:rsidR="00795FF5">
        <w:t xml:space="preserve">. And </w:t>
      </w:r>
      <w:r w:rsidR="0039534D">
        <w:t>also, the compression is introducing a new operation in the transition layer</w:t>
      </w:r>
      <w:r w:rsidR="00D03A8B">
        <w:t xml:space="preserve"> (the first 1x1 convolution as we saw </w:t>
      </w:r>
      <w:hyperlink r:id="rId7" w:history="1">
        <w:r w:rsidR="00D03A8B" w:rsidRPr="00D03A8B">
          <w:rPr>
            <w:rStyle w:val="Hyperlink"/>
          </w:rPr>
          <w:t>in the original work</w:t>
        </w:r>
      </w:hyperlink>
      <w:r w:rsidR="00D03A8B">
        <w:t>)</w:t>
      </w:r>
    </w:p>
    <w:p w14:paraId="0A153E60" w14:textId="63075A9C" w:rsidR="00BF43D2" w:rsidRDefault="00750768" w:rsidP="00750768">
      <w:r>
        <w:t>Therefore, for a 100 layers DenseNet</w:t>
      </w:r>
      <w:r w:rsidR="00C33AC9">
        <w:t>-BC</w:t>
      </w:r>
      <w:r>
        <w:t xml:space="preserve">, each DenseBlock will </w:t>
      </w:r>
      <w:r w:rsidR="0088282D">
        <w:t xml:space="preserve">consist on </w:t>
      </w:r>
      <w:r>
        <w:t xml:space="preserve">16 </w:t>
      </w:r>
      <w:r w:rsidR="00C50745">
        <w:t>Dense Layers</w:t>
      </w:r>
      <w:r>
        <w:t>.</w:t>
      </w:r>
      <w:r w:rsidR="00345BF2">
        <w:t xml:space="preserve"> Since w</w:t>
      </w:r>
      <w:r w:rsidR="00BF43D2">
        <w:t xml:space="preserve">e will </w:t>
      </w:r>
      <w:r w:rsidR="00A01EFC">
        <w:t>be calling</w:t>
      </w:r>
      <w:r w:rsidR="00BF43D2">
        <w:t xml:space="preserve"> the DenseNets follo</w:t>
      </w:r>
      <w:r w:rsidR="002F03CF">
        <w:t>wing</w:t>
      </w:r>
      <w:r w:rsidR="00BF43D2">
        <w:t xml:space="preserve"> </w:t>
      </w:r>
      <w:r w:rsidR="002F03CF">
        <w:t>“</w:t>
      </w:r>
      <w:r w:rsidR="00BF43D2">
        <w:t>DenseNet-Layers-</w:t>
      </w:r>
      <w:r w:rsidR="00DD1FBF">
        <w:t>GrowthRate</w:t>
      </w:r>
      <w:r w:rsidR="002F03CF">
        <w:t xml:space="preserve">”, the DenseNet covered in this work corresponds to DenseNet-100-12. </w:t>
      </w:r>
    </w:p>
    <w:p w14:paraId="25774097" w14:textId="77777777" w:rsidR="005736A8" w:rsidRDefault="005736A8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F907F6" w14:textId="13CFC9A3" w:rsidR="00AF48AA" w:rsidRDefault="00C2012D" w:rsidP="00C2012D">
      <w:pPr>
        <w:pStyle w:val="Heading1"/>
      </w:pPr>
      <w:r>
        <w:lastRenderedPageBreak/>
        <w:t>Structure</w:t>
      </w:r>
    </w:p>
    <w:p w14:paraId="3CE86C6B" w14:textId="7094A83D" w:rsidR="002C26C1" w:rsidRPr="002C26C1" w:rsidRDefault="00C16252" w:rsidP="002C26C1">
      <w:r>
        <w:t xml:space="preserve">Following the same </w:t>
      </w:r>
      <w:r w:rsidR="00D97F85">
        <w:t xml:space="preserve">methodology of the </w:t>
      </w:r>
      <w:hyperlink r:id="rId8" w:history="1">
        <w:r w:rsidR="00D97F85" w:rsidRPr="00DA18F2">
          <w:rPr>
            <w:rStyle w:val="Hyperlink"/>
          </w:rPr>
          <w:t xml:space="preserve">previous work on </w:t>
        </w:r>
        <w:r w:rsidR="00936FE7" w:rsidRPr="00DA18F2">
          <w:rPr>
            <w:rStyle w:val="Hyperlink"/>
          </w:rPr>
          <w:t>DenseNets</w:t>
        </w:r>
      </w:hyperlink>
      <w:r w:rsidR="00D97F85">
        <w:t>,</w:t>
      </w:r>
      <w:r w:rsidR="003B53A8">
        <w:t xml:space="preserve"> let’s take a look at the overall picture first, to </w:t>
      </w:r>
      <w:r w:rsidR="0029759A">
        <w:t>go into the details layer by layer later.</w:t>
      </w:r>
    </w:p>
    <w:p w14:paraId="0E99F013" w14:textId="30F6588B" w:rsidR="00841B08" w:rsidRDefault="006B6EFB" w:rsidP="009F463C">
      <w:pPr>
        <w:keepNext/>
        <w:jc w:val="center"/>
      </w:pPr>
      <w:r>
        <w:rPr>
          <w:noProof/>
        </w:rPr>
        <w:drawing>
          <wp:inline distT="0" distB="0" distL="0" distR="0" wp14:anchorId="75AF9626" wp14:editId="274C4C2A">
            <wp:extent cx="53848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b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7EE" w14:textId="05C5A8FE" w:rsidR="00DC57BD" w:rsidRDefault="00841B08" w:rsidP="00841B08">
      <w:pPr>
        <w:pStyle w:val="Caption"/>
        <w:jc w:val="center"/>
      </w:pPr>
      <w:bookmarkStart w:id="0" w:name="_Ref521849462"/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E174AD">
        <w:rPr>
          <w:noProof/>
        </w:rPr>
        <w:t>1</w:t>
      </w:r>
      <w:r w:rsidR="00B829CE">
        <w:rPr>
          <w:noProof/>
        </w:rPr>
        <w:fldChar w:fldCharType="end"/>
      </w:r>
      <w:bookmarkEnd w:id="0"/>
      <w:r>
        <w:t>.</w:t>
      </w:r>
      <w:r w:rsidR="000559C5">
        <w:t xml:space="preserve"> Scheme </w:t>
      </w:r>
      <w:r w:rsidR="002A0AD9">
        <w:t>DenseNet-100-12</w:t>
      </w:r>
      <w:r w:rsidR="000559C5">
        <w:t xml:space="preserve"> </w:t>
      </w:r>
      <w:r w:rsidR="00EA1F35">
        <w:t>on</w:t>
      </w:r>
      <w:r w:rsidR="000559C5">
        <w:t xml:space="preserve"> CIFAR10</w:t>
      </w:r>
    </w:p>
    <w:p w14:paraId="34718E10" w14:textId="4954D07A" w:rsidR="003D6557" w:rsidRPr="003D6557" w:rsidRDefault="003D6557" w:rsidP="003D6557">
      <w:r>
        <w:t xml:space="preserve">Figure 1 looks already familiar after demystifying </w:t>
      </w:r>
      <w:r w:rsidR="00687827">
        <w:t>ResNet-121.</w:t>
      </w:r>
      <w:r w:rsidR="00F423D0">
        <w:t xml:space="preserve"> We can observe the same pattern, a first single convolutional layer</w:t>
      </w:r>
      <w:r w:rsidR="006D42BC">
        <w:t>, followed by two pairs of dense block</w:t>
      </w:r>
      <w:r w:rsidR="00A95D4D">
        <w:t>s</w:t>
      </w:r>
      <w:r w:rsidR="006D42BC">
        <w:t xml:space="preserve"> – transition block pai</w:t>
      </w:r>
      <w:r w:rsidR="0023405E">
        <w:t xml:space="preserve">rs, </w:t>
      </w:r>
      <w:r w:rsidR="00852325">
        <w:t>a third dense block followed</w:t>
      </w:r>
      <w:r w:rsidR="003A3701">
        <w:t xml:space="preserve"> by the </w:t>
      </w:r>
      <w:r w:rsidR="00B034FB">
        <w:t xml:space="preserve">global </w:t>
      </w:r>
      <w:r w:rsidR="003A3701">
        <w:t>average pooling</w:t>
      </w:r>
      <w:r w:rsidR="00B034FB">
        <w:t xml:space="preserve"> to reduce it to the 1x1x342 vector </w:t>
      </w:r>
      <w:r w:rsidR="00675A38">
        <w:t>that will feed the dense layer.</w:t>
      </w:r>
    </w:p>
    <w:p w14:paraId="41EA7A90" w14:textId="45E423B5" w:rsidR="002A58E9" w:rsidRDefault="00F11E7E" w:rsidP="00187CC1">
      <w:pPr>
        <w:pStyle w:val="Heading1"/>
      </w:pPr>
      <w:r>
        <w:t>Convolution 1</w:t>
      </w:r>
    </w:p>
    <w:p w14:paraId="5C3AB576" w14:textId="11E6C013" w:rsidR="0099276D" w:rsidRDefault="00F15721" w:rsidP="0099276D">
      <w:r>
        <w:t xml:space="preserve">The first </w:t>
      </w:r>
      <w:r w:rsidR="00BF10B3">
        <w:t xml:space="preserve">step on the </w:t>
      </w:r>
      <w:r w:rsidR="000935A2">
        <w:t>DenseNet</w:t>
      </w:r>
      <w:r w:rsidR="00BF10B3">
        <w:t xml:space="preserve"> </w:t>
      </w:r>
      <w:r w:rsidR="007C0D2D">
        <w:t xml:space="preserve">before entering into the </w:t>
      </w:r>
      <w:r w:rsidR="00B50A35">
        <w:t xml:space="preserve">first Dense Block </w:t>
      </w:r>
      <w:r w:rsidR="007C0D2D">
        <w:t xml:space="preserve">is a 3x3 convolution </w:t>
      </w:r>
      <w:r w:rsidR="00DF3EEB">
        <w:t>with a batch normalization operation</w:t>
      </w:r>
      <w:r w:rsidR="00114B30">
        <w:t xml:space="preserve">. </w:t>
      </w:r>
      <w:r w:rsidR="00577ABC">
        <w:t>The stride is 1 and there is a padding of 1 to match the ou</w:t>
      </w:r>
      <w:r w:rsidR="00C164DA">
        <w:t>t</w:t>
      </w:r>
      <w:r w:rsidR="00577ABC">
        <w:t>put size with the input size.</w:t>
      </w:r>
      <w:r w:rsidR="00D1424D">
        <w:t xml:space="preserve"> Note how we have already our first big difference with </w:t>
      </w:r>
      <w:r w:rsidR="00CC3856">
        <w:t>DenseNet</w:t>
      </w:r>
      <w:r w:rsidR="00D1424D">
        <w:t xml:space="preserve"> for ImageNet, that we have not include here the max pooling operation</w:t>
      </w:r>
      <w:r w:rsidR="007A4973">
        <w:t xml:space="preserve"> in this first block</w:t>
      </w:r>
      <w:r w:rsidR="00EB2ACC">
        <w:t xml:space="preserve"> to reduce the dimension of the input volume</w:t>
      </w:r>
      <w:r w:rsidR="007A4973">
        <w:t>.</w:t>
      </w:r>
    </w:p>
    <w:p w14:paraId="356EDA26" w14:textId="0B317505" w:rsidR="00FD274B" w:rsidRDefault="00B43235" w:rsidP="00FD274B">
      <w:pPr>
        <w:keepNext/>
        <w:jc w:val="center"/>
      </w:pPr>
      <w:r>
        <w:rPr>
          <w:noProof/>
        </w:rPr>
        <w:drawing>
          <wp:inline distT="0" distB="0" distL="0" distR="0" wp14:anchorId="0362EDA1" wp14:editId="1705FE7D">
            <wp:extent cx="3548543" cy="1969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81" cy="19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0172" w14:textId="3B09E890" w:rsidR="007F295D" w:rsidRDefault="00FD274B" w:rsidP="00FD274B">
      <w:pPr>
        <w:pStyle w:val="Caption"/>
        <w:jc w:val="center"/>
      </w:pPr>
      <w:r>
        <w:t xml:space="preserve">Figure </w:t>
      </w:r>
      <w:r w:rsidR="00B829CE">
        <w:rPr>
          <w:noProof/>
        </w:rPr>
        <w:fldChar w:fldCharType="begin"/>
      </w:r>
      <w:r w:rsidR="00B829CE">
        <w:rPr>
          <w:noProof/>
        </w:rPr>
        <w:instrText xml:space="preserve"> SEQ Figure \* ARABIC </w:instrText>
      </w:r>
      <w:r w:rsidR="00B829CE">
        <w:rPr>
          <w:noProof/>
        </w:rPr>
        <w:fldChar w:fldCharType="separate"/>
      </w:r>
      <w:r w:rsidR="00E174AD">
        <w:rPr>
          <w:noProof/>
        </w:rPr>
        <w:t>2</w:t>
      </w:r>
      <w:r w:rsidR="00B829CE">
        <w:rPr>
          <w:noProof/>
        </w:rPr>
        <w:fldChar w:fldCharType="end"/>
      </w:r>
      <w:r>
        <w:t xml:space="preserve">. </w:t>
      </w:r>
      <w:r w:rsidR="006725AF">
        <w:t>Conv1</w:t>
      </w:r>
    </w:p>
    <w:p w14:paraId="6B57D491" w14:textId="744086D0" w:rsidR="001D4662" w:rsidRDefault="001D4662" w:rsidP="006F0D24">
      <w:r>
        <w:t xml:space="preserve">We can check with </w:t>
      </w:r>
      <w:r>
        <w:fldChar w:fldCharType="begin"/>
      </w:r>
      <w:r>
        <w:instrText xml:space="preserve"> REF _Ref521849462 \h </w:instrText>
      </w:r>
      <w:r>
        <w:fldChar w:fldCharType="separate"/>
      </w:r>
      <w:r w:rsidR="00C37674">
        <w:t xml:space="preserve">Figure </w:t>
      </w:r>
      <w:r w:rsidR="00C37674">
        <w:rPr>
          <w:noProof/>
        </w:rPr>
        <w:t>2</w:t>
      </w:r>
      <w:r>
        <w:fldChar w:fldCharType="end"/>
      </w:r>
      <w:r>
        <w:t xml:space="preserve"> that the output volume of</w:t>
      </w:r>
      <w:r w:rsidR="008622B8">
        <w:t xml:space="preserve"> Conv1 is indeed 32x32x</w:t>
      </w:r>
      <w:r w:rsidR="00AD14EF">
        <w:t>24</w:t>
      </w:r>
      <w:r w:rsidR="00BF7DD3">
        <w:t>. The next step is to introduce this new volume as input to the following dense block</w:t>
      </w:r>
      <w:r w:rsidR="00E13B21">
        <w:t xml:space="preserve"> 1 (D1).</w:t>
      </w:r>
    </w:p>
    <w:p w14:paraId="56DF3731" w14:textId="77777777" w:rsidR="00056FB6" w:rsidRDefault="00056FB6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E839CB" w14:textId="5F1C0B70" w:rsidR="0020374A" w:rsidRDefault="00056FB6" w:rsidP="0020374A">
      <w:pPr>
        <w:pStyle w:val="Heading1"/>
      </w:pPr>
      <w:r>
        <w:lastRenderedPageBreak/>
        <w:t>Dense</w:t>
      </w:r>
      <w:r w:rsidR="0006221A">
        <w:t xml:space="preserve"> </w:t>
      </w:r>
      <w:r>
        <w:t>Blocks</w:t>
      </w:r>
    </w:p>
    <w:p w14:paraId="620E5804" w14:textId="299FDFC3" w:rsidR="00144067" w:rsidRDefault="0099527B" w:rsidP="00144067">
      <w:r>
        <w:t>The dense blocks</w:t>
      </w:r>
      <w:r w:rsidR="00250B30">
        <w:t xml:space="preserve"> (DB)</w:t>
      </w:r>
      <w:r w:rsidR="00400D27">
        <w:t xml:space="preserve"> are constituted by 16 </w:t>
      </w:r>
      <w:r w:rsidR="00537C36">
        <w:t xml:space="preserve">dense layers </w:t>
      </w:r>
      <w:r w:rsidR="00F21B4B">
        <w:t>as calculated previously for DenseNet</w:t>
      </w:r>
      <w:r w:rsidR="001518E6">
        <w:t>-BC</w:t>
      </w:r>
      <w:r w:rsidR="00F21B4B">
        <w:t xml:space="preserve">-100-12. </w:t>
      </w:r>
    </w:p>
    <w:p w14:paraId="5CB14738" w14:textId="254622F0" w:rsidR="001B4B25" w:rsidRDefault="000F3F0A" w:rsidP="001B4B25">
      <w:pPr>
        <w:keepNext/>
      </w:pPr>
      <w:r>
        <w:rPr>
          <w:noProof/>
        </w:rPr>
        <w:drawing>
          <wp:inline distT="0" distB="0" distL="0" distR="0" wp14:anchorId="0EB71766" wp14:editId="7F922103">
            <wp:extent cx="58420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B09" w14:textId="3E673563" w:rsidR="00793D7E" w:rsidRPr="004D41D5" w:rsidRDefault="001B4B25" w:rsidP="00793D7E">
      <w:pPr>
        <w:pStyle w:val="Caption"/>
        <w:jc w:val="center"/>
        <w:rPr>
          <w:noProof/>
          <w:sz w:val="22"/>
        </w:rPr>
      </w:pPr>
      <w:bookmarkStart w:id="1" w:name="_Ref5269644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74AD">
        <w:rPr>
          <w:noProof/>
        </w:rPr>
        <w:t>3</w:t>
      </w:r>
      <w:r>
        <w:fldChar w:fldCharType="end"/>
      </w:r>
      <w:bookmarkEnd w:id="1"/>
      <w:r>
        <w:t xml:space="preserve">. </w:t>
      </w:r>
      <w:r w:rsidR="005D60E8">
        <w:t xml:space="preserve">One level deeper look at Dense-100-12. </w:t>
      </w:r>
      <w:r w:rsidR="00793D7E">
        <w:t>Dense Block and Transition Block. DLx: Dense Layer x</w:t>
      </w:r>
    </w:p>
    <w:p w14:paraId="51B32D8C" w14:textId="48C4FE95" w:rsidR="003A1D62" w:rsidRDefault="003A1D62" w:rsidP="003A1D62">
      <w:r>
        <w:fldChar w:fldCharType="begin"/>
      </w:r>
      <w:r>
        <w:instrText xml:space="preserve"> REF _Ref526964428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="005C0130">
        <w:t xml:space="preserve"> represent a simplified version</w:t>
      </w:r>
      <w:r w:rsidR="00562C23">
        <w:t xml:space="preserve"> </w:t>
      </w:r>
      <w:r w:rsidR="001406E1">
        <w:t xml:space="preserve">since </w:t>
      </w:r>
      <w:r w:rsidR="00562C23">
        <w:t>16 blocks where too much to compress in one image</w:t>
      </w:r>
      <w:r w:rsidR="001406E1">
        <w:t>, but the idea</w:t>
      </w:r>
      <w:r w:rsidR="00025A2A">
        <w:t xml:space="preserve"> is followed as we could see how the number of </w:t>
      </w:r>
      <w:r w:rsidR="00D80FDC">
        <w:t>feature maps increase by the growth rate, 12, each time</w:t>
      </w:r>
      <w:r w:rsidR="007B6896">
        <w:t xml:space="preserve"> (24, 36, 48 … ). Since there are </w:t>
      </w:r>
      <w:r w:rsidR="00D03E93">
        <w:t xml:space="preserve">16 layers, </w:t>
      </w:r>
      <w:r w:rsidR="00884DD8">
        <w:t xml:space="preserve">the final volume of the </w:t>
      </w:r>
      <w:r w:rsidR="004E5BFB">
        <w:t>DB</w:t>
      </w:r>
      <w:r w:rsidR="00884DD8">
        <w:t>1 wil</w:t>
      </w:r>
      <w:r w:rsidR="009A65D9">
        <w:t>l</w:t>
      </w:r>
      <w:r w:rsidR="00884DD8">
        <w:t xml:space="preserve"> be </w:t>
      </w:r>
      <w:r w:rsidR="009A65D9">
        <w:t>216.</w:t>
      </w:r>
    </w:p>
    <w:p w14:paraId="48677338" w14:textId="43BC040F" w:rsidR="003D3728" w:rsidRDefault="003D3728" w:rsidP="008A3C8E">
      <w:pPr>
        <w:pStyle w:val="Heading1"/>
      </w:pPr>
      <w:r>
        <w:t>Transition Blocks</w:t>
      </w:r>
    </w:p>
    <w:p w14:paraId="32080CA3" w14:textId="67D647AF" w:rsidR="00FF5850" w:rsidRDefault="00D94D27" w:rsidP="003A1D62">
      <w:r>
        <w:t xml:space="preserve">The </w:t>
      </w:r>
      <w:r w:rsidR="00073970">
        <w:t>T</w:t>
      </w:r>
      <w:r>
        <w:t xml:space="preserve">ransition </w:t>
      </w:r>
      <w:r w:rsidR="00073970">
        <w:t>B</w:t>
      </w:r>
      <w:r>
        <w:t xml:space="preserve">lock </w:t>
      </w:r>
      <w:r w:rsidR="00CC58E0">
        <w:t xml:space="preserve"> (TB) </w:t>
      </w:r>
      <w:r w:rsidR="001518E6">
        <w:t>in</w:t>
      </w:r>
      <w:r w:rsidR="00422B48">
        <w:t xml:space="preserve"> between </w:t>
      </w:r>
      <w:r w:rsidR="00073970">
        <w:t xml:space="preserve">two </w:t>
      </w:r>
      <w:r w:rsidR="00CC58E0">
        <w:t>DBs</w:t>
      </w:r>
      <w:r w:rsidR="00E51F46">
        <w:t xml:space="preserve"> acts as a down sample</w:t>
      </w:r>
      <w:r w:rsidR="002F0FDD">
        <w:t xml:space="preserve">, reducing in half the number of </w:t>
      </w:r>
      <w:r w:rsidR="00994766">
        <w:t>feature maps</w:t>
      </w:r>
      <w:r w:rsidR="008D4791">
        <w:t xml:space="preserve"> (theta = 0.5)</w:t>
      </w:r>
      <w:r w:rsidR="00105A89">
        <w:t xml:space="preserve"> and also reducing in half the feature maps size by pooling with stride = 2</w:t>
      </w:r>
      <w:r w:rsidR="00FF7F45">
        <w:t>, a kernel size</w:t>
      </w:r>
      <w:r w:rsidR="003F0617">
        <w:t xml:space="preserve"> </w:t>
      </w:r>
      <w:r w:rsidR="002C4741">
        <w:t>= 2</w:t>
      </w:r>
      <w:r w:rsidR="00FF7F45">
        <w:t xml:space="preserve"> and a padding = 1.</w:t>
      </w:r>
    </w:p>
    <w:p w14:paraId="066F551B" w14:textId="77777777" w:rsidR="003E604B" w:rsidRDefault="003E604B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88F63E" w14:textId="66773669" w:rsidR="00FE1A66" w:rsidRDefault="00C5119C" w:rsidP="00C5119C">
      <w:pPr>
        <w:pStyle w:val="Heading1"/>
      </w:pPr>
      <w:r>
        <w:lastRenderedPageBreak/>
        <w:t>Dense Layers</w:t>
      </w:r>
    </w:p>
    <w:p w14:paraId="120C3E12" w14:textId="6E195F2A" w:rsidR="008C2388" w:rsidRDefault="007C0742" w:rsidP="008C2388">
      <w:r>
        <w:t xml:space="preserve">We just need to see what is happening </w:t>
      </w:r>
      <w:r w:rsidR="00017570">
        <w:t xml:space="preserve">within a </w:t>
      </w:r>
      <w:r w:rsidR="00EA24DE">
        <w:t xml:space="preserve">DB </w:t>
      </w:r>
      <w:r w:rsidR="004A282A">
        <w:t xml:space="preserve">to confirm why </w:t>
      </w:r>
      <w:r w:rsidR="00EA24DE">
        <w:t xml:space="preserve">the </w:t>
      </w:r>
      <w:r w:rsidR="004A282A">
        <w:t>feature maps size in</w:t>
      </w:r>
      <w:r w:rsidR="00DD6377">
        <w:t xml:space="preserve">crease </w:t>
      </w:r>
      <w:r w:rsidR="002F2436">
        <w:t xml:space="preserve">the </w:t>
      </w:r>
      <w:r w:rsidR="00E30156">
        <w:t>(</w:t>
      </w:r>
      <w:r w:rsidR="002F2436">
        <w:t>growth rate * the number of dense layers</w:t>
      </w:r>
      <w:r w:rsidR="00E30156">
        <w:t xml:space="preserve">) / 2 </w:t>
      </w:r>
      <w:r w:rsidR="002D1C90">
        <w:t>–</w:t>
      </w:r>
      <w:r w:rsidR="00E30156">
        <w:t xml:space="preserve"> </w:t>
      </w:r>
      <w:r w:rsidR="002D1C90">
        <w:t>Check how in D1 increases from 24 to 216</w:t>
      </w:r>
      <w:r w:rsidR="005F6879">
        <w:t xml:space="preserve"> – and </w:t>
      </w:r>
      <w:r w:rsidR="006F428E">
        <w:t>the size of the feature maps remains constant.</w:t>
      </w:r>
    </w:p>
    <w:p w14:paraId="3387E404" w14:textId="74E53927" w:rsidR="00E174AD" w:rsidRDefault="0019468A" w:rsidP="00E174AD">
      <w:pPr>
        <w:keepNext/>
      </w:pPr>
      <w:r>
        <w:rPr>
          <w:noProof/>
        </w:rPr>
        <w:drawing>
          <wp:inline distT="0" distB="0" distL="0" distR="0" wp14:anchorId="18CE88BA" wp14:editId="4BC033C6">
            <wp:extent cx="5943600" cy="351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nsenet_paper_structure_CIFAR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CF82" w14:textId="3551D079" w:rsidR="00BA1A0F" w:rsidRDefault="00E174AD" w:rsidP="00E174A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.2</w:t>
      </w:r>
      <w:r w:rsidRPr="00E174AD">
        <w:rPr>
          <w:vertAlign w:val="superscript"/>
        </w:rPr>
        <w:t>nd</w:t>
      </w:r>
      <w:r>
        <w:t xml:space="preserve"> level deep. </w:t>
      </w:r>
      <w:r w:rsidR="00BE7E4E">
        <w:t>Full schematic representation of DenseNet-BC-</w:t>
      </w:r>
      <w:r w:rsidR="003F5EC2">
        <w:t>100-12</w:t>
      </w:r>
    </w:p>
    <w:p w14:paraId="1EB7794B" w14:textId="29FEC932" w:rsidR="004802AF" w:rsidRDefault="0082705E" w:rsidP="004802AF">
      <w:r>
        <w:t xml:space="preserve">It is possible to </w:t>
      </w:r>
      <w:r w:rsidR="00ED1C43">
        <w:t xml:space="preserve">check </w:t>
      </w:r>
      <w:r w:rsidR="001B3766">
        <w:t xml:space="preserve">how </w:t>
      </w:r>
      <w:r w:rsidR="00454C19">
        <w:t>each</w:t>
      </w:r>
      <w:r w:rsidR="009C2B1E">
        <w:t xml:space="preserve"> </w:t>
      </w:r>
      <w:r w:rsidR="00672347">
        <w:t>Dense Layer (DL)</w:t>
      </w:r>
      <w:r w:rsidR="00001AE1">
        <w:t xml:space="preserve"> is </w:t>
      </w:r>
      <w:r w:rsidR="00686E0B">
        <w:t>performing a 1x1 convolution with 4*growth rate the numbe</w:t>
      </w:r>
      <w:r w:rsidR="0080283A">
        <w:t xml:space="preserve">r of filters. </w:t>
      </w:r>
      <w:r w:rsidR="00BE6E76">
        <w:t>The number 4 is given by the authors in the paper</w:t>
      </w:r>
      <w:r w:rsidR="003F29D6">
        <w:t xml:space="preserve"> and most of the repositories call it bn_size (</w:t>
      </w:r>
      <w:r w:rsidR="003F29D6" w:rsidRPr="003F29D6">
        <w:t>﻿multiplicative factor for number of bottle neck layers</w:t>
      </w:r>
      <w:r w:rsidR="003F29D6">
        <w:t xml:space="preserve">). </w:t>
      </w:r>
      <w:r w:rsidR="003F38E9">
        <w:t xml:space="preserve">This 1x1 convolution is applying a linear transformation previous to the 3x3 convolution </w:t>
      </w:r>
      <w:r w:rsidR="00C3097D">
        <w:t>with the number of filters</w:t>
      </w:r>
      <w:r w:rsidR="00F565A1">
        <w:t xml:space="preserve"> being the growth rate.</w:t>
      </w:r>
      <w:r w:rsidR="00C90F82">
        <w:t xml:space="preserve"> </w:t>
      </w:r>
    </w:p>
    <w:p w14:paraId="2E794E9E" w14:textId="3D1DF985" w:rsidR="00C90F82" w:rsidRPr="004802AF" w:rsidRDefault="00C90F82" w:rsidP="004802AF">
      <w:r>
        <w:t>See how the second convolution is the only responsible for the number of filter maps being concatenated, so it perfectly matches the growth rate configuration</w:t>
      </w:r>
      <w:r w:rsidR="004E2BB8">
        <w:t xml:space="preserve"> after concatenating them. </w:t>
      </w:r>
      <w:r w:rsidR="00252CB1">
        <w:t>Every DL is adding then k new feature maps to their inputs volume.</w:t>
      </w:r>
      <w:r w:rsidR="00494E92">
        <w:t xml:space="preserve"> This reconfirms why a </w:t>
      </w:r>
      <w:r w:rsidR="00B24F7F">
        <w:t>dense block</w:t>
      </w:r>
      <w:r w:rsidR="00EF556C">
        <w:t xml:space="preserve"> adds growth rate * number of dense layers.</w:t>
      </w:r>
    </w:p>
    <w:p w14:paraId="1BA53358" w14:textId="77777777" w:rsidR="007061C5" w:rsidRDefault="007061C5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50BECE" w14:textId="1375720E" w:rsidR="0021505D" w:rsidRDefault="009F02F2" w:rsidP="009F02F2">
      <w:pPr>
        <w:pStyle w:val="Heading1"/>
      </w:pPr>
      <w:r>
        <w:lastRenderedPageBreak/>
        <w:t>Summary</w:t>
      </w:r>
    </w:p>
    <w:p w14:paraId="30D27C50" w14:textId="52723861" w:rsidR="009F02F2" w:rsidRDefault="00C64301" w:rsidP="009F02F2">
      <w:r>
        <w:t xml:space="preserve">The </w:t>
      </w:r>
      <w:r w:rsidR="00C16923">
        <w:t xml:space="preserve">rest of </w:t>
      </w:r>
      <w:r w:rsidR="00F14ECB">
        <w:t>DenseNets</w:t>
      </w:r>
      <w:r>
        <w:t xml:space="preserve"> following the</w:t>
      </w:r>
      <w:r w:rsidR="00882D79">
        <w:t xml:space="preserve"> explained rules built by the authors </w:t>
      </w:r>
      <w:r w:rsidR="00395D1A">
        <w:t>yield to the following structures</w:t>
      </w:r>
      <w:r w:rsidR="008C00C6">
        <w:t>:</w:t>
      </w:r>
    </w:p>
    <w:p w14:paraId="45CBD2E7" w14:textId="6871A178" w:rsidR="00341ADE" w:rsidRDefault="00341ADE" w:rsidP="00341ADE">
      <w:pPr>
        <w:pStyle w:val="Caption"/>
        <w:keepNext/>
        <w:jc w:val="center"/>
      </w:pPr>
      <w:r>
        <w:t xml:space="preserve">Table </w:t>
      </w:r>
      <w:r w:rsidR="00556AC1">
        <w:rPr>
          <w:noProof/>
        </w:rPr>
        <w:fldChar w:fldCharType="begin"/>
      </w:r>
      <w:r w:rsidR="00556AC1">
        <w:rPr>
          <w:noProof/>
        </w:rPr>
        <w:instrText xml:space="preserve"> SEQ Table \* ARABIC </w:instrText>
      </w:r>
      <w:r w:rsidR="00556AC1">
        <w:rPr>
          <w:noProof/>
        </w:rPr>
        <w:fldChar w:fldCharType="separate"/>
      </w:r>
      <w:r>
        <w:rPr>
          <w:noProof/>
        </w:rPr>
        <w:t>1</w:t>
      </w:r>
      <w:r w:rsidR="00556AC1">
        <w:rPr>
          <w:noProof/>
        </w:rPr>
        <w:fldChar w:fldCharType="end"/>
      </w:r>
      <w:r>
        <w:t xml:space="preserve">. </w:t>
      </w:r>
      <w:r w:rsidR="00556AC1">
        <w:t>DenseNets</w:t>
      </w:r>
      <w:bookmarkStart w:id="2" w:name="_GoBack"/>
      <w:bookmarkEnd w:id="2"/>
      <w:r w:rsidR="009707E0">
        <w:t xml:space="preserve"> architectures for CIFAR-10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1968"/>
        <w:gridCol w:w="2249"/>
        <w:gridCol w:w="2592"/>
      </w:tblGrid>
      <w:tr w:rsidR="00B14978" w14:paraId="151FC7AD" w14:textId="77777777" w:rsidTr="00B14978">
        <w:tc>
          <w:tcPr>
            <w:tcW w:w="2541" w:type="dxa"/>
            <w:vAlign w:val="center"/>
          </w:tcPr>
          <w:p w14:paraId="402529D8" w14:textId="09966550" w:rsidR="00B14978" w:rsidRDefault="007E1C47" w:rsidP="008040E3">
            <w:pPr>
              <w:spacing w:before="120"/>
              <w:jc w:val="center"/>
            </w:pPr>
            <w:r>
              <w:t>Model</w:t>
            </w:r>
          </w:p>
        </w:tc>
        <w:tc>
          <w:tcPr>
            <w:tcW w:w="1968" w:type="dxa"/>
          </w:tcPr>
          <w:p w14:paraId="7AEFD89A" w14:textId="0469DCD2" w:rsidR="00B14978" w:rsidRDefault="00B14978" w:rsidP="008040E3">
            <w:pPr>
              <w:spacing w:before="120"/>
              <w:jc w:val="center"/>
            </w:pPr>
            <w:r>
              <w:t>Growth Rate</w:t>
            </w:r>
          </w:p>
        </w:tc>
        <w:tc>
          <w:tcPr>
            <w:tcW w:w="2249" w:type="dxa"/>
          </w:tcPr>
          <w:p w14:paraId="2434CE49" w14:textId="190E5721" w:rsidR="00B14978" w:rsidRDefault="00B14978" w:rsidP="008040E3">
            <w:pPr>
              <w:spacing w:before="120"/>
              <w:jc w:val="center"/>
            </w:pPr>
            <w:r>
              <w:t>Layers</w:t>
            </w:r>
          </w:p>
        </w:tc>
        <w:tc>
          <w:tcPr>
            <w:tcW w:w="2592" w:type="dxa"/>
            <w:vAlign w:val="center"/>
          </w:tcPr>
          <w:p w14:paraId="6CC322ED" w14:textId="2B923CD7" w:rsidR="00B14978" w:rsidRDefault="00B14978" w:rsidP="008040E3">
            <w:pPr>
              <w:spacing w:before="120"/>
              <w:jc w:val="center"/>
            </w:pPr>
            <w:r>
              <w:t>Number of Parameters</w:t>
            </w:r>
          </w:p>
        </w:tc>
      </w:tr>
      <w:tr w:rsidR="00B14978" w14:paraId="052F87C3" w14:textId="77777777" w:rsidTr="00B14978">
        <w:tc>
          <w:tcPr>
            <w:tcW w:w="2541" w:type="dxa"/>
            <w:vAlign w:val="center"/>
          </w:tcPr>
          <w:p w14:paraId="7F3BE8C6" w14:textId="777E05ED" w:rsidR="00B14978" w:rsidRDefault="00B14978" w:rsidP="008040E3">
            <w:pPr>
              <w:spacing w:before="120"/>
              <w:jc w:val="center"/>
            </w:pPr>
            <w:r>
              <w:t>DenseNet</w:t>
            </w:r>
          </w:p>
        </w:tc>
        <w:tc>
          <w:tcPr>
            <w:tcW w:w="1968" w:type="dxa"/>
          </w:tcPr>
          <w:p w14:paraId="609AB746" w14:textId="48482E09" w:rsidR="00B14978" w:rsidRDefault="007901C0" w:rsidP="008040E3">
            <w:pPr>
              <w:spacing w:before="120"/>
              <w:jc w:val="center"/>
            </w:pPr>
            <w:r>
              <w:t>12</w:t>
            </w:r>
          </w:p>
        </w:tc>
        <w:tc>
          <w:tcPr>
            <w:tcW w:w="2249" w:type="dxa"/>
          </w:tcPr>
          <w:p w14:paraId="72BA0B25" w14:textId="3B1A8CFE" w:rsidR="00B14978" w:rsidRDefault="008D3C10" w:rsidP="008040E3">
            <w:pPr>
              <w:spacing w:before="120"/>
              <w:jc w:val="center"/>
            </w:pPr>
            <w:r>
              <w:t>40</w:t>
            </w:r>
          </w:p>
        </w:tc>
        <w:tc>
          <w:tcPr>
            <w:tcW w:w="2592" w:type="dxa"/>
            <w:vAlign w:val="center"/>
          </w:tcPr>
          <w:p w14:paraId="385DE539" w14:textId="60202759" w:rsidR="00B14978" w:rsidRDefault="00F13C2C" w:rsidP="008040E3">
            <w:pPr>
              <w:spacing w:before="120"/>
              <w:jc w:val="center"/>
            </w:pPr>
            <w:r>
              <w:t>1</w:t>
            </w:r>
            <w:r w:rsidR="00B14978">
              <w:t>.</w:t>
            </w:r>
            <w:r>
              <w:t>02</w:t>
            </w:r>
            <w:r w:rsidR="00B14978">
              <w:t>M</w:t>
            </w:r>
          </w:p>
        </w:tc>
      </w:tr>
      <w:tr w:rsidR="00B14978" w14:paraId="107AE207" w14:textId="77777777" w:rsidTr="00B14978">
        <w:tc>
          <w:tcPr>
            <w:tcW w:w="2541" w:type="dxa"/>
            <w:vAlign w:val="center"/>
          </w:tcPr>
          <w:p w14:paraId="0B780555" w14:textId="7824FF8E" w:rsidR="00B14978" w:rsidRDefault="007901C0" w:rsidP="008040E3">
            <w:pPr>
              <w:spacing w:before="120"/>
              <w:jc w:val="center"/>
            </w:pPr>
            <w:r>
              <w:t>DenseNet</w:t>
            </w:r>
          </w:p>
        </w:tc>
        <w:tc>
          <w:tcPr>
            <w:tcW w:w="1968" w:type="dxa"/>
          </w:tcPr>
          <w:p w14:paraId="3CBC0D9A" w14:textId="6950931D" w:rsidR="00B14978" w:rsidRDefault="007901C0" w:rsidP="008040E3">
            <w:pPr>
              <w:spacing w:before="120"/>
              <w:jc w:val="center"/>
            </w:pPr>
            <w:r>
              <w:t>12</w:t>
            </w:r>
          </w:p>
        </w:tc>
        <w:tc>
          <w:tcPr>
            <w:tcW w:w="2249" w:type="dxa"/>
          </w:tcPr>
          <w:p w14:paraId="56B7F82B" w14:textId="0EBC8637" w:rsidR="00B14978" w:rsidRDefault="008D3C10" w:rsidP="008040E3">
            <w:pPr>
              <w:spacing w:before="120"/>
              <w:jc w:val="center"/>
            </w:pPr>
            <w:r>
              <w:t>100</w:t>
            </w:r>
          </w:p>
        </w:tc>
        <w:tc>
          <w:tcPr>
            <w:tcW w:w="2592" w:type="dxa"/>
            <w:vAlign w:val="center"/>
          </w:tcPr>
          <w:p w14:paraId="167137EB" w14:textId="3214C90B" w:rsidR="00B14978" w:rsidRDefault="00093F20" w:rsidP="008040E3">
            <w:pPr>
              <w:spacing w:before="120"/>
              <w:jc w:val="center"/>
            </w:pPr>
            <w:r>
              <w:t>6.98</w:t>
            </w:r>
            <w:r w:rsidR="00B14978">
              <w:t>M</w:t>
            </w:r>
          </w:p>
        </w:tc>
      </w:tr>
      <w:tr w:rsidR="00B14978" w14:paraId="21CC4680" w14:textId="77777777" w:rsidTr="00B14978">
        <w:tc>
          <w:tcPr>
            <w:tcW w:w="2541" w:type="dxa"/>
            <w:vAlign w:val="center"/>
          </w:tcPr>
          <w:p w14:paraId="553DEE19" w14:textId="724766D6" w:rsidR="00B14978" w:rsidRDefault="007901C0" w:rsidP="008040E3">
            <w:pPr>
              <w:spacing w:before="120"/>
              <w:jc w:val="center"/>
            </w:pPr>
            <w:r>
              <w:t>DenseNet</w:t>
            </w:r>
          </w:p>
        </w:tc>
        <w:tc>
          <w:tcPr>
            <w:tcW w:w="1968" w:type="dxa"/>
          </w:tcPr>
          <w:p w14:paraId="7E35C181" w14:textId="5CFA4B36" w:rsidR="00B14978" w:rsidRDefault="007901C0" w:rsidP="008040E3">
            <w:pPr>
              <w:spacing w:before="120"/>
              <w:jc w:val="center"/>
            </w:pPr>
            <w:r>
              <w:t>24</w:t>
            </w:r>
          </w:p>
        </w:tc>
        <w:tc>
          <w:tcPr>
            <w:tcW w:w="2249" w:type="dxa"/>
          </w:tcPr>
          <w:p w14:paraId="3D88684C" w14:textId="09644183" w:rsidR="00B14978" w:rsidRDefault="008D3C10" w:rsidP="008040E3">
            <w:pPr>
              <w:spacing w:before="120"/>
              <w:jc w:val="center"/>
            </w:pPr>
            <w:r>
              <w:t>100</w:t>
            </w:r>
          </w:p>
        </w:tc>
        <w:tc>
          <w:tcPr>
            <w:tcW w:w="2592" w:type="dxa"/>
            <w:vAlign w:val="center"/>
          </w:tcPr>
          <w:p w14:paraId="43E420D4" w14:textId="35C05503" w:rsidR="00B14978" w:rsidRDefault="00850072" w:rsidP="008040E3">
            <w:pPr>
              <w:spacing w:before="120"/>
              <w:jc w:val="center"/>
            </w:pPr>
            <w:r>
              <w:t>27</w:t>
            </w:r>
            <w:r w:rsidR="00A9788E">
              <w:t>.</w:t>
            </w:r>
            <w:r>
              <w:t>249</w:t>
            </w:r>
            <w:r w:rsidR="00B14978">
              <w:t>M</w:t>
            </w:r>
          </w:p>
        </w:tc>
      </w:tr>
      <w:tr w:rsidR="00B14978" w14:paraId="732E828F" w14:textId="77777777" w:rsidTr="00B14978">
        <w:tc>
          <w:tcPr>
            <w:tcW w:w="2541" w:type="dxa"/>
            <w:vAlign w:val="center"/>
          </w:tcPr>
          <w:p w14:paraId="34B95C0A" w14:textId="07FAC883" w:rsidR="00B14978" w:rsidRDefault="007901C0" w:rsidP="008040E3">
            <w:pPr>
              <w:spacing w:before="120"/>
              <w:jc w:val="center"/>
            </w:pPr>
            <w:r>
              <w:t>DenseNet</w:t>
            </w:r>
            <w:r>
              <w:t>-BC</w:t>
            </w:r>
          </w:p>
        </w:tc>
        <w:tc>
          <w:tcPr>
            <w:tcW w:w="1968" w:type="dxa"/>
          </w:tcPr>
          <w:p w14:paraId="06BC640C" w14:textId="4D9A3C35" w:rsidR="00B14978" w:rsidRDefault="007901C0" w:rsidP="008040E3">
            <w:pPr>
              <w:spacing w:before="120"/>
              <w:jc w:val="center"/>
            </w:pPr>
            <w:r>
              <w:t>12</w:t>
            </w:r>
          </w:p>
        </w:tc>
        <w:tc>
          <w:tcPr>
            <w:tcW w:w="2249" w:type="dxa"/>
          </w:tcPr>
          <w:p w14:paraId="6874EE08" w14:textId="68C166F2" w:rsidR="00B14978" w:rsidRDefault="008D3C10" w:rsidP="008040E3">
            <w:pPr>
              <w:spacing w:before="120"/>
              <w:jc w:val="center"/>
            </w:pPr>
            <w:r>
              <w:t>100</w:t>
            </w:r>
          </w:p>
        </w:tc>
        <w:tc>
          <w:tcPr>
            <w:tcW w:w="2592" w:type="dxa"/>
            <w:vAlign w:val="center"/>
          </w:tcPr>
          <w:p w14:paraId="460CC6AC" w14:textId="4F87A660" w:rsidR="00B14978" w:rsidRDefault="000E19D3" w:rsidP="008040E3">
            <w:pPr>
              <w:spacing w:before="120"/>
              <w:jc w:val="center"/>
            </w:pPr>
            <w:r>
              <w:t>0.769</w:t>
            </w:r>
            <w:r w:rsidR="00B14978">
              <w:t>M</w:t>
            </w:r>
          </w:p>
        </w:tc>
      </w:tr>
      <w:tr w:rsidR="007901C0" w14:paraId="21E58B42" w14:textId="77777777" w:rsidTr="00B14978">
        <w:tc>
          <w:tcPr>
            <w:tcW w:w="2541" w:type="dxa"/>
            <w:vAlign w:val="center"/>
          </w:tcPr>
          <w:p w14:paraId="5A538C21" w14:textId="7C8C7D5F" w:rsidR="007901C0" w:rsidRDefault="007901C0" w:rsidP="007901C0">
            <w:pPr>
              <w:spacing w:before="120"/>
              <w:jc w:val="center"/>
            </w:pPr>
            <w:r>
              <w:t>DenseNet-BC</w:t>
            </w:r>
          </w:p>
        </w:tc>
        <w:tc>
          <w:tcPr>
            <w:tcW w:w="1968" w:type="dxa"/>
          </w:tcPr>
          <w:p w14:paraId="1F5EA23F" w14:textId="1A5E6BC9" w:rsidR="007901C0" w:rsidRDefault="007901C0" w:rsidP="007901C0">
            <w:pPr>
              <w:spacing w:before="120"/>
              <w:jc w:val="center"/>
            </w:pPr>
            <w:r>
              <w:t>24</w:t>
            </w:r>
          </w:p>
        </w:tc>
        <w:tc>
          <w:tcPr>
            <w:tcW w:w="2249" w:type="dxa"/>
          </w:tcPr>
          <w:p w14:paraId="78AE6938" w14:textId="213CD40C" w:rsidR="007901C0" w:rsidRDefault="008D3C10" w:rsidP="007901C0">
            <w:pPr>
              <w:spacing w:before="120"/>
              <w:jc w:val="center"/>
            </w:pPr>
            <w:r>
              <w:t>250</w:t>
            </w:r>
          </w:p>
        </w:tc>
        <w:tc>
          <w:tcPr>
            <w:tcW w:w="2592" w:type="dxa"/>
            <w:vAlign w:val="center"/>
          </w:tcPr>
          <w:p w14:paraId="5233A248" w14:textId="087B4A83" w:rsidR="007901C0" w:rsidRDefault="005D06C2" w:rsidP="007901C0">
            <w:pPr>
              <w:spacing w:before="120"/>
              <w:jc w:val="center"/>
            </w:pPr>
            <w:r>
              <w:t>15</w:t>
            </w:r>
            <w:r w:rsidR="00FD17CC">
              <w:t>.</w:t>
            </w:r>
            <w:r>
              <w:t>324</w:t>
            </w:r>
            <w:r w:rsidR="007901C0">
              <w:t>M</w:t>
            </w:r>
          </w:p>
        </w:tc>
      </w:tr>
      <w:tr w:rsidR="007901C0" w14:paraId="112F48A0" w14:textId="77777777" w:rsidTr="00B14978">
        <w:tc>
          <w:tcPr>
            <w:tcW w:w="2541" w:type="dxa"/>
            <w:vAlign w:val="center"/>
          </w:tcPr>
          <w:p w14:paraId="4B2355A6" w14:textId="49373CD0" w:rsidR="007901C0" w:rsidRDefault="007901C0" w:rsidP="007901C0">
            <w:pPr>
              <w:spacing w:before="120"/>
              <w:jc w:val="center"/>
            </w:pPr>
            <w:r>
              <w:t>DenseNet-BC</w:t>
            </w:r>
          </w:p>
        </w:tc>
        <w:tc>
          <w:tcPr>
            <w:tcW w:w="1968" w:type="dxa"/>
          </w:tcPr>
          <w:p w14:paraId="574F7094" w14:textId="171CF738" w:rsidR="007901C0" w:rsidRDefault="007901C0" w:rsidP="007901C0">
            <w:pPr>
              <w:spacing w:before="120"/>
              <w:jc w:val="center"/>
            </w:pPr>
            <w:r>
              <w:t>40</w:t>
            </w:r>
          </w:p>
        </w:tc>
        <w:tc>
          <w:tcPr>
            <w:tcW w:w="2249" w:type="dxa"/>
          </w:tcPr>
          <w:p w14:paraId="1CDA8839" w14:textId="5622F8E0" w:rsidR="007901C0" w:rsidRDefault="008D3C10" w:rsidP="007901C0">
            <w:pPr>
              <w:spacing w:before="120"/>
              <w:jc w:val="center"/>
            </w:pPr>
            <w:r>
              <w:t>190</w:t>
            </w:r>
          </w:p>
        </w:tc>
        <w:tc>
          <w:tcPr>
            <w:tcW w:w="2592" w:type="dxa"/>
            <w:vAlign w:val="center"/>
          </w:tcPr>
          <w:p w14:paraId="25999D2B" w14:textId="2D050B10" w:rsidR="007901C0" w:rsidRDefault="00475088" w:rsidP="007901C0">
            <w:pPr>
              <w:spacing w:before="120"/>
              <w:jc w:val="center"/>
            </w:pPr>
            <w:r>
              <w:t>25.624</w:t>
            </w:r>
            <w:r w:rsidR="007901C0">
              <w:t>M</w:t>
            </w:r>
          </w:p>
        </w:tc>
      </w:tr>
    </w:tbl>
    <w:p w14:paraId="5353083D" w14:textId="158322A3" w:rsidR="000F4AB9" w:rsidRDefault="000F4AB9" w:rsidP="009F02F2"/>
    <w:p w14:paraId="62D48C39" w14:textId="083585C0" w:rsidR="001C7091" w:rsidRDefault="001C7091" w:rsidP="009F02F2">
      <w:r>
        <w:t>Note that, intuitively, these architectures do not match the architectures for ImageNet</w:t>
      </w:r>
      <w:r w:rsidR="00A74658">
        <w:t xml:space="preserve"> showed at the end of the </w:t>
      </w:r>
      <w:hyperlink r:id="rId13" w:history="1">
        <w:r w:rsidR="00A74658" w:rsidRPr="0082197B">
          <w:rPr>
            <w:rStyle w:val="Hyperlink"/>
          </w:rPr>
          <w:t>work on ImageNet</w:t>
        </w:r>
      </w:hyperlink>
      <w:r w:rsidR="00A74658">
        <w:t>.</w:t>
      </w:r>
    </w:p>
    <w:p w14:paraId="461168A3" w14:textId="22DF8A80" w:rsidR="00B10770" w:rsidRDefault="00B10770" w:rsidP="00EC5104">
      <w:r>
        <w:t>﻿</w:t>
      </w:r>
      <w:r w:rsidR="00A63D90">
        <w:t>Find</w:t>
      </w:r>
      <w:r w:rsidR="00B20B15">
        <w:t xml:space="preserve"> </w:t>
      </w:r>
      <w:hyperlink r:id="rId14" w:history="1">
        <w:r w:rsidR="00B20B15" w:rsidRPr="00B20B15">
          <w:rPr>
            <w:rStyle w:val="Hyperlink"/>
          </w:rPr>
          <w:t>here</w:t>
        </w:r>
      </w:hyperlink>
      <w:r w:rsidR="00A63D90">
        <w:t xml:space="preserve"> the code</w:t>
      </w:r>
      <w:r w:rsidR="00B20B15">
        <w:t xml:space="preserve"> </w:t>
      </w:r>
      <w:r w:rsidR="00A63D90">
        <w:t>to build these architectures</w:t>
      </w:r>
      <w:r w:rsidR="002606E3">
        <w:t>:</w:t>
      </w:r>
    </w:p>
    <w:p w14:paraId="1BF7584B" w14:textId="77777777" w:rsidR="0040372E" w:rsidRDefault="0040372E" w:rsidP="00EC5104"/>
    <w:p w14:paraId="454A8193" w14:textId="2EE860F3" w:rsidR="00E079BE" w:rsidRPr="00395D1A" w:rsidRDefault="00E079BE" w:rsidP="00B10770">
      <w:pPr>
        <w:pStyle w:val="Heading1"/>
      </w:pPr>
    </w:p>
    <w:sectPr w:rsidR="00E079BE" w:rsidRPr="00395D1A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3DC"/>
    <w:multiLevelType w:val="hybridMultilevel"/>
    <w:tmpl w:val="D6122C0A"/>
    <w:lvl w:ilvl="0" w:tplc="42A416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B3"/>
    <w:rsid w:val="00001AE1"/>
    <w:rsid w:val="00003633"/>
    <w:rsid w:val="00005459"/>
    <w:rsid w:val="0001622D"/>
    <w:rsid w:val="00017570"/>
    <w:rsid w:val="00020F30"/>
    <w:rsid w:val="00025A2A"/>
    <w:rsid w:val="00034F0A"/>
    <w:rsid w:val="00047836"/>
    <w:rsid w:val="00050AF3"/>
    <w:rsid w:val="000510B5"/>
    <w:rsid w:val="000559C5"/>
    <w:rsid w:val="00056FB6"/>
    <w:rsid w:val="00061199"/>
    <w:rsid w:val="00061E7A"/>
    <w:rsid w:val="0006221A"/>
    <w:rsid w:val="00064D6A"/>
    <w:rsid w:val="00066727"/>
    <w:rsid w:val="00072830"/>
    <w:rsid w:val="00073970"/>
    <w:rsid w:val="00074538"/>
    <w:rsid w:val="00075EFB"/>
    <w:rsid w:val="00085883"/>
    <w:rsid w:val="000935A2"/>
    <w:rsid w:val="00093F20"/>
    <w:rsid w:val="000A0C57"/>
    <w:rsid w:val="000B0004"/>
    <w:rsid w:val="000B1F83"/>
    <w:rsid w:val="000C03F6"/>
    <w:rsid w:val="000C1769"/>
    <w:rsid w:val="000C4D89"/>
    <w:rsid w:val="000C7A78"/>
    <w:rsid w:val="000D348F"/>
    <w:rsid w:val="000D3755"/>
    <w:rsid w:val="000E19D3"/>
    <w:rsid w:val="000E1E3A"/>
    <w:rsid w:val="000E4D22"/>
    <w:rsid w:val="000E5046"/>
    <w:rsid w:val="000F3F0A"/>
    <w:rsid w:val="000F4AB9"/>
    <w:rsid w:val="00102518"/>
    <w:rsid w:val="00105979"/>
    <w:rsid w:val="00105A89"/>
    <w:rsid w:val="001062B3"/>
    <w:rsid w:val="00114B30"/>
    <w:rsid w:val="00114EFC"/>
    <w:rsid w:val="001203B0"/>
    <w:rsid w:val="001214BD"/>
    <w:rsid w:val="0013079E"/>
    <w:rsid w:val="0013274D"/>
    <w:rsid w:val="001406E1"/>
    <w:rsid w:val="00140F0D"/>
    <w:rsid w:val="00142100"/>
    <w:rsid w:val="00144067"/>
    <w:rsid w:val="001518E6"/>
    <w:rsid w:val="00153A95"/>
    <w:rsid w:val="001540D5"/>
    <w:rsid w:val="001675AB"/>
    <w:rsid w:val="00170DDA"/>
    <w:rsid w:val="00187CC1"/>
    <w:rsid w:val="0019468A"/>
    <w:rsid w:val="001B3766"/>
    <w:rsid w:val="001B4B25"/>
    <w:rsid w:val="001B721A"/>
    <w:rsid w:val="001C2AEA"/>
    <w:rsid w:val="001C7091"/>
    <w:rsid w:val="001D4662"/>
    <w:rsid w:val="001D46CD"/>
    <w:rsid w:val="001D7AE9"/>
    <w:rsid w:val="001E7DDD"/>
    <w:rsid w:val="001F060D"/>
    <w:rsid w:val="001F1DEB"/>
    <w:rsid w:val="0020374A"/>
    <w:rsid w:val="0021320B"/>
    <w:rsid w:val="0021505D"/>
    <w:rsid w:val="00221602"/>
    <w:rsid w:val="00224D0F"/>
    <w:rsid w:val="0023405E"/>
    <w:rsid w:val="002366D8"/>
    <w:rsid w:val="002468E9"/>
    <w:rsid w:val="00250B30"/>
    <w:rsid w:val="00252CB1"/>
    <w:rsid w:val="002606E3"/>
    <w:rsid w:val="00281038"/>
    <w:rsid w:val="00282A1F"/>
    <w:rsid w:val="0029759A"/>
    <w:rsid w:val="002A0AD9"/>
    <w:rsid w:val="002A5334"/>
    <w:rsid w:val="002A58E9"/>
    <w:rsid w:val="002C26C1"/>
    <w:rsid w:val="002C4741"/>
    <w:rsid w:val="002C704D"/>
    <w:rsid w:val="002D1B7C"/>
    <w:rsid w:val="002D1C90"/>
    <w:rsid w:val="002F03CF"/>
    <w:rsid w:val="002F0FDD"/>
    <w:rsid w:val="002F2436"/>
    <w:rsid w:val="0030162B"/>
    <w:rsid w:val="00303AA2"/>
    <w:rsid w:val="00307D50"/>
    <w:rsid w:val="00312235"/>
    <w:rsid w:val="003311EA"/>
    <w:rsid w:val="0033475C"/>
    <w:rsid w:val="00341ADE"/>
    <w:rsid w:val="00345BF2"/>
    <w:rsid w:val="003469B9"/>
    <w:rsid w:val="00350B40"/>
    <w:rsid w:val="00353228"/>
    <w:rsid w:val="00372B89"/>
    <w:rsid w:val="0039211E"/>
    <w:rsid w:val="00392343"/>
    <w:rsid w:val="0039534D"/>
    <w:rsid w:val="00395D1A"/>
    <w:rsid w:val="003A1D62"/>
    <w:rsid w:val="003A3701"/>
    <w:rsid w:val="003A3E9D"/>
    <w:rsid w:val="003A3F7A"/>
    <w:rsid w:val="003A750E"/>
    <w:rsid w:val="003A768A"/>
    <w:rsid w:val="003A777C"/>
    <w:rsid w:val="003B53A8"/>
    <w:rsid w:val="003C3998"/>
    <w:rsid w:val="003C619C"/>
    <w:rsid w:val="003C67C9"/>
    <w:rsid w:val="003C7C32"/>
    <w:rsid w:val="003D3728"/>
    <w:rsid w:val="003D549D"/>
    <w:rsid w:val="003D6557"/>
    <w:rsid w:val="003E37BC"/>
    <w:rsid w:val="003E604B"/>
    <w:rsid w:val="003F0617"/>
    <w:rsid w:val="003F29D6"/>
    <w:rsid w:val="003F38E9"/>
    <w:rsid w:val="003F5EC2"/>
    <w:rsid w:val="00400D27"/>
    <w:rsid w:val="0040372E"/>
    <w:rsid w:val="00413877"/>
    <w:rsid w:val="004160D9"/>
    <w:rsid w:val="00422B48"/>
    <w:rsid w:val="0042602E"/>
    <w:rsid w:val="00427DDD"/>
    <w:rsid w:val="00433F79"/>
    <w:rsid w:val="00433FAE"/>
    <w:rsid w:val="00443211"/>
    <w:rsid w:val="004457F7"/>
    <w:rsid w:val="0044761B"/>
    <w:rsid w:val="00450327"/>
    <w:rsid w:val="00454C19"/>
    <w:rsid w:val="00464523"/>
    <w:rsid w:val="004673E1"/>
    <w:rsid w:val="00467634"/>
    <w:rsid w:val="00473E27"/>
    <w:rsid w:val="00475088"/>
    <w:rsid w:val="004802AF"/>
    <w:rsid w:val="00484560"/>
    <w:rsid w:val="0049031B"/>
    <w:rsid w:val="00490696"/>
    <w:rsid w:val="00491B3E"/>
    <w:rsid w:val="00492732"/>
    <w:rsid w:val="00494E92"/>
    <w:rsid w:val="004A282A"/>
    <w:rsid w:val="004A7AC3"/>
    <w:rsid w:val="004D4D10"/>
    <w:rsid w:val="004D74F3"/>
    <w:rsid w:val="004D7B28"/>
    <w:rsid w:val="004E01CB"/>
    <w:rsid w:val="004E1A60"/>
    <w:rsid w:val="004E2BB8"/>
    <w:rsid w:val="004E5BFB"/>
    <w:rsid w:val="004F7D9C"/>
    <w:rsid w:val="00507939"/>
    <w:rsid w:val="00520B0B"/>
    <w:rsid w:val="005219D2"/>
    <w:rsid w:val="00523570"/>
    <w:rsid w:val="005256D3"/>
    <w:rsid w:val="00537C36"/>
    <w:rsid w:val="005466B6"/>
    <w:rsid w:val="00547F51"/>
    <w:rsid w:val="00552C8E"/>
    <w:rsid w:val="00555A5E"/>
    <w:rsid w:val="00556AC1"/>
    <w:rsid w:val="0055756C"/>
    <w:rsid w:val="00562C23"/>
    <w:rsid w:val="0056632E"/>
    <w:rsid w:val="005736A8"/>
    <w:rsid w:val="00577ABC"/>
    <w:rsid w:val="00581B52"/>
    <w:rsid w:val="00582BE7"/>
    <w:rsid w:val="00583ADC"/>
    <w:rsid w:val="005862FF"/>
    <w:rsid w:val="0059195E"/>
    <w:rsid w:val="00596683"/>
    <w:rsid w:val="00597FCE"/>
    <w:rsid w:val="005A2919"/>
    <w:rsid w:val="005B1015"/>
    <w:rsid w:val="005B1910"/>
    <w:rsid w:val="005B5D1B"/>
    <w:rsid w:val="005B6325"/>
    <w:rsid w:val="005C0130"/>
    <w:rsid w:val="005D0308"/>
    <w:rsid w:val="005D06C2"/>
    <w:rsid w:val="005D3717"/>
    <w:rsid w:val="005D60E8"/>
    <w:rsid w:val="005D7585"/>
    <w:rsid w:val="005E0EE0"/>
    <w:rsid w:val="005E150E"/>
    <w:rsid w:val="005E5C25"/>
    <w:rsid w:val="005E6629"/>
    <w:rsid w:val="005F28A6"/>
    <w:rsid w:val="005F6879"/>
    <w:rsid w:val="00611E33"/>
    <w:rsid w:val="00616244"/>
    <w:rsid w:val="0061632A"/>
    <w:rsid w:val="00622382"/>
    <w:rsid w:val="00626D4A"/>
    <w:rsid w:val="006429A1"/>
    <w:rsid w:val="00644694"/>
    <w:rsid w:val="00644F08"/>
    <w:rsid w:val="00664871"/>
    <w:rsid w:val="00672347"/>
    <w:rsid w:val="006725AF"/>
    <w:rsid w:val="00675A38"/>
    <w:rsid w:val="0068295E"/>
    <w:rsid w:val="006853C1"/>
    <w:rsid w:val="00685537"/>
    <w:rsid w:val="00686E0B"/>
    <w:rsid w:val="00687827"/>
    <w:rsid w:val="006900C0"/>
    <w:rsid w:val="00692052"/>
    <w:rsid w:val="00692525"/>
    <w:rsid w:val="006965B4"/>
    <w:rsid w:val="006A1C10"/>
    <w:rsid w:val="006A58FA"/>
    <w:rsid w:val="006B6EFB"/>
    <w:rsid w:val="006D42BC"/>
    <w:rsid w:val="006E7E7B"/>
    <w:rsid w:val="006F0D24"/>
    <w:rsid w:val="006F2E18"/>
    <w:rsid w:val="006F2FC0"/>
    <w:rsid w:val="006F428E"/>
    <w:rsid w:val="00700753"/>
    <w:rsid w:val="007024B6"/>
    <w:rsid w:val="007061C5"/>
    <w:rsid w:val="00720854"/>
    <w:rsid w:val="00721FD1"/>
    <w:rsid w:val="00732C31"/>
    <w:rsid w:val="00733C3E"/>
    <w:rsid w:val="0073750F"/>
    <w:rsid w:val="007450D9"/>
    <w:rsid w:val="00750768"/>
    <w:rsid w:val="007539E9"/>
    <w:rsid w:val="00756CC6"/>
    <w:rsid w:val="0076759C"/>
    <w:rsid w:val="00775181"/>
    <w:rsid w:val="007839FB"/>
    <w:rsid w:val="007844D7"/>
    <w:rsid w:val="0078776E"/>
    <w:rsid w:val="007901C0"/>
    <w:rsid w:val="00793D7E"/>
    <w:rsid w:val="00795956"/>
    <w:rsid w:val="00795FF5"/>
    <w:rsid w:val="007A4973"/>
    <w:rsid w:val="007A657C"/>
    <w:rsid w:val="007B54CC"/>
    <w:rsid w:val="007B59CC"/>
    <w:rsid w:val="007B6896"/>
    <w:rsid w:val="007C0742"/>
    <w:rsid w:val="007C0D2D"/>
    <w:rsid w:val="007C0F1C"/>
    <w:rsid w:val="007C1750"/>
    <w:rsid w:val="007C5C0D"/>
    <w:rsid w:val="007D1EA8"/>
    <w:rsid w:val="007D528B"/>
    <w:rsid w:val="007D6270"/>
    <w:rsid w:val="007E0C08"/>
    <w:rsid w:val="007E1C47"/>
    <w:rsid w:val="007F0F7F"/>
    <w:rsid w:val="007F295D"/>
    <w:rsid w:val="0080283A"/>
    <w:rsid w:val="008040E3"/>
    <w:rsid w:val="008162A6"/>
    <w:rsid w:val="008206E6"/>
    <w:rsid w:val="0082197B"/>
    <w:rsid w:val="00821E9E"/>
    <w:rsid w:val="0082705E"/>
    <w:rsid w:val="008373DB"/>
    <w:rsid w:val="00841B08"/>
    <w:rsid w:val="008436CD"/>
    <w:rsid w:val="0084413E"/>
    <w:rsid w:val="008451A3"/>
    <w:rsid w:val="00846EBA"/>
    <w:rsid w:val="00850072"/>
    <w:rsid w:val="0085144B"/>
    <w:rsid w:val="00852325"/>
    <w:rsid w:val="00854A17"/>
    <w:rsid w:val="008622B8"/>
    <w:rsid w:val="00864348"/>
    <w:rsid w:val="00874607"/>
    <w:rsid w:val="0087690C"/>
    <w:rsid w:val="0088282D"/>
    <w:rsid w:val="00882D79"/>
    <w:rsid w:val="00884DD8"/>
    <w:rsid w:val="0089052D"/>
    <w:rsid w:val="008A3C8E"/>
    <w:rsid w:val="008A7A2E"/>
    <w:rsid w:val="008B017E"/>
    <w:rsid w:val="008C00C6"/>
    <w:rsid w:val="008C1D10"/>
    <w:rsid w:val="008C2388"/>
    <w:rsid w:val="008C7088"/>
    <w:rsid w:val="008D3C10"/>
    <w:rsid w:val="008D4791"/>
    <w:rsid w:val="00913501"/>
    <w:rsid w:val="009135BB"/>
    <w:rsid w:val="009228E2"/>
    <w:rsid w:val="009315B8"/>
    <w:rsid w:val="009346AB"/>
    <w:rsid w:val="00935B23"/>
    <w:rsid w:val="00936FE7"/>
    <w:rsid w:val="00941693"/>
    <w:rsid w:val="00941E84"/>
    <w:rsid w:val="0094621F"/>
    <w:rsid w:val="00955A75"/>
    <w:rsid w:val="009601DA"/>
    <w:rsid w:val="00962E30"/>
    <w:rsid w:val="009707E0"/>
    <w:rsid w:val="00970A5F"/>
    <w:rsid w:val="0097466F"/>
    <w:rsid w:val="00975150"/>
    <w:rsid w:val="00981B51"/>
    <w:rsid w:val="009834B2"/>
    <w:rsid w:val="00987C93"/>
    <w:rsid w:val="00991A6E"/>
    <w:rsid w:val="0099276D"/>
    <w:rsid w:val="00994766"/>
    <w:rsid w:val="0099527B"/>
    <w:rsid w:val="00997DF6"/>
    <w:rsid w:val="009A65D9"/>
    <w:rsid w:val="009B1144"/>
    <w:rsid w:val="009B24CC"/>
    <w:rsid w:val="009C0FA8"/>
    <w:rsid w:val="009C2B1E"/>
    <w:rsid w:val="009C33EC"/>
    <w:rsid w:val="009E3AB6"/>
    <w:rsid w:val="009E3FF7"/>
    <w:rsid w:val="009E66DA"/>
    <w:rsid w:val="009F0220"/>
    <w:rsid w:val="009F02F2"/>
    <w:rsid w:val="009F1A64"/>
    <w:rsid w:val="009F463C"/>
    <w:rsid w:val="00A01EFC"/>
    <w:rsid w:val="00A03F13"/>
    <w:rsid w:val="00A10E8B"/>
    <w:rsid w:val="00A12A1C"/>
    <w:rsid w:val="00A17C23"/>
    <w:rsid w:val="00A20C1A"/>
    <w:rsid w:val="00A23EF6"/>
    <w:rsid w:val="00A23F66"/>
    <w:rsid w:val="00A26937"/>
    <w:rsid w:val="00A2799D"/>
    <w:rsid w:val="00A42FFC"/>
    <w:rsid w:val="00A45A90"/>
    <w:rsid w:val="00A54D2E"/>
    <w:rsid w:val="00A57402"/>
    <w:rsid w:val="00A57F88"/>
    <w:rsid w:val="00A628B2"/>
    <w:rsid w:val="00A63D90"/>
    <w:rsid w:val="00A6429E"/>
    <w:rsid w:val="00A647B5"/>
    <w:rsid w:val="00A647BE"/>
    <w:rsid w:val="00A64D13"/>
    <w:rsid w:val="00A72A51"/>
    <w:rsid w:val="00A74658"/>
    <w:rsid w:val="00A75C4F"/>
    <w:rsid w:val="00A7764A"/>
    <w:rsid w:val="00A82065"/>
    <w:rsid w:val="00A82A6E"/>
    <w:rsid w:val="00A83F28"/>
    <w:rsid w:val="00A95D4D"/>
    <w:rsid w:val="00A9788E"/>
    <w:rsid w:val="00AA5257"/>
    <w:rsid w:val="00AA67B0"/>
    <w:rsid w:val="00AB24DA"/>
    <w:rsid w:val="00AC277A"/>
    <w:rsid w:val="00AC336E"/>
    <w:rsid w:val="00AC33BE"/>
    <w:rsid w:val="00AD14EF"/>
    <w:rsid w:val="00AD4E5C"/>
    <w:rsid w:val="00AF27BF"/>
    <w:rsid w:val="00AF48AA"/>
    <w:rsid w:val="00B034FB"/>
    <w:rsid w:val="00B062B4"/>
    <w:rsid w:val="00B10770"/>
    <w:rsid w:val="00B116A0"/>
    <w:rsid w:val="00B148B3"/>
    <w:rsid w:val="00B14978"/>
    <w:rsid w:val="00B16E6B"/>
    <w:rsid w:val="00B20B15"/>
    <w:rsid w:val="00B20E21"/>
    <w:rsid w:val="00B23E71"/>
    <w:rsid w:val="00B24F7F"/>
    <w:rsid w:val="00B31E03"/>
    <w:rsid w:val="00B36F4A"/>
    <w:rsid w:val="00B42C9C"/>
    <w:rsid w:val="00B43235"/>
    <w:rsid w:val="00B50A35"/>
    <w:rsid w:val="00B53241"/>
    <w:rsid w:val="00B604AF"/>
    <w:rsid w:val="00B67475"/>
    <w:rsid w:val="00B70063"/>
    <w:rsid w:val="00B7185A"/>
    <w:rsid w:val="00B71C6E"/>
    <w:rsid w:val="00B74403"/>
    <w:rsid w:val="00B81D0E"/>
    <w:rsid w:val="00B829CE"/>
    <w:rsid w:val="00B861EA"/>
    <w:rsid w:val="00B90237"/>
    <w:rsid w:val="00B93453"/>
    <w:rsid w:val="00B93E98"/>
    <w:rsid w:val="00B960D2"/>
    <w:rsid w:val="00B97C9B"/>
    <w:rsid w:val="00BA1A0F"/>
    <w:rsid w:val="00BA1A41"/>
    <w:rsid w:val="00BB5F65"/>
    <w:rsid w:val="00BC176B"/>
    <w:rsid w:val="00BD224E"/>
    <w:rsid w:val="00BE284B"/>
    <w:rsid w:val="00BE3F5F"/>
    <w:rsid w:val="00BE6E76"/>
    <w:rsid w:val="00BE7E4E"/>
    <w:rsid w:val="00BF10B3"/>
    <w:rsid w:val="00BF43D2"/>
    <w:rsid w:val="00BF7DD3"/>
    <w:rsid w:val="00C025C2"/>
    <w:rsid w:val="00C03E0E"/>
    <w:rsid w:val="00C11E4E"/>
    <w:rsid w:val="00C16252"/>
    <w:rsid w:val="00C164DA"/>
    <w:rsid w:val="00C16923"/>
    <w:rsid w:val="00C2012D"/>
    <w:rsid w:val="00C3097D"/>
    <w:rsid w:val="00C33AC9"/>
    <w:rsid w:val="00C37674"/>
    <w:rsid w:val="00C50745"/>
    <w:rsid w:val="00C50913"/>
    <w:rsid w:val="00C5119C"/>
    <w:rsid w:val="00C64301"/>
    <w:rsid w:val="00C71D03"/>
    <w:rsid w:val="00C74EC8"/>
    <w:rsid w:val="00C805BB"/>
    <w:rsid w:val="00C90026"/>
    <w:rsid w:val="00C90F82"/>
    <w:rsid w:val="00CA05BE"/>
    <w:rsid w:val="00CA4814"/>
    <w:rsid w:val="00CB221D"/>
    <w:rsid w:val="00CB3103"/>
    <w:rsid w:val="00CB47D3"/>
    <w:rsid w:val="00CB5874"/>
    <w:rsid w:val="00CB6812"/>
    <w:rsid w:val="00CC3856"/>
    <w:rsid w:val="00CC5622"/>
    <w:rsid w:val="00CC58E0"/>
    <w:rsid w:val="00CD4C8B"/>
    <w:rsid w:val="00CD54A6"/>
    <w:rsid w:val="00CE2446"/>
    <w:rsid w:val="00CE66FE"/>
    <w:rsid w:val="00CE6D2B"/>
    <w:rsid w:val="00CF464E"/>
    <w:rsid w:val="00D03A8B"/>
    <w:rsid w:val="00D03DDC"/>
    <w:rsid w:val="00D03E93"/>
    <w:rsid w:val="00D1424D"/>
    <w:rsid w:val="00D369BE"/>
    <w:rsid w:val="00D56CDA"/>
    <w:rsid w:val="00D758A4"/>
    <w:rsid w:val="00D80FDC"/>
    <w:rsid w:val="00D90E2C"/>
    <w:rsid w:val="00D94D27"/>
    <w:rsid w:val="00D9668B"/>
    <w:rsid w:val="00D97F85"/>
    <w:rsid w:val="00DA18F2"/>
    <w:rsid w:val="00DA59B3"/>
    <w:rsid w:val="00DC5796"/>
    <w:rsid w:val="00DC57BD"/>
    <w:rsid w:val="00DD1FBF"/>
    <w:rsid w:val="00DD6377"/>
    <w:rsid w:val="00DD74B3"/>
    <w:rsid w:val="00DE4C6B"/>
    <w:rsid w:val="00DE67A6"/>
    <w:rsid w:val="00DF05F6"/>
    <w:rsid w:val="00DF0D8A"/>
    <w:rsid w:val="00DF3EEB"/>
    <w:rsid w:val="00E002F4"/>
    <w:rsid w:val="00E01BEA"/>
    <w:rsid w:val="00E079BE"/>
    <w:rsid w:val="00E108C4"/>
    <w:rsid w:val="00E13B21"/>
    <w:rsid w:val="00E174AD"/>
    <w:rsid w:val="00E22C41"/>
    <w:rsid w:val="00E266A1"/>
    <w:rsid w:val="00E30156"/>
    <w:rsid w:val="00E32D0D"/>
    <w:rsid w:val="00E32F57"/>
    <w:rsid w:val="00E51F46"/>
    <w:rsid w:val="00E54AE0"/>
    <w:rsid w:val="00E62825"/>
    <w:rsid w:val="00E6509D"/>
    <w:rsid w:val="00E825A8"/>
    <w:rsid w:val="00E82D81"/>
    <w:rsid w:val="00E93C63"/>
    <w:rsid w:val="00E963E0"/>
    <w:rsid w:val="00EA1F35"/>
    <w:rsid w:val="00EA24DE"/>
    <w:rsid w:val="00EB25B6"/>
    <w:rsid w:val="00EB2ACC"/>
    <w:rsid w:val="00EB430B"/>
    <w:rsid w:val="00EC1908"/>
    <w:rsid w:val="00EC5104"/>
    <w:rsid w:val="00EC7D02"/>
    <w:rsid w:val="00ED1C43"/>
    <w:rsid w:val="00ED50E8"/>
    <w:rsid w:val="00EE0BB1"/>
    <w:rsid w:val="00EE2C3A"/>
    <w:rsid w:val="00EE3B31"/>
    <w:rsid w:val="00EE43F3"/>
    <w:rsid w:val="00EE68B3"/>
    <w:rsid w:val="00EF487D"/>
    <w:rsid w:val="00EF556C"/>
    <w:rsid w:val="00EF735A"/>
    <w:rsid w:val="00F0361E"/>
    <w:rsid w:val="00F058C4"/>
    <w:rsid w:val="00F11E7E"/>
    <w:rsid w:val="00F11E8A"/>
    <w:rsid w:val="00F138CE"/>
    <w:rsid w:val="00F13C2C"/>
    <w:rsid w:val="00F14ECB"/>
    <w:rsid w:val="00F15721"/>
    <w:rsid w:val="00F17BAF"/>
    <w:rsid w:val="00F21B4B"/>
    <w:rsid w:val="00F2655A"/>
    <w:rsid w:val="00F30521"/>
    <w:rsid w:val="00F35746"/>
    <w:rsid w:val="00F35976"/>
    <w:rsid w:val="00F41459"/>
    <w:rsid w:val="00F4226B"/>
    <w:rsid w:val="00F423D0"/>
    <w:rsid w:val="00F565A1"/>
    <w:rsid w:val="00F66B4F"/>
    <w:rsid w:val="00F70794"/>
    <w:rsid w:val="00F71E9F"/>
    <w:rsid w:val="00F731E7"/>
    <w:rsid w:val="00F83CB3"/>
    <w:rsid w:val="00F83CC3"/>
    <w:rsid w:val="00F85C13"/>
    <w:rsid w:val="00F863DC"/>
    <w:rsid w:val="00FC14C5"/>
    <w:rsid w:val="00FD17CC"/>
    <w:rsid w:val="00FD274B"/>
    <w:rsid w:val="00FE1A66"/>
    <w:rsid w:val="00FF51FA"/>
    <w:rsid w:val="00FF5850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879"/>
  <w15:chartTrackingRefBased/>
  <w15:docId w15:val="{495ADD8D-05CA-604E-AC00-0395846A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3228"/>
    <w:pPr>
      <w:keepNext/>
      <w:keepLines/>
      <w:spacing w:before="40" w:after="40"/>
      <w:ind w:left="90"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3532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3CB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B63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F0D24"/>
    <w:rPr>
      <w:color w:val="808080"/>
    </w:rPr>
  </w:style>
  <w:style w:type="paragraph" w:styleId="ListParagraph">
    <w:name w:val="List Paragraph"/>
    <w:basedOn w:val="Normal"/>
    <w:uiPriority w:val="34"/>
    <w:qFormat/>
    <w:rsid w:val="00583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4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079BE"/>
  </w:style>
  <w:style w:type="character" w:styleId="FollowedHyperlink">
    <w:name w:val="FollowedHyperlink"/>
    <w:basedOn w:val="DefaultParagraphFont"/>
    <w:uiPriority w:val="99"/>
    <w:semiHidden/>
    <w:unhideWhenUsed/>
    <w:rsid w:val="00745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bloruizruiz10.com/resources/CNNs/DenseNets.pdf" TargetMode="External"/><Relationship Id="rId13" Type="http://schemas.openxmlformats.org/officeDocument/2006/relationships/hyperlink" Target="http://pabloruizruiz10.com/resources/CNNs/DenseNets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pabloruizruiz10.com/resources/CNNs/DenseNets.pdf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abloruizruiz10.com/resources/CNNs/DenseNets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bloRR100/Convolutional-Neural-Networks/blob/master/3_DenseNets/densenets_Pap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HeK16</b:Tag>
    <b:SourceType>ConferenceProceedings</b:SourceType>
    <b:Guid>{68CE2DDC-2056-674F-B672-952A1958BD78}</b:Guid>
    <b:Title>DEnsely Connected Convolutional Networks</b:Title>
    <b:Year>2018</b:Year>
    <b:Author>
      <b:Author>
        <b:NameList>
          <b:Person>
            <b:Last>Huang</b:Last>
            <b:First>Gao</b:First>
          </b:Person>
          <b:Person>
            <b:Last>Liu</b:Last>
            <b:First>Zhuang</b:First>
          </b:Person>
          <b:Person>
            <b:Last>van der Maaten</b:Last>
            <b:First>Laurens</b:First>
          </b:Person>
          <b:Person>
            <b:Last>Weinberger</b:Last>
            <b:Middle>Q.</b:Middle>
            <b:First>Kilian</b:First>
          </b:Person>
        </b:NameList>
      </b:Author>
    </b:Author>
    <b:ConferenceName>CVPR</b:ConferenceName>
    <b:RefOrder>1</b:RefOrder>
  </b:Source>
</b:Sources>
</file>

<file path=customXml/itemProps1.xml><?xml version="1.0" encoding="utf-8"?>
<ds:datastoreItem xmlns:ds="http://schemas.openxmlformats.org/officeDocument/2006/customXml" ds:itemID="{B88C2561-DBD1-374C-BD09-5B42DDDA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4</cp:revision>
  <dcterms:created xsi:type="dcterms:W3CDTF">2018-10-11T01:38:00Z</dcterms:created>
  <dcterms:modified xsi:type="dcterms:W3CDTF">2018-10-11T01:38:00Z</dcterms:modified>
</cp:coreProperties>
</file>