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AF4" w:rsidRDefault="002E0A2F">
      <w:pPr>
        <w:numPr>
          <w:ilvl w:val="0"/>
          <w:numId w:val="1"/>
        </w:numPr>
        <w:contextualSpacing/>
      </w:pPr>
      <w:r>
        <w:t xml:space="preserve">First we will write out a few examples to see if any patterns emerge starting at our base case 8 cents worth of stamps, the smallest amount that can be made up using a three cent stamp and a five cent stamp. Intuitively, there should at least be a pattern </w:t>
      </w:r>
      <w:proofErr w:type="gramStart"/>
      <w:r>
        <w:t>that cycles</w:t>
      </w:r>
      <w:proofErr w:type="gramEnd"/>
      <w:r>
        <w:t xml:space="preserve"> over 15 steps as there might be </w:t>
      </w:r>
      <m:oMath>
        <m:r>
          <w:rPr>
            <w:rFonts w:ascii="Cambria Math" w:hAnsi="Cambria Math"/>
          </w:rPr>
          <m:t>3×5</m:t>
        </m:r>
      </m:oMath>
      <w:r>
        <w:t>different combinations.</w:t>
      </w:r>
    </w:p>
    <w:p w:rsidR="00DD1AF4" w:rsidRDefault="00DD1AF4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</w:tblGrid>
      <w:tr w:rsidR="00DD1AF4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AF4" w:rsidRDefault="002E0A2F">
            <w:pPr>
              <w:widowControl w:val="0"/>
              <w:spacing w:line="240" w:lineRule="auto"/>
            </w:pPr>
            <w:r>
              <w:t>Total</w:t>
            </w:r>
          </w:p>
        </w:tc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AF4" w:rsidRDefault="002E0A2F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AF4" w:rsidRDefault="002E0A2F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AF4" w:rsidRDefault="002E0A2F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AF4" w:rsidRDefault="002E0A2F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AF4" w:rsidRDefault="002E0A2F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AF4" w:rsidRDefault="002E0A2F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AF4" w:rsidRDefault="002E0A2F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AF4" w:rsidRDefault="002E0A2F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AF4" w:rsidRDefault="002E0A2F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AF4" w:rsidRDefault="002E0A2F">
            <w:pPr>
              <w:widowControl w:val="0"/>
              <w:spacing w:line="240" w:lineRule="auto"/>
            </w:pPr>
            <w:r>
              <w:t>17</w:t>
            </w:r>
          </w:p>
        </w:tc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AF4" w:rsidRDefault="002E0A2F">
            <w:pPr>
              <w:widowControl w:val="0"/>
              <w:spacing w:line="240" w:lineRule="auto"/>
            </w:pPr>
            <w:r>
              <w:t>18</w:t>
            </w:r>
          </w:p>
        </w:tc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AF4" w:rsidRDefault="002E0A2F">
            <w:pPr>
              <w:widowControl w:val="0"/>
              <w:spacing w:line="240" w:lineRule="auto"/>
            </w:pPr>
            <w:r>
              <w:t>19</w:t>
            </w:r>
          </w:p>
        </w:tc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AF4" w:rsidRDefault="002E0A2F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AF4" w:rsidRDefault="002E0A2F">
            <w:pPr>
              <w:widowControl w:val="0"/>
              <w:spacing w:line="240" w:lineRule="auto"/>
            </w:pPr>
            <w:r>
              <w:t>21</w:t>
            </w:r>
          </w:p>
        </w:tc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AF4" w:rsidRDefault="002E0A2F">
            <w:pPr>
              <w:widowControl w:val="0"/>
              <w:spacing w:line="240" w:lineRule="auto"/>
            </w:pPr>
            <w:r>
              <w:t>22</w:t>
            </w:r>
          </w:p>
        </w:tc>
      </w:tr>
      <w:tr w:rsidR="00DD1AF4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AF4" w:rsidRDefault="002E0A2F">
            <w:pPr>
              <w:widowControl w:val="0"/>
              <w:spacing w:line="240" w:lineRule="auto"/>
            </w:pPr>
            <w:r>
              <w:t>3 cent stamps</w:t>
            </w:r>
          </w:p>
        </w:tc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AF4" w:rsidRDefault="002E0A2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AF4" w:rsidRDefault="002E0A2F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AF4" w:rsidRDefault="002E0A2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AF4" w:rsidRDefault="002E0A2F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AF4" w:rsidRDefault="002E0A2F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AF4" w:rsidRDefault="002E0A2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AF4" w:rsidRDefault="002E0A2F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AF4" w:rsidRDefault="002E0A2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AF4" w:rsidRDefault="002E0A2F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AF4" w:rsidRDefault="002E0A2F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AF4" w:rsidRDefault="002E0A2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AF4" w:rsidRDefault="002E0A2F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AF4" w:rsidRDefault="002E0A2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AF4" w:rsidRDefault="002E0A2F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AF4" w:rsidRDefault="002E0A2F">
            <w:pPr>
              <w:widowControl w:val="0"/>
              <w:spacing w:line="240" w:lineRule="auto"/>
            </w:pPr>
            <w:r>
              <w:t>4</w:t>
            </w:r>
          </w:p>
        </w:tc>
      </w:tr>
      <w:tr w:rsidR="00DD1AF4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AF4" w:rsidRDefault="002E0A2F">
            <w:pPr>
              <w:widowControl w:val="0"/>
              <w:spacing w:line="240" w:lineRule="auto"/>
            </w:pPr>
            <w:r>
              <w:t>5 cent stamps</w:t>
            </w:r>
          </w:p>
        </w:tc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AF4" w:rsidRDefault="002E0A2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AF4" w:rsidRDefault="002E0A2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AF4" w:rsidRDefault="002E0A2F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AF4" w:rsidRDefault="002E0A2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AF4" w:rsidRDefault="002E0A2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AF4" w:rsidRDefault="002E0A2F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AF4" w:rsidRDefault="002E0A2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AF4" w:rsidRDefault="002E0A2F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AF4" w:rsidRDefault="002E0A2F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AF4" w:rsidRDefault="002E0A2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AF4" w:rsidRDefault="002E0A2F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AF4" w:rsidRDefault="002E0A2F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AF4" w:rsidRDefault="002E0A2F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AF4" w:rsidRDefault="002E0A2F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AF4" w:rsidRDefault="002E0A2F">
            <w:pPr>
              <w:widowControl w:val="0"/>
              <w:spacing w:line="240" w:lineRule="auto"/>
            </w:pPr>
            <w:r>
              <w:t>2</w:t>
            </w:r>
          </w:p>
        </w:tc>
      </w:tr>
    </w:tbl>
    <w:p w:rsidR="00DD1AF4" w:rsidRDefault="00DD1AF4"/>
    <w:p w:rsidR="00DD1AF4" w:rsidRDefault="002E0A2F">
      <w:pPr>
        <w:numPr>
          <w:ilvl w:val="0"/>
          <w:numId w:val="2"/>
        </w:numPr>
        <w:contextualSpacing/>
      </w:pPr>
      <w:r>
        <w:t>First we can see that there are possible combinations of stamps for all amounts up to twenty-two cents.</w:t>
      </w:r>
    </w:p>
    <w:p w:rsidR="00DD1AF4" w:rsidRDefault="002E0A2F">
      <w:pPr>
        <w:numPr>
          <w:ilvl w:val="0"/>
          <w:numId w:val="2"/>
        </w:numPr>
        <w:contextualSpacing/>
      </w:pPr>
      <w:r>
        <w:t xml:space="preserve">Second, from the examples we can see two different patterns, a cycle of three and a cycle of five. Because there are surjective cycles, we can conclude </w:t>
      </w:r>
      <w:r>
        <w:t>that indeed, we can produce any amount greater than or equal to eight cents from a combination of three cent and five cent stamps.</w:t>
      </w:r>
    </w:p>
    <w:p w:rsidR="00DD1AF4" w:rsidRDefault="002E0A2F">
      <w:pPr>
        <w:numPr>
          <w:ilvl w:val="0"/>
          <w:numId w:val="2"/>
        </w:numPr>
        <w:contextualSpacing/>
      </w:pPr>
      <w:r>
        <w:t>We can choose the cycle of three to minimize use of five cent stamps or the cycle over five to minimize both three cent stamp</w:t>
      </w:r>
      <w:r>
        <w:t>s and overall number of stamps. We will show the later.</w:t>
      </w:r>
    </w:p>
    <w:p w:rsidR="00DD1AF4" w:rsidRDefault="00DD1AF4">
      <w:bookmarkStart w:id="0" w:name="_GoBack"/>
      <w:bookmarkEnd w:id="0"/>
    </w:p>
    <w:p w:rsidR="00DD1AF4" w:rsidRDefault="002E0A2F">
      <w:r>
        <w:t xml:space="preserve">Let </w:t>
      </w:r>
      <w:proofErr w:type="gramStart"/>
      <w:r>
        <w:t>S(</w:t>
      </w:r>
      <w:proofErr w:type="gramEnd"/>
      <w:r>
        <w:t>a</w:t>
      </w:r>
      <w:r>
        <w:rPr>
          <w:vertAlign w:val="subscript"/>
        </w:rPr>
        <w:t>n</w:t>
      </w:r>
      <w:r>
        <w:t>) = F</w:t>
      </w:r>
      <w:r>
        <w:t>(a</w:t>
      </w:r>
      <w:r>
        <w:rPr>
          <w:vertAlign w:val="subscript"/>
        </w:rPr>
        <w:t>n</w:t>
      </w:r>
      <w:r>
        <w:t>) + T</w:t>
      </w:r>
      <w:r>
        <w:t>(a</w:t>
      </w:r>
      <w:r>
        <w:rPr>
          <w:vertAlign w:val="subscript"/>
        </w:rPr>
        <w:t>n</w:t>
      </w:r>
      <w:r>
        <w:rPr>
          <w:rFonts w:ascii="Arial Unicode MS" w:eastAsia="Arial Unicode MS" w:hAnsi="Arial Unicode MS" w:cs="Arial Unicode MS"/>
        </w:rPr>
        <w:t>) for n ≥ 8  (finds total number of stamps)</w:t>
      </w:r>
    </w:p>
    <w:p w:rsidR="00DD1AF4" w:rsidRDefault="002E0A2F">
      <w:proofErr w:type="gramStart"/>
      <w:r>
        <w:t>F</w:t>
      </w:r>
      <w:r>
        <w:t>(</w:t>
      </w:r>
      <w:proofErr w:type="gramEnd"/>
      <w:r>
        <w:t>a</w:t>
      </w:r>
      <w:r>
        <w:rPr>
          <w:vertAlign w:val="subscript"/>
        </w:rPr>
        <w:t>n</w:t>
      </w:r>
      <w:r>
        <w:t>) = F</w:t>
      </w:r>
      <w:r>
        <w:t>(a</w:t>
      </w:r>
      <w:r>
        <w:rPr>
          <w:vertAlign w:val="subscript"/>
        </w:rPr>
        <w:t>n–5</w:t>
      </w:r>
      <w:r>
        <w:t>) + 1; (finds number of five cent stamps)</w:t>
      </w:r>
    </w:p>
    <w:p w:rsidR="00DD1AF4" w:rsidRDefault="002E0A2F">
      <w:pPr>
        <w:ind w:firstLine="720"/>
      </w:pPr>
      <w:r>
        <w:t xml:space="preserve">With base cases: </w:t>
      </w:r>
      <w:proofErr w:type="gramStart"/>
      <w:r>
        <w:t>F(</w:t>
      </w:r>
      <w:proofErr w:type="gramEnd"/>
      <w:r>
        <w:t>8) = 1; F(9) = 0; F(10) = 2; F(11)</w:t>
      </w:r>
      <w:r>
        <w:t xml:space="preserve"> = 1; F(12)</w:t>
      </w:r>
      <w:r>
        <w:t xml:space="preserve"> = 0</w:t>
      </w:r>
    </w:p>
    <w:p w:rsidR="00DD1AF4" w:rsidRDefault="002E0A2F">
      <w:proofErr w:type="gramStart"/>
      <w:r>
        <w:t>T</w:t>
      </w:r>
      <w:r>
        <w:t>(</w:t>
      </w:r>
      <w:proofErr w:type="gramEnd"/>
      <w:r>
        <w:t>a</w:t>
      </w:r>
      <w:r>
        <w:rPr>
          <w:vertAlign w:val="subscript"/>
        </w:rPr>
        <w:t>n</w:t>
      </w:r>
      <w:r>
        <w:t>) = T</w:t>
      </w:r>
      <w:r>
        <w:t>(a</w:t>
      </w:r>
      <w:r>
        <w:rPr>
          <w:vertAlign w:val="subscript"/>
        </w:rPr>
        <w:t>n–5</w:t>
      </w:r>
      <w:r>
        <w:t>);       (finds number of three cent stamps)</w:t>
      </w:r>
    </w:p>
    <w:p w:rsidR="00DD1AF4" w:rsidRDefault="002E0A2F">
      <w:pPr>
        <w:ind w:firstLine="720"/>
      </w:pPr>
      <w:r>
        <w:t xml:space="preserve">With base cases: </w:t>
      </w:r>
      <w:proofErr w:type="gramStart"/>
      <w:r>
        <w:t>T(</w:t>
      </w:r>
      <w:proofErr w:type="gramEnd"/>
      <w:r>
        <w:t>8)</w:t>
      </w:r>
      <w:r>
        <w:t xml:space="preserve"> = 1; T(9)</w:t>
      </w:r>
      <w:r>
        <w:t xml:space="preserve"> = 3; T(10)</w:t>
      </w:r>
      <w:r>
        <w:t xml:space="preserve"> = 0; T(11) = 2; T(12)</w:t>
      </w:r>
      <w:r>
        <w:t xml:space="preserve"> = 4      </w:t>
      </w:r>
      <w:r>
        <w:tab/>
      </w:r>
    </w:p>
    <w:p w:rsidR="00DD1AF4" w:rsidRDefault="00DD1AF4"/>
    <w:sectPr w:rsidR="00DD1AF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468C3"/>
    <w:multiLevelType w:val="multilevel"/>
    <w:tmpl w:val="A8E03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BE02FCE"/>
    <w:multiLevelType w:val="multilevel"/>
    <w:tmpl w:val="4EA68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1AF4"/>
    <w:rsid w:val="002E0A2F"/>
    <w:rsid w:val="00DD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0A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A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0A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A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 Talada</cp:lastModifiedBy>
  <cp:revision>2</cp:revision>
  <dcterms:created xsi:type="dcterms:W3CDTF">2018-02-16T04:13:00Z</dcterms:created>
  <dcterms:modified xsi:type="dcterms:W3CDTF">2018-02-16T04:20:00Z</dcterms:modified>
</cp:coreProperties>
</file>