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FDEA" w14:textId="01374B45" w:rsidR="00D4724E" w:rsidRDefault="00D4724E" w:rsidP="00D4724E">
      <w:r>
        <w:t xml:space="preserve">This research </w:t>
      </w:r>
      <w:r>
        <w:t>provid</w:t>
      </w:r>
      <w:r>
        <w:t>es</w:t>
      </w:r>
      <w:r>
        <w:t xml:space="preserve"> an innovative solution to a critical problem in automotive radar technology</w:t>
      </w:r>
      <w:r>
        <w:t xml:space="preserve">. </w:t>
      </w:r>
      <w:r>
        <w:t xml:space="preserve">In this research, our </w:t>
      </w:r>
      <w:proofErr w:type="gramStart"/>
      <w:r>
        <w:t>main focus</w:t>
      </w:r>
      <w:proofErr w:type="gramEnd"/>
      <w:r>
        <w:t xml:space="preserve"> is to address the significant issue of self-interference in FMCW 77GHz radar systems, a problem often leading to receiver saturation and nonlinearity. To tackle this challenge, we've designed a specialized self-interference cancellation circuit tailored for shared W-band (77-81 GHz) antennas in automotive FMCW radar applications. Our approach encompasses various techniques in the antenna and RF domains to effectively reduce self-interference signals</w:t>
      </w:r>
      <w:r>
        <w:t xml:space="preserve"> through </w:t>
      </w:r>
      <w:r>
        <w:t>segregating transmitted (TX) and received (RX) signals into common and differential modes</w:t>
      </w:r>
      <w:r>
        <w:t>.</w:t>
      </w:r>
    </w:p>
    <w:p w14:paraId="2A604A1F" w14:textId="77777777" w:rsidR="00D4724E" w:rsidRDefault="00D4724E" w:rsidP="00D4724E"/>
    <w:sectPr w:rsidR="00D4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43"/>
    <w:rsid w:val="000F4043"/>
    <w:rsid w:val="00552128"/>
    <w:rsid w:val="00655CFF"/>
    <w:rsid w:val="00965BA4"/>
    <w:rsid w:val="009D261E"/>
    <w:rsid w:val="00B577F8"/>
    <w:rsid w:val="00D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54E9"/>
  <w15:chartTrackingRefBased/>
  <w15:docId w15:val="{48AAD796-6EE2-4FDB-BA0C-2E705BB0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akbar</dc:creator>
  <cp:keywords/>
  <dc:description/>
  <cp:lastModifiedBy>noyan akbar</cp:lastModifiedBy>
  <cp:revision>4</cp:revision>
  <dcterms:created xsi:type="dcterms:W3CDTF">2023-10-26T14:20:00Z</dcterms:created>
  <dcterms:modified xsi:type="dcterms:W3CDTF">2023-10-26T15:48:00Z</dcterms:modified>
</cp:coreProperties>
</file>