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22"/>
        <w:gridCol w:w="206"/>
        <w:gridCol w:w="3033"/>
        <w:gridCol w:w="408"/>
        <w:gridCol w:w="111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5000" w:type="pct"/>
            <w:gridSpan w:val="7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2"/>
              <w:rPr>
                <w:spacing w:val="20"/>
                <w:szCs w:val="22"/>
                <w:lang w:val="en-GB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-1024255</wp:posOffset>
                  </wp:positionH>
                  <wp:positionV relativeFrom="paragraph">
                    <wp:posOffset>-179070</wp:posOffset>
                  </wp:positionV>
                  <wp:extent cx="897890" cy="897890"/>
                  <wp:effectExtent l="19050" t="0" r="0" b="0"/>
                  <wp:wrapSquare wrapText="bothSides"/>
                  <wp:docPr id="2" name="Picture 2" descr="IIUM_logo_bw_t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IUM_logo_bw_t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90" cy="897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"/>
              <w:jc w:val="center"/>
              <w:rPr>
                <w:spacing w:val="10"/>
                <w:sz w:val="26"/>
                <w:szCs w:val="26"/>
                <w:lang w:val="en-GB"/>
              </w:rPr>
            </w:pPr>
            <w:r>
              <w:rPr>
                <w:spacing w:val="10"/>
                <w:sz w:val="26"/>
                <w:szCs w:val="26"/>
                <w:lang w:val="en-GB"/>
              </w:rPr>
              <w:t>INTERNATIONAL ISLAMIC UNIVERSITY MALAYSIA</w:t>
            </w:r>
          </w:p>
          <w:p>
            <w:pPr>
              <w:pStyle w:val="2"/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COURSE OUTLINE</w:t>
            </w:r>
          </w:p>
          <w:p>
            <w:pPr>
              <w:pStyle w:val="2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5000" w:type="pct"/>
            <w:gridSpan w:val="7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"/>
                <w:szCs w:val="2"/>
                <w:lang w:val="en-GB"/>
              </w:rPr>
            </w:pPr>
          </w:p>
          <w:p>
            <w:pPr>
              <w:rPr>
                <w:sz w:val="2"/>
                <w:szCs w:val="2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732" w:type="pct"/>
            <w:gridSpan w:val="3"/>
            <w:tcBorders>
              <w:top w:val="single" w:color="auto" w:sz="4" w:space="0"/>
            </w:tcBorders>
            <w:vAlign w:val="center"/>
          </w:tcPr>
          <w:p>
            <w:pPr>
              <w:pStyle w:val="2"/>
              <w:ind w:left="-18" w:right="-108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Kulliyyah / Institute</w:t>
            </w:r>
          </w:p>
        </w:tc>
        <w:tc>
          <w:tcPr>
            <w:tcW w:w="3267" w:type="pct"/>
            <w:gridSpan w:val="4"/>
            <w:tcBorders>
              <w:top w:val="single" w:color="auto" w:sz="4" w:space="0"/>
            </w:tcBorders>
            <w:vAlign w:val="center"/>
          </w:tcPr>
          <w:p>
            <w:pPr>
              <w:pStyle w:val="2"/>
              <w:rPr>
                <w:b w:val="0"/>
                <w:bCs/>
                <w:szCs w:val="24"/>
                <w:lang w:val="en-GB"/>
              </w:rPr>
            </w:pPr>
            <w:r>
              <w:rPr>
                <w:b w:val="0"/>
                <w:bCs/>
                <w:szCs w:val="24"/>
                <w:lang w:val="en-GB"/>
              </w:rPr>
              <w:t>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732" w:type="pct"/>
            <w:gridSpan w:val="3"/>
            <w:vAlign w:val="center"/>
          </w:tcPr>
          <w:p>
            <w:pPr>
              <w:pStyle w:val="2"/>
              <w:ind w:left="-18" w:right="-108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Department / Centre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pStyle w:val="2"/>
              <w:rPr>
                <w:b w:val="0"/>
                <w:bCs/>
                <w:szCs w:val="24"/>
                <w:lang w:val="en-GB"/>
              </w:rPr>
            </w:pPr>
            <w:r>
              <w:rPr>
                <w:b w:val="0"/>
                <w:bCs/>
                <w:szCs w:val="24"/>
                <w:lang w:val="en-GB"/>
              </w:rPr>
              <w:t>Mechatronics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732" w:type="pct"/>
            <w:gridSpan w:val="3"/>
            <w:vAlign w:val="center"/>
          </w:tcPr>
          <w:p>
            <w:pPr>
              <w:pStyle w:val="2"/>
              <w:ind w:left="-18" w:right="-108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Programme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B. Eng (Mechatronics) (Honours)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 of Course / Mode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Embedded Systems /Full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Course Code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MCT 4342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 (s) of Academic staff / Instructor(s)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lang w:val="en-GB"/>
              </w:rPr>
            </w:pPr>
            <w:r>
              <w:rPr>
                <w:bCs/>
              </w:rPr>
              <w:t>Dr. Amir Akramin Shafie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Rationale for the inclusion of the course / module in the programme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Elective course for Mechatronics Engineering Programme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Semester and Year Offered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Every Semester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Status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Level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Proposed Start Date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Sem 1 – 2016/2017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Batch of Student to be Affected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5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Student Learning Time (SLT)</w:t>
            </w:r>
          </w:p>
        </w:tc>
        <w:tc>
          <w:tcPr>
            <w:tcW w:w="3267" w:type="pct"/>
            <w:gridSpan w:val="4"/>
            <w:vAlign w:val="center"/>
          </w:tcPr>
          <w:tbl>
            <w:tblPr>
              <w:tblStyle w:val="6"/>
              <w:tblW w:w="5220" w:type="dxa"/>
              <w:tblInd w:w="51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40"/>
              <w:gridCol w:w="540"/>
              <w:gridCol w:w="540"/>
              <w:gridCol w:w="810"/>
              <w:gridCol w:w="900"/>
              <w:gridCol w:w="719"/>
              <w:gridCol w:w="11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0" w:type="dxa"/>
                  <w:gridSpan w:val="3"/>
                  <w:shd w:val="clear" w:color="auto" w:fill="F2F2F2"/>
                </w:tcPr>
                <w:p>
                  <w:pPr>
                    <w:jc w:val="center"/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Face to Face</w:t>
                  </w:r>
                </w:p>
              </w:tc>
              <w:tc>
                <w:tcPr>
                  <w:tcW w:w="1710" w:type="dxa"/>
                  <w:gridSpan w:val="2"/>
                  <w:shd w:val="clear" w:color="auto" w:fill="F2F2F2"/>
                </w:tcPr>
                <w:p>
                  <w:pPr>
                    <w:ind w:left="113" w:right="113"/>
                    <w:jc w:val="center"/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Assessments</w:t>
                  </w:r>
                </w:p>
              </w:tc>
              <w:tc>
                <w:tcPr>
                  <w:tcW w:w="719" w:type="dxa"/>
                  <w:vMerge w:val="restart"/>
                  <w:textDirection w:val="btLr"/>
                </w:tcPr>
                <w:p>
                  <w:pPr>
                    <w:ind w:left="113" w:right="113"/>
                    <w:jc w:val="center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Independent Learning</w:t>
                  </w:r>
                </w:p>
              </w:tc>
              <w:tc>
                <w:tcPr>
                  <w:tcW w:w="1171" w:type="dxa"/>
                  <w:vMerge w:val="restart"/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 xml:space="preserve">Total Student Learning Time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187" w:hRule="atLeast"/>
              </w:trPr>
              <w:tc>
                <w:tcPr>
                  <w:tcW w:w="540" w:type="dxa"/>
                  <w:textDirection w:val="btLr"/>
                  <w:vAlign w:val="center"/>
                </w:tcPr>
                <w:p>
                  <w:pPr>
                    <w:ind w:left="113" w:right="113"/>
                    <w:jc w:val="center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Lecture</w:t>
                  </w:r>
                </w:p>
              </w:tc>
              <w:tc>
                <w:tcPr>
                  <w:tcW w:w="540" w:type="dxa"/>
                  <w:textDirection w:val="btLr"/>
                  <w:vAlign w:val="center"/>
                </w:tcPr>
                <w:p>
                  <w:pPr>
                    <w:ind w:left="113" w:right="113"/>
                    <w:jc w:val="center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Tutorial</w:t>
                  </w:r>
                </w:p>
              </w:tc>
              <w:tc>
                <w:tcPr>
                  <w:tcW w:w="540" w:type="dxa"/>
                  <w:textDirection w:val="btLr"/>
                  <w:vAlign w:val="center"/>
                </w:tcPr>
                <w:p>
                  <w:pPr>
                    <w:ind w:left="113" w:right="113"/>
                    <w:jc w:val="center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Practical</w:t>
                  </w:r>
                </w:p>
              </w:tc>
              <w:tc>
                <w:tcPr>
                  <w:tcW w:w="810" w:type="dxa"/>
                  <w:textDirection w:val="btLr"/>
                  <w:vAlign w:val="center"/>
                </w:tcPr>
                <w:p>
                  <w:pPr>
                    <w:ind w:left="113" w:right="113"/>
                    <w:jc w:val="center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Midterm</w:t>
                  </w:r>
                </w:p>
              </w:tc>
              <w:tc>
                <w:tcPr>
                  <w:tcW w:w="900" w:type="dxa"/>
                  <w:textDirection w:val="btLr"/>
                  <w:vAlign w:val="center"/>
                </w:tcPr>
                <w:p>
                  <w:pPr>
                    <w:ind w:left="113" w:right="113"/>
                    <w:jc w:val="center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Final</w:t>
                  </w:r>
                </w:p>
              </w:tc>
              <w:tc>
                <w:tcPr>
                  <w:tcW w:w="719" w:type="dxa"/>
                  <w:vMerge w:val="continue"/>
                  <w:textDirection w:val="btLr"/>
                </w:tcPr>
                <w:p>
                  <w:pPr>
                    <w:ind w:left="113" w:right="113"/>
                    <w:jc w:val="center"/>
                    <w:rPr>
                      <w:bCs/>
                      <w:lang w:val="en-GB"/>
                    </w:rPr>
                  </w:pPr>
                </w:p>
              </w:tc>
              <w:tc>
                <w:tcPr>
                  <w:tcW w:w="1171" w:type="dxa"/>
                  <w:vMerge w:val="continue"/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b/>
                      <w:bCs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0" w:type="dxa"/>
                  <w:vAlign w:val="center"/>
                </w:tcPr>
                <w:p>
                  <w:pPr>
                    <w:jc w:val="center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42</w:t>
                  </w:r>
                </w:p>
              </w:tc>
              <w:tc>
                <w:tcPr>
                  <w:tcW w:w="540" w:type="dxa"/>
                  <w:vAlign w:val="center"/>
                </w:tcPr>
                <w:p>
                  <w:pPr>
                    <w:jc w:val="center"/>
                    <w:rPr>
                      <w:bCs/>
                      <w:lang w:val="en-GB"/>
                    </w:rPr>
                  </w:pPr>
                </w:p>
              </w:tc>
              <w:tc>
                <w:tcPr>
                  <w:tcW w:w="540" w:type="dxa"/>
                </w:tcPr>
                <w:p>
                  <w:pPr>
                    <w:jc w:val="center"/>
                    <w:rPr>
                      <w:bCs/>
                      <w:lang w:val="en-GB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jc w:val="center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900" w:type="dxa"/>
                  <w:vAlign w:val="center"/>
                </w:tcPr>
                <w:p>
                  <w:pPr>
                    <w:jc w:val="center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3</w:t>
                  </w:r>
                </w:p>
              </w:tc>
              <w:tc>
                <w:tcPr>
                  <w:tcW w:w="719" w:type="dxa"/>
                  <w:vAlign w:val="center"/>
                </w:tcPr>
                <w:p>
                  <w:pPr>
                    <w:jc w:val="center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73</w:t>
                  </w:r>
                </w:p>
              </w:tc>
              <w:tc>
                <w:tcPr>
                  <w:tcW w:w="1171" w:type="dxa"/>
                  <w:vAlign w:val="center"/>
                </w:tcPr>
                <w:p>
                  <w:pPr>
                    <w:jc w:val="center"/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120</w:t>
                  </w:r>
                </w:p>
              </w:tc>
            </w:tr>
          </w:tbl>
          <w:p>
            <w:pPr>
              <w:rPr>
                <w:bCs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Credit Value / Hours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3/120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Cs/>
                <w:i/>
                <w:lang w:val="en-GB"/>
              </w:rPr>
            </w:pPr>
            <w:r>
              <w:rPr>
                <w:b/>
                <w:lang w:val="en-GB"/>
              </w:rPr>
              <w:t xml:space="preserve">Pre-requisites </w:t>
            </w:r>
            <w:r>
              <w:rPr>
                <w:bCs/>
                <w:i/>
                <w:lang w:val="en-GB"/>
              </w:rPr>
              <w:t>(if any)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Cs/>
                <w:i/>
                <w:lang w:val="en-GB"/>
              </w:rPr>
            </w:pPr>
            <w:r>
              <w:rPr>
                <w:b/>
                <w:lang w:val="en-GB"/>
              </w:rPr>
              <w:t xml:space="preserve">Co-requisites </w:t>
            </w:r>
            <w:r>
              <w:rPr>
                <w:bCs/>
                <w:i/>
                <w:lang w:val="en-GB"/>
              </w:rPr>
              <w:t>(if any)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Course Objectives</w:t>
            </w:r>
          </w:p>
        </w:tc>
        <w:tc>
          <w:tcPr>
            <w:tcW w:w="3267" w:type="pct"/>
            <w:gridSpan w:val="4"/>
          </w:tcPr>
          <w:p>
            <w:pPr>
              <w:tabs>
                <w:tab w:val="left" w:pos="-2034"/>
                <w:tab w:val="left" w:pos="756"/>
              </w:tabs>
              <w:snapToGrid w:val="0"/>
            </w:pPr>
            <w:r>
              <w:t>The objectives of this course are to:</w:t>
            </w:r>
          </w:p>
          <w:p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Introduce the concept of embedded system in a mechatronic application and its related design issues.</w:t>
            </w:r>
          </w:p>
          <w:p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Expose students to methods of writing embedded software system for mechatronics application.</w:t>
            </w:r>
          </w:p>
          <w:p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Familiarize students with techniques to build the hardware element in an embedded system.</w:t>
            </w:r>
          </w:p>
          <w:p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Expose students to usage of embedded system in mechatronic application in industry.</w:t>
            </w:r>
          </w:p>
          <w:p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Foster the spirit of team work through design process.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Learning Outcomes</w:t>
            </w:r>
          </w:p>
        </w:tc>
        <w:tc>
          <w:tcPr>
            <w:tcW w:w="3267" w:type="pct"/>
            <w:gridSpan w:val="4"/>
          </w:tcPr>
          <w:p>
            <w:pPr>
              <w:tabs>
                <w:tab w:val="left" w:pos="-2250"/>
                <w:tab w:val="left" w:pos="540"/>
              </w:tabs>
              <w:snapToGrid w:val="0"/>
            </w:pPr>
            <w:r>
              <w:t xml:space="preserve">Upon completion of the course students should be able to: </w:t>
            </w:r>
          </w:p>
          <w:p>
            <w:pPr>
              <w:numPr>
                <w:ilvl w:val="0"/>
                <w:numId w:val="2"/>
              </w:numPr>
              <w:jc w:val="both"/>
              <w:rPr>
                <w:bCs/>
                <w:lang w:val="en-GB"/>
              </w:rPr>
            </w:pPr>
            <w:bookmarkStart w:id="0" w:name="_GoBack"/>
            <w:r>
              <w:rPr>
                <w:bCs/>
                <w:lang w:val="en-GB"/>
              </w:rPr>
              <w:t xml:space="preserve">Explain the basic elements and major issues involved in developing embedded system for mechatronic systems. </w:t>
            </w:r>
          </w:p>
          <w:p>
            <w:pPr>
              <w:numPr>
                <w:ilvl w:val="0"/>
                <w:numId w:val="2"/>
              </w:numPr>
              <w:jc w:val="both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Design embedded system based on a typical mechatronic application which includes interfaces with sensors and actuators </w:t>
            </w:r>
          </w:p>
          <w:p>
            <w:pPr>
              <w:numPr>
                <w:ilvl w:val="0"/>
                <w:numId w:val="2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Develop program for targeted microcontroller application.</w:t>
            </w:r>
          </w:p>
          <w:p>
            <w:pPr>
              <w:numPr>
                <w:ilvl w:val="0"/>
                <w:numId w:val="2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Select a specific embedded system based on specification for mechatronic application. </w:t>
            </w:r>
          </w:p>
          <w:bookmarkEnd w:id="0"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Transferable Skills: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i/>
                <w:lang w:val="en-GB"/>
              </w:rPr>
            </w:pPr>
            <w:r>
              <w:rPr>
                <w:bCs/>
                <w:i/>
                <w:lang w:val="en-GB"/>
              </w:rPr>
              <w:t>Skills and how they are developed and assessed:</w:t>
            </w:r>
          </w:p>
          <w:tbl>
            <w:tblPr>
              <w:tblStyle w:val="6"/>
              <w:tblW w:w="645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9"/>
              <w:gridCol w:w="1808"/>
              <w:gridCol w:w="25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9" w:type="dxa"/>
                  <w:shd w:val="clear" w:color="auto" w:fill="F2F2F2"/>
                </w:tcPr>
                <w:p>
                  <w:pPr>
                    <w:jc w:val="center"/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Skills</w:t>
                  </w:r>
                </w:p>
              </w:tc>
              <w:tc>
                <w:tcPr>
                  <w:tcW w:w="1808" w:type="dxa"/>
                  <w:shd w:val="clear" w:color="auto" w:fill="F2F2F2"/>
                </w:tcPr>
                <w:p>
                  <w:pPr>
                    <w:jc w:val="center"/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Development</w:t>
                  </w:r>
                </w:p>
              </w:tc>
              <w:tc>
                <w:tcPr>
                  <w:tcW w:w="2520" w:type="dxa"/>
                  <w:shd w:val="clear" w:color="auto" w:fill="F2F2F2"/>
                </w:tcPr>
                <w:p>
                  <w:pPr>
                    <w:jc w:val="center"/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Assessment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9" w:type="dxa"/>
                </w:tcPr>
                <w:p>
                  <w:p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Technical</w:t>
                  </w:r>
                </w:p>
              </w:tc>
              <w:tc>
                <w:tcPr>
                  <w:tcW w:w="1808" w:type="dxa"/>
                </w:tcPr>
                <w:p>
                  <w:p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Lectures</w:t>
                  </w:r>
                </w:p>
              </w:tc>
              <w:tc>
                <w:tcPr>
                  <w:tcW w:w="2520" w:type="dxa"/>
                </w:tcPr>
                <w:p>
                  <w:p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Written Assessment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9" w:type="dxa"/>
                </w:tcPr>
                <w:p>
                  <w:p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Analytical</w:t>
                  </w:r>
                </w:p>
              </w:tc>
              <w:tc>
                <w:tcPr>
                  <w:tcW w:w="1808" w:type="dxa"/>
                </w:tcPr>
                <w:p>
                  <w:p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Projects</w:t>
                  </w:r>
                </w:p>
              </w:tc>
              <w:tc>
                <w:tcPr>
                  <w:tcW w:w="2520" w:type="dxa"/>
                </w:tcPr>
                <w:p>
                  <w:p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 xml:space="preserve">Report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9" w:type="dxa"/>
                </w:tcPr>
                <w:p>
                  <w:pPr>
                    <w:rPr>
                      <w:bCs/>
                      <w:lang w:val="en-GB"/>
                    </w:rPr>
                  </w:pPr>
                </w:p>
              </w:tc>
              <w:tc>
                <w:tcPr>
                  <w:tcW w:w="1808" w:type="dxa"/>
                </w:tcPr>
                <w:p>
                  <w:pPr>
                    <w:rPr>
                      <w:bCs/>
                      <w:lang w:val="en-GB"/>
                    </w:rPr>
                  </w:pPr>
                </w:p>
              </w:tc>
              <w:tc>
                <w:tcPr>
                  <w:tcW w:w="2520" w:type="dxa"/>
                </w:tcPr>
                <w:p>
                  <w:pPr>
                    <w:rPr>
                      <w:bCs/>
                      <w:i/>
                      <w:strike/>
                      <w:lang w:val="en-GB"/>
                    </w:rPr>
                  </w:pPr>
                </w:p>
              </w:tc>
            </w:tr>
          </w:tbl>
          <w:p>
            <w:pPr>
              <w:rPr>
                <w:bCs/>
                <w:i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Teaching-Learning and assessment strategy</w:t>
            </w:r>
          </w:p>
        </w:tc>
        <w:tc>
          <w:tcPr>
            <w:tcW w:w="3267" w:type="pct"/>
            <w:gridSpan w:val="4"/>
            <w:vAlign w:val="center"/>
          </w:tcPr>
          <w:p>
            <w:pPr>
              <w:rPr>
                <w:bCs/>
                <w:i/>
                <w:lang w:val="en-GB"/>
              </w:rPr>
            </w:pPr>
            <w:r>
              <w:rPr>
                <w:bCs/>
                <w:lang w:val="en-GB"/>
              </w:rPr>
              <w:t>Lectures, Projects report and Quizzes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Course Synopsis</w:t>
            </w:r>
          </w:p>
        </w:tc>
        <w:tc>
          <w:tcPr>
            <w:tcW w:w="3267" w:type="pct"/>
            <w:gridSpan w:val="4"/>
          </w:tcPr>
          <w:p>
            <w:pPr>
              <w:jc w:val="both"/>
              <w:rPr>
                <w:bCs/>
              </w:rPr>
            </w:pPr>
            <w:r>
              <w:rPr>
                <w:lang w:val="en-GB"/>
              </w:rPr>
              <w:t>Mechatronic applications and embedded system, PIC 18Fxx2,  Assembly language programming : sign and unsigned operations, subroutines, stacks and pointers, C Languge programming: compilation, state machine programming, LED/switch, Inputs and outputs, parallel port operation, IO Channels, interrupt and timers, PWM, waveform generation, digital communication protocol, USB introduction, digital thermometer, autonomous robots.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Mode of Delivery</w:t>
            </w:r>
          </w:p>
        </w:tc>
        <w:tc>
          <w:tcPr>
            <w:tcW w:w="3267" w:type="pct"/>
            <w:gridSpan w:val="4"/>
            <w:vAlign w:val="center"/>
          </w:tcPr>
          <w:p>
            <w:r>
              <w:t>Lecture, Tutorial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</w:trPr>
        <w:tc>
          <w:tcPr>
            <w:tcW w:w="1732" w:type="pct"/>
            <w:gridSpan w:val="3"/>
            <w:vAlign w:val="center"/>
          </w:tcPr>
          <w:p>
            <w:pPr>
              <w:ind w:left="-18" w:right="-1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Assessment Methods and Type/Course Assessement</w:t>
            </w:r>
          </w:p>
          <w:p>
            <w:pPr>
              <w:ind w:left="-18" w:right="-108"/>
              <w:rPr>
                <w:bCs/>
                <w:i/>
                <w:lang w:val="en-GB"/>
              </w:rPr>
            </w:pPr>
            <w:r>
              <w:rPr>
                <w:bCs/>
                <w:lang w:val="en-GB"/>
              </w:rPr>
              <w:t>State weightage of each type of assessment.</w:t>
            </w:r>
          </w:p>
        </w:tc>
        <w:tc>
          <w:tcPr>
            <w:tcW w:w="3267" w:type="pct"/>
            <w:gridSpan w:val="4"/>
          </w:tcPr>
          <w:tbl>
            <w:tblPr>
              <w:tblStyle w:val="6"/>
              <w:tblpPr w:leftFromText="180" w:rightFromText="180" w:vertAnchor="page" w:horzAnchor="margin" w:tblpX="165" w:tblpY="106"/>
              <w:tblOverlap w:val="never"/>
              <w:tblW w:w="59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3"/>
              <w:gridCol w:w="4032"/>
              <w:gridCol w:w="7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2" w:hRule="atLeast"/>
              </w:trPr>
              <w:tc>
                <w:tcPr>
                  <w:tcW w:w="1183" w:type="dxa"/>
                  <w:shd w:val="clear" w:color="auto" w:fill="F2F2F2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LO</w:t>
                  </w:r>
                </w:p>
              </w:tc>
              <w:tc>
                <w:tcPr>
                  <w:tcW w:w="4032" w:type="dxa"/>
                  <w:shd w:val="clear" w:color="auto" w:fill="F2F2F2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Method</w:t>
                  </w:r>
                </w:p>
              </w:tc>
              <w:tc>
                <w:tcPr>
                  <w:tcW w:w="720" w:type="dxa"/>
                  <w:shd w:val="clear" w:color="auto" w:fill="F2F2F2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83" w:type="dxa"/>
                </w:tcPr>
                <w:p>
                  <w:pPr>
                    <w:tabs>
                      <w:tab w:val="right" w:pos="2232"/>
                    </w:tabs>
                    <w:snapToGrid w:val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1,2,3,4</w:t>
                  </w:r>
                </w:p>
              </w:tc>
              <w:tc>
                <w:tcPr>
                  <w:tcW w:w="4032" w:type="dxa"/>
                  <w:vAlign w:val="center"/>
                </w:tcPr>
                <w:p>
                  <w:pPr>
                    <w:tabs>
                      <w:tab w:val="right" w:pos="2232"/>
                    </w:tabs>
                    <w:snapToGrid w:val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Quiz</w:t>
                  </w:r>
                </w:p>
              </w:tc>
              <w:tc>
                <w:tcPr>
                  <w:tcW w:w="720" w:type="dxa"/>
                </w:tcPr>
                <w:p>
                  <w:pPr>
                    <w:tabs>
                      <w:tab w:val="right" w:pos="2232"/>
                    </w:tabs>
                    <w:snapToGrid w:val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83" w:type="dxa"/>
                </w:tcPr>
                <w:p>
                  <w:pPr>
                    <w:tabs>
                      <w:tab w:val="right" w:pos="2232"/>
                    </w:tabs>
                    <w:snapToGrid w:val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1,2,3,4,5</w:t>
                  </w:r>
                </w:p>
              </w:tc>
              <w:tc>
                <w:tcPr>
                  <w:tcW w:w="4032" w:type="dxa"/>
                  <w:vAlign w:val="center"/>
                </w:tcPr>
                <w:p>
                  <w:pPr>
                    <w:tabs>
                      <w:tab w:val="right" w:pos="2232"/>
                    </w:tabs>
                    <w:snapToGrid w:val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Assignments</w:t>
                  </w:r>
                </w:p>
              </w:tc>
              <w:tc>
                <w:tcPr>
                  <w:tcW w:w="720" w:type="dxa"/>
                </w:tcPr>
                <w:p>
                  <w:pPr>
                    <w:tabs>
                      <w:tab w:val="right" w:pos="2232"/>
                    </w:tabs>
                    <w:snapToGrid w:val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83" w:type="dxa"/>
                </w:tcPr>
                <w:p>
                  <w:pPr>
                    <w:tabs>
                      <w:tab w:val="right" w:pos="2232"/>
                    </w:tabs>
                    <w:snapToGrid w:val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1,2,3</w:t>
                  </w:r>
                </w:p>
              </w:tc>
              <w:tc>
                <w:tcPr>
                  <w:tcW w:w="4032" w:type="dxa"/>
                  <w:vAlign w:val="center"/>
                </w:tcPr>
                <w:p>
                  <w:pPr>
                    <w:tabs>
                      <w:tab w:val="right" w:pos="2232"/>
                    </w:tabs>
                    <w:snapToGrid w:val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Mid-term Examination</w:t>
                  </w:r>
                </w:p>
              </w:tc>
              <w:tc>
                <w:tcPr>
                  <w:tcW w:w="720" w:type="dxa"/>
                </w:tcPr>
                <w:p>
                  <w:pPr>
                    <w:tabs>
                      <w:tab w:val="right" w:pos="2232"/>
                    </w:tabs>
                    <w:snapToGrid w:val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83" w:type="dxa"/>
                </w:tcPr>
                <w:p>
                  <w:pPr>
                    <w:tabs>
                      <w:tab w:val="right" w:pos="2232"/>
                    </w:tabs>
                    <w:snapToGrid w:val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1,2,3,4</w:t>
                  </w:r>
                </w:p>
              </w:tc>
              <w:tc>
                <w:tcPr>
                  <w:tcW w:w="4032" w:type="dxa"/>
                  <w:vAlign w:val="center"/>
                </w:tcPr>
                <w:p>
                  <w:pPr>
                    <w:tabs>
                      <w:tab w:val="right" w:pos="2232"/>
                    </w:tabs>
                    <w:snapToGrid w:val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Final Examination</w:t>
                  </w:r>
                </w:p>
              </w:tc>
              <w:tc>
                <w:tcPr>
                  <w:tcW w:w="720" w:type="dxa"/>
                </w:tcPr>
                <w:p>
                  <w:pPr>
                    <w:tabs>
                      <w:tab w:val="right" w:pos="2232"/>
                    </w:tabs>
                    <w:snapToGrid w:val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40</w:t>
                  </w:r>
                </w:p>
              </w:tc>
            </w:tr>
          </w:tbl>
          <w:p>
            <w:pPr>
              <w:rPr>
                <w:bCs/>
                <w:i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jc w:val="center"/>
            </w:pPr>
            <w:r>
              <w:rPr>
                <w:b/>
                <w:lang w:val="en-GB"/>
              </w:rPr>
              <w:t>Mapping of course / module to the Programme Learning Outcomes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vAlign w:val="center"/>
          </w:tcPr>
          <w:tbl>
            <w:tblPr>
              <w:tblStyle w:val="6"/>
              <w:tblW w:w="927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62"/>
              <w:gridCol w:w="374"/>
              <w:gridCol w:w="374"/>
              <w:gridCol w:w="374"/>
              <w:gridCol w:w="334"/>
              <w:gridCol w:w="374"/>
              <w:gridCol w:w="335"/>
              <w:gridCol w:w="335"/>
              <w:gridCol w:w="335"/>
              <w:gridCol w:w="374"/>
              <w:gridCol w:w="335"/>
              <w:gridCol w:w="335"/>
              <w:gridCol w:w="3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62" w:type="dxa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t>Learning Outcome of the course</w:t>
                  </w:r>
                </w:p>
              </w:tc>
              <w:tc>
                <w:tcPr>
                  <w:tcW w:w="4214" w:type="dxa"/>
                  <w:gridSpan w:val="12"/>
                </w:tcPr>
                <w:p>
                  <w:pPr>
                    <w:jc w:val="center"/>
                  </w:pPr>
                  <w:r>
                    <w:t>Programme Outcomes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62" w:type="dxa"/>
                  <w:vMerge w:val="continue"/>
                </w:tcPr>
                <w:p>
                  <w:pPr>
                    <w:rPr>
                      <w:sz w:val="14"/>
                    </w:rPr>
                  </w:pP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ind w:left="-107" w:right="-129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01</w:t>
                  </w: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ind w:left="-107" w:right="-129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02</w:t>
                  </w: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ind w:left="-107" w:right="-129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03</w:t>
                  </w:r>
                </w:p>
              </w:tc>
              <w:tc>
                <w:tcPr>
                  <w:tcW w:w="334" w:type="dxa"/>
                  <w:vAlign w:val="center"/>
                </w:tcPr>
                <w:p>
                  <w:pPr>
                    <w:ind w:left="-107" w:right="-129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04</w:t>
                  </w: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ind w:left="-107" w:right="-129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05</w:t>
                  </w: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ind w:left="-107" w:right="-129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06</w:t>
                  </w: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ind w:left="-107" w:right="-129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07</w:t>
                  </w: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ind w:left="-107" w:right="-129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08</w:t>
                  </w: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ind w:left="-107" w:right="-129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09</w:t>
                  </w: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ind w:left="-107" w:right="-129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10</w:t>
                  </w: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ind w:left="-107" w:right="-129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11</w:t>
                  </w: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ind w:left="-107" w:right="-129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62" w:type="dxa"/>
                </w:tcPr>
                <w:p>
                  <w:pPr>
                    <w:ind w:left="720"/>
                    <w:jc w:val="both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 xml:space="preserve">Explain the basic elements and major issues involved in developing embedded system for mechatronic systems. </w:t>
                  </w: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sym w:font="Wingdings" w:char="00FC"/>
                  </w: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34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62" w:type="dxa"/>
                </w:tcPr>
                <w:p>
                  <w:pPr>
                    <w:ind w:left="720"/>
                    <w:jc w:val="both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 xml:space="preserve">Design embedded system based on a typical mechatronic application which includes interfaces with sensors and actuators </w:t>
                  </w: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sym w:font="Wingdings" w:char="00FC"/>
                  </w: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sym w:font="Wingdings" w:char="00FC"/>
                  </w: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sym w:font="Wingdings" w:char="00FC"/>
                  </w:r>
                </w:p>
              </w:tc>
              <w:tc>
                <w:tcPr>
                  <w:tcW w:w="334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62" w:type="dxa"/>
                </w:tcPr>
                <w:p>
                  <w:pPr>
                    <w:ind w:left="720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Develop program for targeted microcontroller application.</w:t>
                  </w: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sym w:font="Wingdings" w:char="00FC"/>
                  </w: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sym w:font="Wingdings" w:char="00FC"/>
                  </w:r>
                </w:p>
              </w:tc>
              <w:tc>
                <w:tcPr>
                  <w:tcW w:w="334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sym w:font="Wingdings" w:char="00FC"/>
                  </w: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/>
                    <w:sym w:font="Wingdings" w:char="00FC"/>
                  </w: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62" w:type="dxa"/>
                </w:tcPr>
                <w:p>
                  <w:pPr>
                    <w:ind w:left="720"/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 xml:space="preserve">Select a specific embedded system based on specification for mechatronic application. </w:t>
                  </w: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sym w:font="Wingdings" w:char="00FC"/>
                  </w: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sym w:font="Wingdings" w:char="00FC"/>
                  </w:r>
                </w:p>
              </w:tc>
              <w:tc>
                <w:tcPr>
                  <w:tcW w:w="334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sym w:font="Wingdings" w:char="00FC"/>
                  </w: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4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>
                  <w:pPr>
                    <w:pStyle w:val="3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000" w:type="pct"/>
            <w:gridSpan w:val="7"/>
            <w:shd w:val="clear" w:color="auto" w:fill="F2F2F2"/>
            <w:vAlign w:val="center"/>
          </w:tcPr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Content outline of the course / module and the SLT per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1509" w:type="pct"/>
            <w:shd w:val="clear" w:color="auto" w:fill="F2F2F2"/>
            <w:vAlign w:val="center"/>
          </w:tcPr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bCs/>
                <w:lang w:val="en-GB"/>
              </w:rPr>
              <w:t>Weeks</w:t>
            </w:r>
          </w:p>
        </w:tc>
        <w:tc>
          <w:tcPr>
            <w:tcW w:w="115" w:type="pct"/>
            <w:tcBorders>
              <w:right w:val="nil"/>
            </w:tcBorders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0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Topics</w:t>
            </w:r>
          </w:p>
        </w:tc>
        <w:tc>
          <w:tcPr>
            <w:tcW w:w="58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>
            <w:pPr>
              <w:ind w:left="-108" w:right="-108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Learning Hours</w:t>
            </w:r>
          </w:p>
        </w:tc>
        <w:tc>
          <w:tcPr>
            <w:tcW w:w="889" w:type="pct"/>
            <w:tcBorders>
              <w:left w:val="single" w:color="auto" w:sz="4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Task/Reading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shd w:val="clear" w:color="auto" w:fill="auto"/>
          </w:tcPr>
          <w:p>
            <w:pPr>
              <w:spacing w:line="261" w:lineRule="atLeast"/>
              <w:jc w:val="center"/>
            </w:pPr>
          </w:p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020" w:type="pct"/>
            <w:gridSpan w:val="4"/>
            <w:tcBorders>
              <w:right w:val="single" w:color="auto" w:sz="4" w:space="0"/>
            </w:tcBorders>
          </w:tcPr>
          <w:p>
            <w:r>
              <w:rPr>
                <w:b/>
              </w:rPr>
              <w:t xml:space="preserve">Introduction: </w:t>
            </w:r>
            <w:r>
              <w:t>Mechatronic Application and Embedded Systems, Review of Microprocessor Based System, Introduction to PIC 18Fxx2</w:t>
            </w:r>
          </w:p>
        </w:tc>
        <w:tc>
          <w:tcPr>
            <w:tcW w:w="581" w:type="pct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9" w:type="pct"/>
            <w:tcBorders>
              <w:left w:val="single" w:color="auto" w:sz="4" w:space="0"/>
            </w:tcBorders>
          </w:tcPr>
          <w:p>
            <w:r>
              <w:t>Chapter1, Chapter 2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shd w:val="clear" w:color="auto" w:fill="auto"/>
          </w:tcPr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20" w:type="pct"/>
            <w:gridSpan w:val="4"/>
            <w:tcBorders>
              <w:right w:val="single" w:color="auto" w:sz="4" w:space="0"/>
            </w:tcBorders>
          </w:tcPr>
          <w:p>
            <w:r>
              <w:rPr>
                <w:b/>
              </w:rPr>
              <w:t xml:space="preserve">Assembly Language Programming: </w:t>
            </w:r>
            <w:r>
              <w:t xml:space="preserve">8-bit sign operations, </w:t>
            </w:r>
          </w:p>
        </w:tc>
        <w:tc>
          <w:tcPr>
            <w:tcW w:w="581" w:type="pct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ind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89" w:type="pct"/>
            <w:tcBorders>
              <w:left w:val="single" w:color="auto" w:sz="4" w:space="0"/>
            </w:tcBorders>
          </w:tcPr>
          <w:p>
            <w:r>
              <w:t>Chapter 4,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shd w:val="clear" w:color="auto" w:fill="auto"/>
          </w:tcPr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020" w:type="pct"/>
            <w:gridSpan w:val="4"/>
            <w:tcBorders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t xml:space="preserve">8-bit Unsigned Operations, signed comparison, </w:t>
            </w:r>
          </w:p>
        </w:tc>
        <w:tc>
          <w:tcPr>
            <w:tcW w:w="581" w:type="pct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89" w:type="pct"/>
            <w:tcBorders>
              <w:left w:val="single" w:color="auto" w:sz="4" w:space="0"/>
            </w:tcBorders>
          </w:tcPr>
          <w:p>
            <w:r>
              <w:t>Chapter 4,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shd w:val="clear" w:color="auto" w:fill="auto"/>
          </w:tcPr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020" w:type="pct"/>
            <w:gridSpan w:val="4"/>
            <w:tcBorders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t>subroutines, stacks, pointers and table reads</w:t>
            </w:r>
          </w:p>
        </w:tc>
        <w:tc>
          <w:tcPr>
            <w:tcW w:w="581" w:type="pct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89" w:type="pct"/>
            <w:tcBorders>
              <w:left w:val="single" w:color="auto" w:sz="4" w:space="0"/>
            </w:tcBorders>
          </w:tcPr>
          <w:p>
            <w:r>
              <w:t>Chapter 4,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shd w:val="clear" w:color="auto" w:fill="auto"/>
          </w:tcPr>
          <w:p>
            <w:pPr>
              <w:spacing w:line="261" w:lineRule="atLeast"/>
              <w:jc w:val="center"/>
            </w:pPr>
          </w:p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020" w:type="pct"/>
            <w:gridSpan w:val="4"/>
            <w:tcBorders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C Language Programming:</w:t>
            </w:r>
            <w:r>
              <w:t xml:space="preserve"> C compilation, PIC18 Hardware Intro, </w:t>
            </w:r>
          </w:p>
        </w:tc>
        <w:tc>
          <w:tcPr>
            <w:tcW w:w="581" w:type="pct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89" w:type="pct"/>
            <w:tcBorders>
              <w:left w:val="single" w:color="auto" w:sz="4" w:space="0"/>
            </w:tcBorders>
          </w:tcPr>
          <w:p>
            <w:r>
              <w:t>Chapter 8</w:t>
            </w:r>
          </w:p>
          <w:p/>
          <w:p>
            <w:pPr>
              <w:rPr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shd w:val="clear" w:color="auto" w:fill="auto"/>
          </w:tcPr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020" w:type="pct"/>
            <w:gridSpan w:val="4"/>
            <w:tcBorders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t xml:space="preserve">Power Consumption, Watchdog Timer, SLEEP Mode, Datasheet, </w:t>
            </w:r>
          </w:p>
        </w:tc>
        <w:tc>
          <w:tcPr>
            <w:tcW w:w="581" w:type="pct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89" w:type="pct"/>
            <w:tcBorders>
              <w:left w:val="single" w:color="auto" w:sz="4" w:space="0"/>
            </w:tcBorders>
          </w:tcPr>
          <w:p>
            <w:r>
              <w:t>Chapter 8</w:t>
            </w:r>
          </w:p>
          <w:p/>
          <w:p>
            <w:pPr>
              <w:rPr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shd w:val="clear" w:color="auto" w:fill="auto"/>
          </w:tcPr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020" w:type="pct"/>
            <w:gridSpan w:val="4"/>
            <w:tcBorders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t>State Machine Programming, LED/Switch IO, LCD Module Interface</w:t>
            </w:r>
          </w:p>
        </w:tc>
        <w:tc>
          <w:tcPr>
            <w:tcW w:w="581" w:type="pct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ind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89" w:type="pct"/>
            <w:tcBorders>
              <w:left w:val="single" w:color="auto" w:sz="4" w:space="0"/>
            </w:tcBorders>
          </w:tcPr>
          <w:p>
            <w:r>
              <w:t>Chapter 8</w:t>
            </w:r>
          </w:p>
          <w:p/>
          <w:p>
            <w:pPr>
              <w:rPr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shd w:val="clear" w:color="auto" w:fill="auto"/>
          </w:tcPr>
          <w:p>
            <w:pPr>
              <w:spacing w:line="261" w:lineRule="atLeast"/>
              <w:jc w:val="center"/>
            </w:pPr>
          </w:p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0" w:type="pct"/>
            <w:gridSpan w:val="4"/>
            <w:tcBorders>
              <w:right w:val="single" w:color="auto" w:sz="4" w:space="0"/>
            </w:tcBorders>
          </w:tcPr>
          <w:p>
            <w:r>
              <w:rPr>
                <w:b/>
              </w:rPr>
              <w:t>Inputs and Outputs:</w:t>
            </w:r>
            <w:r>
              <w:t xml:space="preserve"> Parallel port Operation, IO Channels, Synchronous Serial IO, </w:t>
            </w:r>
          </w:p>
        </w:tc>
        <w:tc>
          <w:tcPr>
            <w:tcW w:w="581" w:type="pct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ind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89" w:type="pct"/>
            <w:tcBorders>
              <w:left w:val="single" w:color="auto" w:sz="4" w:space="0"/>
            </w:tcBorders>
          </w:tcPr>
          <w:p>
            <w:r>
              <w:t>Chapter 9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shd w:val="clear" w:color="auto" w:fill="auto"/>
          </w:tcPr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020" w:type="pct"/>
            <w:gridSpan w:val="4"/>
            <w:tcBorders>
              <w:right w:val="single" w:color="auto" w:sz="4" w:space="0"/>
            </w:tcBorders>
          </w:tcPr>
          <w:p>
            <w:r>
              <w:t>Asynchronous Serial IO, I2C and Serial EEPROM</w:t>
            </w:r>
          </w:p>
          <w:p>
            <w:pPr>
              <w:rPr>
                <w:b/>
              </w:rPr>
            </w:pPr>
          </w:p>
        </w:tc>
        <w:tc>
          <w:tcPr>
            <w:tcW w:w="581" w:type="pct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889" w:type="pct"/>
            <w:tcBorders>
              <w:left w:val="single" w:color="auto" w:sz="4" w:space="0"/>
            </w:tcBorders>
          </w:tcPr>
          <w:p>
            <w:r>
              <w:t>Chapter 9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020" w:type="pct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r>
              <w:rPr>
                <w:b/>
              </w:rPr>
              <w:t xml:space="preserve">Interrupts and Timers: </w:t>
            </w:r>
            <w:r>
              <w:t>PIC18 Interrupts, Software FIFO, Switch DebouncingTimer2- Periodic Interrupts: PWM, DC Motors Servos, O</w:t>
            </w:r>
          </w:p>
          <w:p/>
        </w:tc>
        <w:tc>
          <w:tcPr>
            <w:tcW w:w="581" w:type="pct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889" w:type="pct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t>Chapter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020" w:type="pct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t>Waveform Generation, State Machine Programming for Interrupt Driven I</w:t>
            </w:r>
          </w:p>
        </w:tc>
        <w:tc>
          <w:tcPr>
            <w:tcW w:w="581" w:type="pct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89" w:type="pct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t>Chapter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020" w:type="pct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r>
              <w:rPr>
                <w:b/>
              </w:rPr>
              <w:t>Embedded system: Communications systems;</w:t>
            </w:r>
            <w:r>
              <w:t xml:space="preserve"> Digital communication, protocol, communication interfaces, </w:t>
            </w:r>
          </w:p>
        </w:tc>
        <w:tc>
          <w:tcPr>
            <w:tcW w:w="581" w:type="pct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89" w:type="pct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t>Chapter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020" w:type="pct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t>USB introduction, remote communication (infrared)</w:t>
            </w:r>
          </w:p>
        </w:tc>
        <w:tc>
          <w:tcPr>
            <w:tcW w:w="581" w:type="pct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889" w:type="pct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t>Chapter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509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261" w:lineRule="atLeast"/>
              <w:jc w:val="center"/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020" w:type="pct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>
            <w:r>
              <w:rPr>
                <w:b/>
              </w:rPr>
              <w:t>Embedded System in Mechatronic Applications (Case studies) :</w:t>
            </w:r>
            <w:r>
              <w:t>Audio Record/Playback System, Home Monitoring System, Digital Thermometer, Autonomous Robot</w:t>
            </w:r>
          </w:p>
          <w:p>
            <w:pPr>
              <w:rPr>
                <w:b/>
              </w:rPr>
            </w:pPr>
          </w:p>
        </w:tc>
        <w:tc>
          <w:tcPr>
            <w:tcW w:w="581" w:type="pct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08"/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889" w:type="pct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t>Chapter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000" w:type="pct"/>
            <w:gridSpan w:val="7"/>
            <w:shd w:val="clear" w:color="auto" w:fill="F2F2F2"/>
            <w:vAlign w:val="center"/>
          </w:tcPr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Required references supporting the 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5000" w:type="pct"/>
            <w:gridSpan w:val="7"/>
            <w:tcBorders>
              <w:bottom w:val="single" w:color="auto" w:sz="4" w:space="0"/>
            </w:tcBorders>
          </w:tcPr>
          <w:p>
            <w:pPr>
              <w:jc w:val="both"/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 xml:space="preserve">The reference lists shall be presented in accordance with APA bibliographic practices and in alphabetical order. </w:t>
            </w:r>
          </w:p>
          <w:p>
            <w:pPr>
              <w:rPr>
                <w:b/>
                <w:sz w:val="14"/>
                <w:szCs w:val="14"/>
                <w:lang w:val="en-GB"/>
              </w:rPr>
            </w:pPr>
          </w:p>
          <w:p>
            <w:r>
              <w:rPr>
                <w:b/>
              </w:rPr>
              <w:t xml:space="preserve">Reeser, R.B., (2010), </w:t>
            </w:r>
            <w:r>
              <w:rPr>
                <w:i/>
              </w:rPr>
              <w:t xml:space="preserve">Microprocessor From Assembly Language to C Using the PCI18Fxx2, </w:t>
            </w:r>
            <w:r>
              <w:t>Da Vinci Engineering Press.</w:t>
            </w:r>
          </w:p>
          <w:p>
            <w:r>
              <w:t>.</w:t>
            </w:r>
          </w:p>
          <w:p>
            <w:pPr>
              <w:tabs>
                <w:tab w:val="left" w:pos="-1440"/>
              </w:tabs>
              <w:ind w:left="486" w:hanging="486"/>
              <w:rPr>
                <w:b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000" w:type="pct"/>
            <w:gridSpan w:val="7"/>
            <w:shd w:val="clear" w:color="auto" w:fill="F2F2F2"/>
            <w:vAlign w:val="center"/>
          </w:tcPr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Recommended references supporting the 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5000" w:type="pct"/>
            <w:gridSpan w:val="7"/>
            <w:tcBorders>
              <w:bottom w:val="single" w:color="auto" w:sz="4" w:space="0"/>
            </w:tcBorders>
          </w:tcPr>
          <w:p>
            <w:pPr>
              <w:tabs>
                <w:tab w:val="left" w:pos="-1440"/>
              </w:tabs>
              <w:ind w:left="486" w:hanging="306"/>
            </w:pPr>
          </w:p>
          <w:p>
            <w:r>
              <w:rPr>
                <w:b/>
              </w:rPr>
              <w:t>Braunl, T., (2006).</w:t>
            </w:r>
            <w:r>
              <w:t xml:space="preserve"> </w:t>
            </w:r>
            <w:r>
              <w:rPr>
                <w:i/>
              </w:rPr>
              <w:t>Embedded Robotics: Mobile Robot Design and Applications with Embedded Systems,</w:t>
            </w:r>
            <w:r>
              <w:t xml:space="preserve"> Springer Verlag Berlin Jaidelberg.</w:t>
            </w:r>
          </w:p>
          <w:p/>
          <w:p>
            <w:r>
              <w:rPr>
                <w:b/>
              </w:rPr>
              <w:t>De Silva, C W</w:t>
            </w:r>
            <w:r>
              <w:t xml:space="preserve">., (2005). </w:t>
            </w:r>
            <w:r>
              <w:rPr>
                <w:i/>
              </w:rPr>
              <w:t>Mechatronics: An Integrated Approach</w:t>
            </w:r>
            <w:r>
              <w:t>, CRC Press.</w:t>
            </w:r>
          </w:p>
          <w:p/>
          <w:p>
            <w:r>
              <w:rPr>
                <w:b/>
                <w:lang w:val="de-DE"/>
              </w:rPr>
              <w:t>Parab, J., Santoch, A.S., Vinod G.S., Rajanish K.K., &amp; Gourish M.N,</w:t>
            </w:r>
            <w:r>
              <w:rPr>
                <w:lang w:val="de-DE"/>
              </w:rPr>
              <w:t xml:space="preserve">  </w:t>
            </w:r>
            <w:r>
              <w:t xml:space="preserve">(2008). </w:t>
            </w:r>
            <w:r>
              <w:rPr>
                <w:i/>
              </w:rPr>
              <w:t>Practical Aspects of Embedded System Design using Microcontrollers</w:t>
            </w:r>
            <w:r>
              <w:rPr>
                <w:lang w:val="de-DE"/>
              </w:rPr>
              <w:t xml:space="preserve">, </w:t>
            </w:r>
            <w:r>
              <w:t>Springer Science + Business Media.</w:t>
            </w:r>
          </w:p>
          <w:p>
            <w:pPr>
              <w:tabs>
                <w:tab w:val="left" w:pos="-1440"/>
              </w:tabs>
              <w:ind w:left="486" w:hanging="486"/>
              <w:rPr>
                <w:b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atLeast"/>
        </w:trPr>
        <w:tc>
          <w:tcPr>
            <w:tcW w:w="1732" w:type="pct"/>
            <w:gridSpan w:val="3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jc w:val="center"/>
              <w:rPr>
                <w:b/>
                <w:lang w:val="en-GB"/>
              </w:rPr>
            </w:pPr>
          </w:p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Prepared by:</w:t>
            </w:r>
          </w:p>
          <w:p>
            <w:pPr>
              <w:pBdr>
                <w:bottom w:val="single" w:color="auto" w:sz="12" w:space="1"/>
              </w:pBdr>
              <w:jc w:val="center"/>
              <w:rPr>
                <w:b/>
                <w:lang w:val="en-GB"/>
              </w:rPr>
            </w:pPr>
          </w:p>
          <w:p>
            <w:pPr>
              <w:pBdr>
                <w:bottom w:val="single" w:color="auto" w:sz="12" w:space="1"/>
              </w:pBdr>
              <w:jc w:val="center"/>
              <w:rPr>
                <w:b/>
                <w:lang w:val="en-GB"/>
              </w:rPr>
            </w:pPr>
          </w:p>
          <w:p>
            <w:pPr>
              <w:pBdr>
                <w:bottom w:val="single" w:color="auto" w:sz="12" w:space="1"/>
              </w:pBdr>
              <w:jc w:val="center"/>
              <w:rPr>
                <w:b/>
                <w:lang w:val="en-GB"/>
              </w:rPr>
            </w:pPr>
          </w:p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Dr. Amir Akramin Shafie</w:t>
            </w:r>
          </w:p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Assistant Professor</w:t>
            </w:r>
          </w:p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Kulliyyah of Engineering</w:t>
            </w:r>
          </w:p>
          <w:p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584" w:type="pct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jc w:val="center"/>
              <w:rPr>
                <w:b/>
                <w:lang w:val="en-GB"/>
              </w:rPr>
            </w:pPr>
          </w:p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Checked by:</w:t>
            </w:r>
          </w:p>
          <w:p>
            <w:pPr>
              <w:jc w:val="center"/>
              <w:rPr>
                <w:b/>
                <w:lang w:val="en-GB"/>
              </w:rPr>
            </w:pPr>
          </w:p>
          <w:p>
            <w:pPr>
              <w:jc w:val="center"/>
              <w:rPr>
                <w:b/>
                <w:lang w:val="en-GB"/>
              </w:rPr>
            </w:pPr>
          </w:p>
          <w:p>
            <w:pPr>
              <w:pBdr>
                <w:bottom w:val="single" w:color="auto" w:sz="12" w:space="1"/>
              </w:pBdr>
              <w:jc w:val="center"/>
              <w:rPr>
                <w:b/>
                <w:lang w:val="en-GB"/>
              </w:rPr>
            </w:pPr>
          </w:p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bCs/>
                <w:lang w:val="it-IT"/>
              </w:rPr>
              <w:t>Dr. Tanveer Saleh</w:t>
            </w:r>
          </w:p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Head of Department</w:t>
            </w:r>
          </w:p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Kulliyyah of Engineering</w:t>
            </w:r>
          </w:p>
          <w:p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682" w:type="pct"/>
            <w:gridSpan w:val="3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jc w:val="center"/>
              <w:rPr>
                <w:b/>
                <w:lang w:val="en-GB"/>
              </w:rPr>
            </w:pPr>
          </w:p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Approved by:</w:t>
            </w:r>
          </w:p>
          <w:p>
            <w:pPr>
              <w:pBdr>
                <w:bottom w:val="single" w:color="auto" w:sz="12" w:space="1"/>
              </w:pBdr>
              <w:jc w:val="center"/>
              <w:rPr>
                <w:b/>
                <w:lang w:val="en-GB"/>
              </w:rPr>
            </w:pPr>
          </w:p>
          <w:p>
            <w:pPr>
              <w:pBdr>
                <w:bottom w:val="single" w:color="auto" w:sz="12" w:space="1"/>
              </w:pBdr>
              <w:jc w:val="center"/>
              <w:rPr>
                <w:b/>
                <w:lang w:val="en-GB"/>
              </w:rPr>
            </w:pPr>
          </w:p>
          <w:p>
            <w:pPr>
              <w:pBdr>
                <w:bottom w:val="single" w:color="auto" w:sz="12" w:space="1"/>
              </w:pBdr>
              <w:jc w:val="center"/>
              <w:rPr>
                <w:b/>
                <w:lang w:val="en-GB"/>
              </w:rPr>
            </w:pPr>
          </w:p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Prof. Emeritus Dato' Wira Ir. Dr. Md Noor bin Salleh</w:t>
            </w:r>
          </w:p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Dean </w:t>
            </w:r>
          </w:p>
          <w:p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Kulliyyah of Engineering </w:t>
            </w:r>
          </w:p>
        </w:tc>
      </w:tr>
    </w:tbl>
    <w:p>
      <w:pPr>
        <w:rPr>
          <w:b/>
          <w:sz w:val="22"/>
          <w:szCs w:val="22"/>
          <w:lang w:val="en-GB"/>
        </w:rPr>
      </w:pPr>
    </w:p>
    <w:p>
      <w:pPr>
        <w:ind w:left="-360"/>
        <w:rPr>
          <w:b/>
          <w:sz w:val="22"/>
          <w:szCs w:val="22"/>
          <w:lang w:val="en-GB"/>
        </w:rPr>
      </w:pPr>
    </w:p>
    <w:p>
      <w:pPr>
        <w:ind w:left="-360"/>
        <w:rPr>
          <w:b/>
          <w:sz w:val="22"/>
          <w:szCs w:val="22"/>
          <w:lang w:val="en-GB"/>
        </w:rPr>
      </w:pPr>
    </w:p>
    <w:p>
      <w:pPr>
        <w:ind w:left="-360"/>
        <w:rPr>
          <w:b/>
          <w:sz w:val="22"/>
          <w:szCs w:val="22"/>
          <w:lang w:val="en-GB"/>
        </w:rPr>
      </w:pPr>
    </w:p>
    <w:p>
      <w:pPr>
        <w:ind w:left="-360"/>
        <w:rPr>
          <w:b/>
          <w:sz w:val="22"/>
          <w:szCs w:val="22"/>
          <w:lang w:val="en-GB"/>
        </w:rPr>
      </w:pPr>
    </w:p>
    <w:p>
      <w:pPr>
        <w:spacing w:after="200" w:line="276" w:lineRule="auto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>Kulliyyah Programme Outcomes and the relation between KOE PO with outcomes from EAC, MQF domain, MOHE domain and Soft Skills.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7"/>
        <w:gridCol w:w="639"/>
        <w:gridCol w:w="971"/>
        <w:gridCol w:w="996"/>
        <w:gridCol w:w="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KOE PO</w:t>
            </w:r>
          </w:p>
        </w:tc>
        <w:tc>
          <w:tcPr>
            <w:tcW w:w="0" w:type="auto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EAC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MQF Domain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MOHE Domain</w:t>
            </w:r>
          </w:p>
        </w:tc>
        <w:tc>
          <w:tcPr>
            <w:tcW w:w="0" w:type="auto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 Skills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Engineering Knowledge (T) </w:t>
            </w:r>
            <w:r>
              <w:rPr>
                <w:sz w:val="20"/>
                <w:szCs w:val="20"/>
              </w:rPr>
              <w:t xml:space="preserve">- Apply knowledge of mathematics, sciences, engineering fundamentals and </w:t>
            </w:r>
            <w:r>
              <w:rPr>
                <w:b/>
                <w:sz w:val="20"/>
                <w:szCs w:val="20"/>
              </w:rPr>
              <w:t>specialization to solve complex engineering problems</w:t>
            </w:r>
            <w:r>
              <w:rPr>
                <w:sz w:val="20"/>
                <w:szCs w:val="20"/>
              </w:rPr>
              <w:t>.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&amp; 6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Problem Analysis (T) </w:t>
            </w:r>
            <w:r>
              <w:rPr>
                <w:sz w:val="20"/>
                <w:szCs w:val="20"/>
              </w:rPr>
              <w:t xml:space="preserve">– Identify, formulate, perform relevant literature review and </w:t>
            </w:r>
            <w:r>
              <w:rPr>
                <w:b/>
                <w:sz w:val="20"/>
                <w:szCs w:val="20"/>
              </w:rPr>
              <w:t>analyze complex engineering problems</w:t>
            </w:r>
            <w:r>
              <w:rPr>
                <w:sz w:val="20"/>
                <w:szCs w:val="20"/>
              </w:rPr>
              <w:t xml:space="preserve">, and reaching substantiated conclusions using </w:t>
            </w:r>
            <w:r>
              <w:rPr>
                <w:b/>
                <w:sz w:val="20"/>
                <w:szCs w:val="20"/>
              </w:rPr>
              <w:t>first principles of mathematics, natural sciences and engineering sciences</w:t>
            </w:r>
            <w:r>
              <w:rPr>
                <w:sz w:val="20"/>
                <w:szCs w:val="20"/>
              </w:rPr>
              <w:t>.</w:t>
            </w:r>
          </w:p>
          <w:p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&amp; 6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Design/Development of Solutions (A) </w:t>
            </w:r>
            <w:r>
              <w:rPr>
                <w:sz w:val="20"/>
                <w:szCs w:val="20"/>
              </w:rPr>
              <w:t xml:space="preserve">– Design solutions whilst </w:t>
            </w:r>
            <w:r>
              <w:rPr>
                <w:b/>
                <w:sz w:val="20"/>
                <w:szCs w:val="20"/>
              </w:rPr>
              <w:t>exhibiting innovativeness</w:t>
            </w:r>
            <w:r>
              <w:rPr>
                <w:sz w:val="20"/>
                <w:szCs w:val="20"/>
              </w:rPr>
              <w:t xml:space="preserve">, for complex engineering problems and design systems, components or processes that meet specified needs; </w:t>
            </w:r>
            <w:r>
              <w:rPr>
                <w:b/>
                <w:sz w:val="20"/>
                <w:szCs w:val="20"/>
              </w:rPr>
              <w:t>with appropriate consideration of cost, sustainability issues, environmental impact, public health and safety, engineering ethics as well as cultural and social needs</w:t>
            </w:r>
            <w:r>
              <w:rPr>
                <w:sz w:val="20"/>
                <w:szCs w:val="20"/>
              </w:rPr>
              <w:t xml:space="preserve">. </w:t>
            </w:r>
          </w:p>
          <w:p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3 &amp; 6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left="34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Investigation (D) - C</w:t>
            </w:r>
            <w:r>
              <w:rPr>
                <w:sz w:val="20"/>
                <w:szCs w:val="20"/>
              </w:rPr>
              <w:t xml:space="preserve">onduct investigation on complex problems whilst </w:t>
            </w:r>
            <w:r>
              <w:rPr>
                <w:b/>
                <w:sz w:val="20"/>
                <w:szCs w:val="20"/>
              </w:rPr>
              <w:t>displaying creativity</w:t>
            </w:r>
            <w:r>
              <w:rPr>
                <w:sz w:val="20"/>
                <w:szCs w:val="20"/>
              </w:rPr>
              <w:t xml:space="preserve">, by using research-based knowledge and method, including design of experiments, </w:t>
            </w:r>
            <w:r>
              <w:rPr>
                <w:b/>
                <w:sz w:val="20"/>
                <w:szCs w:val="20"/>
              </w:rPr>
              <w:t>analysis and interpretation of data</w:t>
            </w:r>
            <w:r>
              <w:rPr>
                <w:sz w:val="20"/>
                <w:szCs w:val="20"/>
              </w:rPr>
              <w:t xml:space="preserve">, and synthesis of information to provide valid conclusions.  </w:t>
            </w:r>
          </w:p>
          <w:p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&amp; 6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2, 3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Modern Tool Usage (A &amp; D) -</w:t>
            </w:r>
            <w:r>
              <w:rPr>
                <w:sz w:val="20"/>
                <w:szCs w:val="20"/>
              </w:rPr>
              <w:t xml:space="preserve"> Create and apply appropriate techniques, resources and </w:t>
            </w:r>
            <w:r>
              <w:rPr>
                <w:b/>
                <w:sz w:val="20"/>
                <w:szCs w:val="20"/>
              </w:rPr>
              <w:t>modern engineering/IT tools</w:t>
            </w:r>
            <w:r>
              <w:rPr>
                <w:sz w:val="20"/>
                <w:szCs w:val="20"/>
              </w:rPr>
              <w:t>, which includes making prediction and modelling of the complex engineering activities with understanding of limitations.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&amp; 7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left="34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6. The Engineer and Society (ESSE) </w:t>
            </w:r>
            <w:r>
              <w:rPr>
                <w:sz w:val="20"/>
                <w:szCs w:val="20"/>
              </w:rPr>
              <w:t xml:space="preserve">- Apply reasoning based on contextual knowledge to </w:t>
            </w:r>
            <w:r>
              <w:rPr>
                <w:b/>
                <w:sz w:val="20"/>
                <w:szCs w:val="20"/>
              </w:rPr>
              <w:t>assess societal, health, safety, legal, cultural, contemporary issues</w:t>
            </w:r>
            <w:r>
              <w:rPr>
                <w:sz w:val="20"/>
                <w:szCs w:val="20"/>
              </w:rPr>
              <w:t>, and the consequent responsibilities relevant to professional engineering practices.</w:t>
            </w:r>
          </w:p>
          <w:p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&amp; 4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left="34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7. Environment and Sustainability (ESSE) </w:t>
            </w:r>
            <w:r>
              <w:rPr>
                <w:sz w:val="20"/>
                <w:szCs w:val="20"/>
              </w:rPr>
              <w:t xml:space="preserve">- Understand the impact of professional engineering solutions in </w:t>
            </w:r>
            <w:r>
              <w:rPr>
                <w:b/>
                <w:sz w:val="20"/>
                <w:szCs w:val="20"/>
              </w:rPr>
              <w:t>societal, global, and environmental contexts</w:t>
            </w:r>
            <w:r>
              <w:rPr>
                <w:sz w:val="20"/>
                <w:szCs w:val="20"/>
              </w:rPr>
              <w:t xml:space="preserve"> and demonstrate knowledge of and need for sustainable development.</w:t>
            </w:r>
          </w:p>
          <w:p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&amp; 4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left="34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8. Ethics (ESSE) </w:t>
            </w:r>
            <w:r>
              <w:rPr>
                <w:sz w:val="20"/>
                <w:szCs w:val="20"/>
              </w:rPr>
              <w:t>–Apply professional ethics with</w:t>
            </w:r>
            <w:r>
              <w:rPr>
                <w:b/>
                <w:sz w:val="20"/>
                <w:szCs w:val="20"/>
              </w:rPr>
              <w:t xml:space="preserve"> Islamic values</w:t>
            </w:r>
            <w:r>
              <w:rPr>
                <w:sz w:val="20"/>
                <w:szCs w:val="20"/>
              </w:rPr>
              <w:t xml:space="preserve"> and commit to responsibilities and norms of professional engineering code of practices. </w:t>
            </w:r>
          </w:p>
          <w:p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&amp; 4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9. Communication (S) </w:t>
            </w: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Communicate effectively within the engineering </w:t>
            </w:r>
            <w:r>
              <w:rPr>
                <w:sz w:val="20"/>
                <w:szCs w:val="20"/>
              </w:rPr>
              <w:t xml:space="preserve">community and with the society at large, which include but not limited to writing effective reports and documentation, </w:t>
            </w:r>
            <w:r>
              <w:rPr>
                <w:b/>
                <w:sz w:val="20"/>
                <w:szCs w:val="20"/>
              </w:rPr>
              <w:t xml:space="preserve">delivering effective presentation </w:t>
            </w:r>
            <w:r>
              <w:rPr>
                <w:sz w:val="20"/>
                <w:szCs w:val="20"/>
              </w:rPr>
              <w:t>as well as giving and receiving clear instructions.</w:t>
            </w:r>
          </w:p>
          <w:p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&amp; 7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4, 7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 Individual and Team Work (S) -</w:t>
            </w:r>
            <w:r>
              <w:rPr>
                <w:sz w:val="20"/>
                <w:szCs w:val="20"/>
              </w:rPr>
              <w:t xml:space="preserve"> Able to function effectively both as an individual or member of a team, or a </w:t>
            </w:r>
            <w:r>
              <w:rPr>
                <w:b/>
                <w:sz w:val="20"/>
                <w:szCs w:val="20"/>
              </w:rPr>
              <w:t>leader in a diversified multi-disciplinary</w:t>
            </w:r>
            <w:r>
              <w:rPr>
                <w:sz w:val="20"/>
                <w:szCs w:val="20"/>
              </w:rPr>
              <w:t xml:space="preserve"> team settings.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&amp; 8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5, 8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ind w:left="34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11. Life Long Learning (S) -</w:t>
            </w:r>
            <w:r>
              <w:rPr>
                <w:sz w:val="20"/>
                <w:szCs w:val="20"/>
              </w:rPr>
              <w:t>Recognize the need for, and have the preparation and ability to engage in independent and</w:t>
            </w:r>
            <w:r>
              <w:rPr>
                <w:b/>
                <w:sz w:val="20"/>
                <w:szCs w:val="20"/>
              </w:rPr>
              <w:t xml:space="preserve"> life-long learning </w:t>
            </w:r>
            <w:r>
              <w:rPr>
                <w:sz w:val="20"/>
                <w:szCs w:val="20"/>
              </w:rPr>
              <w:t>in the broadest context of technological change.</w:t>
            </w:r>
          </w:p>
          <w:p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tabs>
                <w:tab w:val="left" w:pos="2070"/>
              </w:tabs>
              <w:adjustRightInd w:val="0"/>
              <w:spacing w:before="60" w:after="6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12. Project Management and Finance (S) -</w:t>
            </w:r>
            <w:r>
              <w:rPr>
                <w:sz w:val="20"/>
                <w:szCs w:val="20"/>
              </w:rPr>
              <w:t xml:space="preserve"> Demonstrate and apply engineering management and financial principles into one’s work which include being </w:t>
            </w:r>
            <w:r>
              <w:rPr>
                <w:b/>
                <w:sz w:val="20"/>
                <w:szCs w:val="20"/>
              </w:rPr>
              <w:t>an effective member/leader in projects</w:t>
            </w:r>
            <w:r>
              <w:rPr>
                <w:sz w:val="20"/>
                <w:szCs w:val="20"/>
              </w:rPr>
              <w:t xml:space="preserve"> with multidisciplinary settings and identify opportunities of </w:t>
            </w:r>
            <w:r>
              <w:rPr>
                <w:b/>
                <w:sz w:val="20"/>
                <w:szCs w:val="20"/>
              </w:rPr>
              <w:t>entrepreneurship</w:t>
            </w:r>
            <w:r>
              <w:rPr>
                <w:sz w:val="20"/>
                <w:szCs w:val="20"/>
              </w:rPr>
              <w:t>.</w:t>
            </w:r>
          </w:p>
          <w:p>
            <w:pPr>
              <w:rPr>
                <w:sz w:val="20"/>
                <w:szCs w:val="20"/>
                <w:lang w:val="en-MY" w:eastAsia="en-MY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5, 8, 9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6, 7</w:t>
            </w:r>
          </w:p>
        </w:tc>
      </w:tr>
    </w:tbl>
    <w:p>
      <w:pPr>
        <w:ind w:left="-810" w:right="-963"/>
        <w:jc w:val="center"/>
        <w:rPr>
          <w:b/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The program learning outcomes (PO) are grouped into 5 general areas to identify the nature of the skills and capability involved. These groups are:</w:t>
      </w:r>
    </w:p>
    <w:p>
      <w:pPr>
        <w:rPr>
          <w:sz w:val="20"/>
          <w:szCs w:val="20"/>
        </w:rPr>
      </w:pPr>
    </w:p>
    <w:p>
      <w:pPr>
        <w:pStyle w:val="8"/>
        <w:numPr>
          <w:ilvl w:val="0"/>
          <w:numId w:val="3"/>
        </w:numPr>
        <w:ind w:left="567" w:hanging="425"/>
        <w:jc w:val="both"/>
      </w:pPr>
      <w:r>
        <w:t>Technical (T) – essential capabilities related to traditional scientific and engineering knowledge</w:t>
      </w:r>
    </w:p>
    <w:p>
      <w:pPr>
        <w:pStyle w:val="8"/>
        <w:numPr>
          <w:ilvl w:val="0"/>
          <w:numId w:val="3"/>
        </w:numPr>
        <w:ind w:left="567" w:hanging="425"/>
        <w:jc w:val="both"/>
      </w:pPr>
      <w:r>
        <w:t xml:space="preserve">Analysis (A) – creatively working with available data and engineering tools and fundamental knowledge to correctly solve basic problem </w:t>
      </w:r>
    </w:p>
    <w:p>
      <w:pPr>
        <w:pStyle w:val="8"/>
        <w:numPr>
          <w:ilvl w:val="0"/>
          <w:numId w:val="3"/>
        </w:numPr>
        <w:ind w:left="567" w:hanging="425"/>
        <w:jc w:val="both"/>
      </w:pPr>
      <w:r>
        <w:t>Design (D) – being able to perceive the best solution for both small scale and large scale project by involving all required basic problems</w:t>
      </w:r>
    </w:p>
    <w:p>
      <w:pPr>
        <w:pStyle w:val="8"/>
        <w:numPr>
          <w:ilvl w:val="0"/>
          <w:numId w:val="3"/>
        </w:numPr>
        <w:ind w:left="567" w:hanging="425"/>
        <w:jc w:val="both"/>
      </w:pPr>
      <w:r>
        <w:t>Ethics, Safety, Society and Environment (ESSE) - giving appropriate consideration to matters pertaining to professionalism and ethics, safety, local and global society and the environment</w:t>
      </w:r>
    </w:p>
    <w:p>
      <w:pPr>
        <w:pStyle w:val="8"/>
        <w:numPr>
          <w:ilvl w:val="0"/>
          <w:numId w:val="3"/>
        </w:numPr>
        <w:ind w:left="567" w:hanging="425"/>
        <w:jc w:val="both"/>
      </w:pPr>
      <w:r>
        <w:t>Work skills (S) – being and effective communicator and effective member of a team and to appreciate the need to continuously acquired skills and abilities.</w:t>
      </w: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lang w:val="en-GB"/>
        </w:rPr>
      </w:pPr>
    </w:p>
    <w:p>
      <w:pPr>
        <w:pStyle w:val="8"/>
        <w:widowControl w:val="0"/>
        <w:adjustRightInd w:val="0"/>
        <w:ind w:left="0"/>
        <w:jc w:val="center"/>
        <w:textAlignment w:val="baseline"/>
        <w:rPr>
          <w:rStyle w:val="5"/>
        </w:rPr>
      </w:pPr>
      <w:r>
        <w:rPr>
          <w:rStyle w:val="5"/>
        </w:rPr>
        <w:t>LEARNING OUTCOMES OF OTHER DOMAINS</w:t>
      </w:r>
    </w:p>
    <w:p>
      <w:pPr>
        <w:pStyle w:val="8"/>
        <w:widowControl w:val="0"/>
        <w:adjustRightInd w:val="0"/>
        <w:ind w:left="0"/>
        <w:textAlignment w:val="baseline"/>
      </w:pPr>
    </w:p>
    <w:tbl>
      <w:tblPr>
        <w:tblStyle w:val="6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3309"/>
        <w:gridCol w:w="33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506" w:type="pct"/>
            <w:shd w:val="clear" w:color="auto" w:fill="auto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5"/>
                <w:sz w:val="20"/>
                <w:szCs w:val="20"/>
              </w:rPr>
              <w:t>MQF learning outcomes domains:</w:t>
            </w:r>
          </w:p>
        </w:tc>
        <w:tc>
          <w:tcPr>
            <w:tcW w:w="3494" w:type="pct"/>
            <w:gridSpan w:val="2"/>
          </w:tcPr>
          <w:p>
            <w:pPr>
              <w:jc w:val="center"/>
              <w:rPr>
                <w:rStyle w:val="5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MOHE Domain Learning Outcomes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1" w:hRule="atLeast"/>
        </w:trPr>
        <w:tc>
          <w:tcPr>
            <w:tcW w:w="1506" w:type="pct"/>
            <w:shd w:val="clear" w:color="auto" w:fill="auto"/>
          </w:tcPr>
          <w:p>
            <w:pPr>
              <w:numPr>
                <w:ilvl w:val="0"/>
                <w:numId w:val="4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</w:t>
            </w:r>
          </w:p>
          <w:p>
            <w:pPr>
              <w:numPr>
                <w:ilvl w:val="0"/>
                <w:numId w:val="4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practical skills</w:t>
            </w:r>
          </w:p>
          <w:p>
            <w:pPr>
              <w:numPr>
                <w:ilvl w:val="0"/>
                <w:numId w:val="4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skills and responsibilities</w:t>
            </w:r>
          </w:p>
          <w:p>
            <w:pPr>
              <w:numPr>
                <w:ilvl w:val="0"/>
                <w:numId w:val="4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values, attitudes and professionalism</w:t>
            </w:r>
          </w:p>
          <w:p>
            <w:pPr>
              <w:numPr>
                <w:ilvl w:val="0"/>
                <w:numId w:val="4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communication, leadership and team skills,</w:t>
            </w:r>
          </w:p>
          <w:p>
            <w:pPr>
              <w:numPr>
                <w:ilvl w:val="0"/>
                <w:numId w:val="4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problems solving and scientific skills</w:t>
            </w:r>
          </w:p>
          <w:p>
            <w:pPr>
              <w:numPr>
                <w:ilvl w:val="0"/>
                <w:numId w:val="4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management and lifelong learning skills; and</w:t>
            </w:r>
          </w:p>
          <w:p>
            <w:pPr>
              <w:numPr>
                <w:ilvl w:val="0"/>
                <w:numId w:val="4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managerial and entrepreneurial skills</w:t>
            </w:r>
          </w:p>
        </w:tc>
        <w:tc>
          <w:tcPr>
            <w:tcW w:w="1728" w:type="pct"/>
          </w:tcPr>
          <w:p>
            <w:pPr>
              <w:rPr>
                <w:rStyle w:val="5"/>
                <w:sz w:val="20"/>
                <w:szCs w:val="20"/>
              </w:rPr>
            </w:pPr>
            <w:r>
              <w:rPr>
                <w:rStyle w:val="5"/>
                <w:sz w:val="20"/>
                <w:szCs w:val="20"/>
              </w:rPr>
              <w:t>MOHE learning outcomes domains:</w:t>
            </w:r>
          </w:p>
          <w:p>
            <w:pPr>
              <w:rPr>
                <w:color w:val="FF0000"/>
                <w:sz w:val="20"/>
                <w:szCs w:val="20"/>
              </w:rPr>
            </w:pPr>
          </w:p>
          <w:p>
            <w:pPr>
              <w:numPr>
                <w:ilvl w:val="0"/>
                <w:numId w:val="5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Knowledge in Specific Area-Content </w:t>
            </w:r>
          </w:p>
          <w:p>
            <w:pPr>
              <w:numPr>
                <w:ilvl w:val="0"/>
                <w:numId w:val="5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Practical Skills </w:t>
            </w:r>
          </w:p>
          <w:p>
            <w:pPr>
              <w:numPr>
                <w:ilvl w:val="0"/>
                <w:numId w:val="5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 and Scientific Skills </w:t>
            </w:r>
          </w:p>
          <w:p>
            <w:pPr>
              <w:numPr>
                <w:ilvl w:val="0"/>
                <w:numId w:val="5"/>
              </w:numPr>
              <w:ind w:left="357" w:hanging="35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Communication Skills </w:t>
            </w:r>
          </w:p>
          <w:p>
            <w:pPr>
              <w:numPr>
                <w:ilvl w:val="0"/>
                <w:numId w:val="5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Skills, Teamwork and Responsibilities</w:t>
            </w:r>
          </w:p>
          <w:p>
            <w:pPr>
              <w:numPr>
                <w:ilvl w:val="0"/>
                <w:numId w:val="5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Values, Ethics, Moral and Professionalism</w:t>
            </w:r>
          </w:p>
          <w:p>
            <w:pPr>
              <w:numPr>
                <w:ilvl w:val="0"/>
                <w:numId w:val="5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Management and Life Long Learning</w:t>
            </w:r>
          </w:p>
          <w:p>
            <w:pPr>
              <w:numPr>
                <w:ilvl w:val="0"/>
                <w:numId w:val="5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and Entrepreneurship</w:t>
            </w:r>
          </w:p>
          <w:p>
            <w:pPr>
              <w:numPr>
                <w:ilvl w:val="0"/>
                <w:numId w:val="5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Skills</w:t>
            </w:r>
          </w:p>
          <w:p>
            <w:pPr>
              <w:rPr>
                <w:rStyle w:val="5"/>
                <w:color w:val="FF0000"/>
                <w:sz w:val="20"/>
                <w:szCs w:val="20"/>
              </w:rPr>
            </w:pPr>
          </w:p>
        </w:tc>
        <w:tc>
          <w:tcPr>
            <w:tcW w:w="1766" w:type="pct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 Skills Learning Outcomes :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and Problem-solving Skills </w:t>
            </w:r>
          </w:p>
          <w:p>
            <w:pPr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Skills</w:t>
            </w:r>
          </w:p>
          <w:p>
            <w:pPr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Teamwork Skills </w:t>
            </w:r>
          </w:p>
          <w:p>
            <w:pPr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Ethics &amp; Moral Professionalism</w:t>
            </w:r>
          </w:p>
          <w:p>
            <w:pPr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Life-long Learning and Information Management</w:t>
            </w:r>
          </w:p>
          <w:p>
            <w:pPr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Entrepreneurial Skills</w:t>
            </w:r>
          </w:p>
          <w:p>
            <w:pPr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Skills</w:t>
            </w:r>
          </w:p>
          <w:p>
            <w:pPr>
              <w:rPr>
                <w:rStyle w:val="5"/>
                <w:color w:val="FF0000"/>
                <w:sz w:val="20"/>
                <w:szCs w:val="20"/>
              </w:rPr>
            </w:pPr>
          </w:p>
        </w:tc>
      </w:tr>
    </w:tbl>
    <w:p>
      <w:pPr>
        <w:rPr>
          <w:b/>
          <w:sz w:val="22"/>
          <w:szCs w:val="22"/>
          <w:lang w:val="en-GB"/>
        </w:rPr>
      </w:pPr>
    </w:p>
    <w:p>
      <w:pPr>
        <w:ind w:left="-36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7532"/>
    <w:multiLevelType w:val="multilevel"/>
    <w:tmpl w:val="080C753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C6231"/>
    <w:multiLevelType w:val="multilevel"/>
    <w:tmpl w:val="1B0C623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E34B0"/>
    <w:multiLevelType w:val="multilevel"/>
    <w:tmpl w:val="1BEE34B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1880494"/>
    <w:multiLevelType w:val="multilevel"/>
    <w:tmpl w:val="21880494"/>
    <w:lvl w:ilvl="0" w:tentative="0">
      <w:start w:val="1"/>
      <w:numFmt w:val="decimal"/>
      <w:lvlText w:val="%1."/>
      <w:lvlJc w:val="left"/>
      <w:pPr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2F95C5B"/>
    <w:multiLevelType w:val="multilevel"/>
    <w:tmpl w:val="52F95C5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44A0F"/>
    <w:multiLevelType w:val="multilevel"/>
    <w:tmpl w:val="77E44A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90206"/>
    <w:rsid w:val="000A7176"/>
    <w:rsid w:val="001F4302"/>
    <w:rsid w:val="00266DFB"/>
    <w:rsid w:val="00455D4E"/>
    <w:rsid w:val="00514A80"/>
    <w:rsid w:val="00542CD3"/>
    <w:rsid w:val="00761DA1"/>
    <w:rsid w:val="00990206"/>
    <w:rsid w:val="00BF41B9"/>
    <w:rsid w:val="00C064CD"/>
    <w:rsid w:val="00DA4010"/>
    <w:rsid w:val="00DB0FAF"/>
    <w:rsid w:val="1830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outlineLvl w:val="0"/>
    </w:pPr>
    <w:rPr>
      <w:b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styleId="5">
    <w:name w:val="Strong"/>
    <w:qFormat/>
    <w:uiPriority w:val="22"/>
    <w:rPr>
      <w:b/>
      <w:bCs/>
    </w:rPr>
  </w:style>
  <w:style w:type="character" w:customStyle="1" w:styleId="7">
    <w:name w:val="Heading 1 Char"/>
    <w:basedOn w:val="4"/>
    <w:link w:val="2"/>
    <w:uiPriority w:val="0"/>
    <w:rPr>
      <w:rFonts w:ascii="Times New Roman" w:hAnsi="Times New Roman" w:eastAsia="Times New Roman" w:cs="Times New Roman"/>
      <w:b/>
      <w:sz w:val="24"/>
      <w:szCs w:val="20"/>
    </w:rPr>
  </w:style>
  <w:style w:type="paragraph" w:styleId="8">
    <w:name w:val="List Paragraph"/>
    <w:basedOn w:val="1"/>
    <w:link w:val="9"/>
    <w:qFormat/>
    <w:uiPriority w:val="34"/>
    <w:pPr>
      <w:ind w:left="720"/>
      <w:contextualSpacing/>
    </w:pPr>
    <w:rPr>
      <w:rFonts w:eastAsia="Calibri"/>
      <w:sz w:val="20"/>
      <w:szCs w:val="20"/>
    </w:rPr>
  </w:style>
  <w:style w:type="character" w:customStyle="1" w:styleId="9">
    <w:name w:val="List Paragraph Char"/>
    <w:link w:val="8"/>
    <w:qFormat/>
    <w:uiPriority w:val="34"/>
    <w:rPr>
      <w:rFonts w:ascii="Times New Roman" w:hAnsi="Times New Roman" w:eastAsia="Calibri" w:cs="Times New Roman"/>
      <w:sz w:val="20"/>
      <w:szCs w:val="20"/>
    </w:rPr>
  </w:style>
  <w:style w:type="character" w:customStyle="1" w:styleId="10">
    <w:name w:val="HTML Preformatted Char"/>
    <w:basedOn w:val="4"/>
    <w:link w:val="3"/>
    <w:qFormat/>
    <w:uiPriority w:val="0"/>
    <w:rPr>
      <w:rFonts w:ascii="Courier New" w:hAnsi="Courier New" w:eastAsia="Times New Roman" w:cs="Times New Roman"/>
      <w:sz w:val="20"/>
      <w:szCs w:val="20"/>
    </w:rPr>
  </w:style>
  <w:style w:type="paragraph" w:customStyle="1" w:styleId="11">
    <w:name w:val="CM7"/>
    <w:basedOn w:val="1"/>
    <w:next w:val="1"/>
    <w:qFormat/>
    <w:uiPriority w:val="99"/>
    <w:pPr>
      <w:widowControl w:val="0"/>
      <w:autoSpaceDE w:val="0"/>
      <w:autoSpaceDN w:val="0"/>
      <w:adjustRightInd w:val="0"/>
      <w:spacing w:line="293" w:lineRule="atLeast"/>
    </w:pPr>
    <w:rPr>
      <w:rFonts w:ascii="Arial" w:hAnsi="Arial" w:cs="Arial"/>
      <w:lang w:val="en-MY" w:eastAsia="en-MY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1599</Words>
  <Characters>9118</Characters>
  <Lines>75</Lines>
  <Paragraphs>21</Paragraphs>
  <TotalTime>14</TotalTime>
  <ScaleCrop>false</ScaleCrop>
  <LinksUpToDate>false</LinksUpToDate>
  <CharactersWithSpaces>10696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2015-05-25T02:00:00Z</dcterms:created>
  <dc:creator>Salmiah</dc:creator>
  <cp:lastModifiedBy>zuldesigner</cp:lastModifiedBy>
  <dcterms:modified xsi:type="dcterms:W3CDTF">2020-12-31T17:01:23Z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