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Supervisor feedback</w:t>
      </w:r>
    </w:p>
    <w:p>
      <w:pPr>
        <w:spacing w:after="160"/>
      </w:pPr>
      <w:r>
        <w:rPr>
          <w:rFonts w:ascii="Arial" w:cs="Arial" w:eastAsia="Arial" w:hAnsi="Arial"/>
          <w:color w:val="444444"/>
          <w:sz w:val="22"/>
          <w:szCs w:val="22"/>
        </w:rPr>
        <w:t xml:space="preserve">Supervisor’s comments on the deliverables and the team’s decisions</w:t>
      </w:r>
    </w:p>
    <w:p>
      <w:pPr>
        <w:spacing w:after="40" w:line="264"/>
      </w:pPr>
      <w:r>
        <w:rPr>
          <w:rFonts w:ascii="Arial" w:cs="Arial" w:eastAsia="Arial" w:hAnsi="Arial"/>
          <w:b/>
          <w:bCs/>
          <w:i w:val="false"/>
          <w:iCs w:val="false"/>
          <w:sz w:val="20"/>
          <w:szCs w:val="20"/>
        </w:rPr>
        <w:t xml:space="preserve">Project: </w:t>
      </w:r>
      <w:r>
        <w:rPr>
          <w:rFonts w:ascii="Arial" w:cs="Arial" w:eastAsia="Arial" w:hAnsi="Arial"/>
          <w:sz w:val="20"/>
          <w:szCs w:val="20"/>
        </w:rPr>
        <w:t xml:space="preserve">PII Anonymization Gateway — a system for detecting and anonymizing personal data before sending text to artificial intelligence services</w:t>
      </w:r>
    </w:p>
    <w:p>
      <w:pPr>
        <w:spacing w:after="40" w:line="264"/>
      </w:pPr>
      <w:r>
        <w:rPr>
          <w:rFonts w:ascii="Arial" w:cs="Arial" w:eastAsia="Arial" w:hAnsi="Arial"/>
          <w:b/>
          <w:bCs/>
          <w:i w:val="false"/>
          <w:iCs w:val="false"/>
          <w:sz w:val="20"/>
          <w:szCs w:val="20"/>
        </w:rPr>
        <w:t xml:space="preserve">Team: </w:t>
      </w:r>
      <w:r>
        <w:rPr>
          <w:rFonts w:ascii="Arial" w:cs="Arial" w:eastAsia="Arial" w:hAnsi="Arial"/>
          <w:sz w:val="20"/>
          <w:szCs w:val="20"/>
        </w:rPr>
        <w:t xml:space="preserve">Dossan Amina (lead, server side), Abzhamal Nazerke (client side, evaluation), group SE-2422</w:t>
      </w:r>
    </w:p>
    <w:p>
      <w:pPr>
        <w:spacing w:after="40" w:line="264"/>
      </w:pPr>
      <w:r>
        <w:rPr>
          <w:rFonts w:ascii="Arial" w:cs="Arial" w:eastAsia="Arial" w:hAnsi="Arial"/>
          <w:b/>
          <w:bCs/>
          <w:i w:val="false"/>
          <w:iCs w:val="false"/>
          <w:sz w:val="20"/>
          <w:szCs w:val="20"/>
        </w:rPr>
        <w:t xml:space="preserve">Supervisor: </w:t>
      </w:r>
      <w:r>
        <w:rPr>
          <w:rFonts w:ascii="Arial" w:cs="Arial" w:eastAsia="Arial" w:hAnsi="Arial"/>
          <w:sz w:val="20"/>
          <w:szCs w:val="20"/>
        </w:rPr>
        <w:t xml:space="preserve">Sakhipov A.A., PhD, Assistant Professor, School of Software Engineering, AITU</w:t>
      </w:r>
    </w:p>
    <w:p>
      <w:pPr>
        <w:spacing w:after="40" w:line="264"/>
      </w:pPr>
      <w:r>
        <w:rPr>
          <w:rFonts w:ascii="Arial" w:cs="Arial" w:eastAsia="Arial" w:hAnsi="Arial"/>
          <w:b/>
          <w:bCs/>
          <w:i w:val="false"/>
          <w:iCs w:val="false"/>
          <w:sz w:val="20"/>
          <w:szCs w:val="20"/>
        </w:rPr>
        <w:t xml:space="preserve">Reviewed materials: </w:t>
      </w:r>
      <w:r>
        <w:rPr>
          <w:rFonts w:ascii="Arial" w:cs="Arial" w:eastAsia="Arial" w:hAnsi="Arial"/>
          <w:sz w:val="20"/>
          <w:szCs w:val="20"/>
        </w:rPr>
        <w:t xml:space="preserve">archive of the main branch as of 24 Oct 2026: README, proposal, literature review, technology comparison, requirements, evidence of relevance and survey responses, evaluation plan, project plan, UX prototype, diagrams, Presidio check</w:t>
      </w:r>
    </w:p>
    <w:p>
      <w:pPr>
        <w:spacing w:after="40" w:line="264"/>
      </w:pPr>
      <w:r>
        <w:rPr>
          <w:rFonts w:ascii="Arial" w:cs="Arial" w:eastAsia="Arial" w:hAnsi="Arial"/>
          <w:b/>
          <w:bCs/>
          <w:i w:val="false"/>
          <w:iCs w:val="false"/>
          <w:sz w:val="20"/>
          <w:szCs w:val="20"/>
        </w:rPr>
        <w:t xml:space="preserve">Date of comments: </w:t>
      </w:r>
      <w:r>
        <w:rPr>
          <w:rFonts w:ascii="Arial" w:cs="Arial" w:eastAsia="Arial" w:hAnsi="Arial"/>
          <w:sz w:val="20"/>
          <w:szCs w:val="20"/>
        </w:rPr>
        <w:t xml:space="preserve">24 Oct 2026</w:t>
      </w:r>
    </w:p>
    <w:p>
      <w:pPr>
        <w:spacing w:after="80" w:line="264"/>
      </w:pPr>
      <w:r>
        <w:rPr>
          <w:rFonts w:ascii="Arial" w:cs="Arial" w:eastAsia="Arial" w:hAnsi="Arial"/>
          <w:sz w:val="18"/>
          <w:szCs w:val="18"/>
        </w:rPr>
        <w:t xml:space="preserve"/>
      </w:r>
    </w:p>
    <w:p>
      <w:pPr>
        <w:spacing w:after="200" w:line="264"/>
      </w:pPr>
      <w:r>
        <w:rPr>
          <w:rFonts w:ascii="Arial" w:cs="Arial" w:eastAsia="Arial" w:hAnsi="Arial"/>
          <w:sz w:val="20"/>
          <w:szCs w:val="20"/>
        </w:rPr>
        <w:t xml:space="preserve">The documents are well developed: the requirements are measurable and trace to experiments, and there is a user survey and a pilot baseline check. Below are five points. Point 1 must be closed before the pre-defence, the rest before implementation starts in November.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5250"/>
        <w:gridCol w:w="3700"/>
        <w:gridCol w:w="3160"/>
      </w:tblGrid>
      <w:tr>
        <w:trPr>
          <w:cantSplit/>
          <w:tblHeader/>
        </w:trPr>
        <w:tc>
          <w:tcPr>
            <w:tcW w:type="dxa" w:w="560"/>
            <w:tcBorders>
              <w:top w:val="single" w:color="9A9A9A" w:sz="4"/>
              <w:left w:val="single" w:color="9A9A9A" w:sz="4"/>
              <w:bottom w:val="single" w:color="9A9A9A" w:sz="4"/>
              <w:right w:val="single" w:color="9A9A9A" w:sz="4"/>
            </w:tcBorders>
            <w:shd w:fill="E7ECF2" w:color="auto" w:val="clear"/>
            <w:tcMar>
              <w:top w:type="dxa" w:w="80"/>
              <w:left w:type="dxa" w:w="100"/>
              <w:bottom w:type="dxa" w:w="60"/>
              <w:right w:type="dxa" w:w="100"/>
            </w:tcMar>
            <w:vAlign w:val="center"/>
          </w:tcPr>
          <w:p>
            <w:pPr>
              <w:spacing w:after="0" w:line="264"/>
              <w:jc w:val="center"/>
            </w:pPr>
            <w:r>
              <w:rPr>
                <w:rFonts w:ascii="Arial" w:cs="Arial" w:eastAsia="Arial" w:hAnsi="Arial"/>
                <w:b/>
                <w:bCs/>
                <w:i w:val="false"/>
                <w:iCs w:val="false"/>
                <w:sz w:val="18"/>
                <w:szCs w:val="18"/>
              </w:rPr>
              <w:t xml:space="preserve">#</w:t>
            </w:r>
          </w:p>
        </w:tc>
        <w:tc>
          <w:tcPr>
            <w:tcW w:type="dxa" w:w="1900"/>
            <w:tcBorders>
              <w:top w:val="single" w:color="9A9A9A" w:sz="4"/>
              <w:left w:val="single" w:color="9A9A9A" w:sz="4"/>
              <w:bottom w:val="single" w:color="9A9A9A" w:sz="4"/>
              <w:right w:val="single" w:color="9A9A9A" w:sz="4"/>
            </w:tcBorders>
            <w:shd w:fill="E7ECF2" w:color="auto" w:val="clear"/>
            <w:tcMar>
              <w:top w:type="dxa" w:w="80"/>
              <w:left w:type="dxa" w:w="100"/>
              <w:bottom w:type="dxa" w:w="60"/>
              <w:right w:type="dxa" w:w="100"/>
            </w:tcMar>
            <w:vAlign w:val="center"/>
          </w:tcPr>
          <w:p>
            <w:pPr>
              <w:spacing w:after="0" w:line="264"/>
            </w:pPr>
            <w:r>
              <w:rPr>
                <w:rFonts w:ascii="Arial" w:cs="Arial" w:eastAsia="Arial" w:hAnsi="Arial"/>
                <w:b/>
                <w:bCs/>
                <w:i w:val="false"/>
                <w:iCs w:val="false"/>
                <w:sz w:val="18"/>
                <w:szCs w:val="18"/>
              </w:rPr>
              <w:t xml:space="preserve">Deliverable</w:t>
            </w:r>
          </w:p>
        </w:tc>
        <w:tc>
          <w:tcPr>
            <w:tcW w:type="dxa" w:w="5250"/>
            <w:tcBorders>
              <w:top w:val="single" w:color="9A9A9A" w:sz="4"/>
              <w:left w:val="single" w:color="9A9A9A" w:sz="4"/>
              <w:bottom w:val="single" w:color="9A9A9A" w:sz="4"/>
              <w:right w:val="single" w:color="9A9A9A" w:sz="4"/>
            </w:tcBorders>
            <w:shd w:fill="E7ECF2" w:color="auto" w:val="clear"/>
            <w:tcMar>
              <w:top w:type="dxa" w:w="80"/>
              <w:left w:type="dxa" w:w="100"/>
              <w:bottom w:type="dxa" w:w="60"/>
              <w:right w:type="dxa" w:w="100"/>
            </w:tcMar>
            <w:vAlign w:val="center"/>
          </w:tcPr>
          <w:p>
            <w:pPr>
              <w:spacing w:after="0" w:line="264"/>
            </w:pPr>
            <w:r>
              <w:rPr>
                <w:rFonts w:ascii="Arial" w:cs="Arial" w:eastAsia="Arial" w:hAnsi="Arial"/>
                <w:b/>
                <w:bCs/>
                <w:i w:val="false"/>
                <w:iCs w:val="false"/>
                <w:sz w:val="18"/>
                <w:szCs w:val="18"/>
              </w:rPr>
              <w:t xml:space="preserve">Comment / question</w:t>
            </w:r>
          </w:p>
        </w:tc>
        <w:tc>
          <w:tcPr>
            <w:tcW w:type="dxa" w:w="3700"/>
            <w:tcBorders>
              <w:top w:val="single" w:color="9A9A9A" w:sz="4"/>
              <w:left w:val="single" w:color="9A9A9A" w:sz="4"/>
              <w:bottom w:val="single" w:color="9A9A9A" w:sz="4"/>
              <w:right w:val="single" w:color="9A9A9A" w:sz="4"/>
            </w:tcBorders>
            <w:shd w:fill="E7ECF2" w:color="auto" w:val="clear"/>
            <w:tcMar>
              <w:top w:type="dxa" w:w="80"/>
              <w:left w:type="dxa" w:w="100"/>
              <w:bottom w:type="dxa" w:w="60"/>
              <w:right w:type="dxa" w:w="100"/>
            </w:tcMar>
            <w:vAlign w:val="center"/>
          </w:tcPr>
          <w:p>
            <w:pPr>
              <w:spacing w:after="0" w:line="264"/>
            </w:pPr>
            <w:r>
              <w:rPr>
                <w:rFonts w:ascii="Arial" w:cs="Arial" w:eastAsia="Arial" w:hAnsi="Arial"/>
                <w:b/>
                <w:bCs/>
                <w:i w:val="false"/>
                <w:iCs w:val="false"/>
                <w:sz w:val="18"/>
                <w:szCs w:val="18"/>
              </w:rPr>
              <w:t xml:space="preserve">Expected action</w:t>
            </w:r>
          </w:p>
        </w:tc>
        <w:tc>
          <w:tcPr>
            <w:tcW w:type="dxa" w:w="3160"/>
            <w:tcBorders>
              <w:top w:val="single" w:color="9A9A9A" w:sz="4"/>
              <w:left w:val="single" w:color="9A9A9A" w:sz="4"/>
              <w:bottom w:val="single" w:color="9A9A9A" w:sz="4"/>
              <w:right w:val="single" w:color="9A9A9A" w:sz="4"/>
            </w:tcBorders>
            <w:shd w:fill="E7ECF2" w:color="auto" w:val="clear"/>
            <w:tcMar>
              <w:top w:type="dxa" w:w="80"/>
              <w:left w:type="dxa" w:w="100"/>
              <w:bottom w:type="dxa" w:w="60"/>
              <w:right w:type="dxa" w:w="100"/>
            </w:tcMar>
            <w:vAlign w:val="center"/>
          </w:tcPr>
          <w:p>
            <w:pPr>
              <w:spacing w:after="0" w:line="264"/>
            </w:pPr>
            <w:r>
              <w:rPr>
                <w:rFonts w:ascii="Arial" w:cs="Arial" w:eastAsia="Arial" w:hAnsi="Arial"/>
                <w:b/>
                <w:bCs/>
                <w:i w:val="false"/>
                <w:iCs w:val="false"/>
                <w:sz w:val="18"/>
                <w:szCs w:val="18"/>
              </w:rPr>
              <w:t xml:space="preserve">Team decision (DIP task, PR)</w:t>
            </w:r>
          </w:p>
        </w:tc>
      </w:tr>
      <w:tr>
        <w:trPr>
          <w:cantSplit/>
        </w:trPr>
        <w:tc>
          <w:tcPr>
            <w:tcW w:type="dxa" w:w="5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jc w:val="center"/>
            </w:pPr>
            <w:r>
              <w:rPr>
                <w:rFonts w:ascii="Arial" w:cs="Arial" w:eastAsia="Arial" w:hAnsi="Arial"/>
                <w:b/>
                <w:bCs/>
                <w:i w:val="false"/>
                <w:iCs w:val="false"/>
                <w:sz w:val="18"/>
                <w:szCs w:val="18"/>
              </w:rPr>
              <w:t xml:space="preserve">1</w:t>
            </w:r>
          </w:p>
        </w:tc>
        <w:tc>
          <w:tcPr>
            <w:tcW w:type="dxa" w:w="19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b/>
                <w:bCs/>
                <w:i w:val="false"/>
                <w:iCs w:val="false"/>
                <w:sz w:val="18"/>
                <w:szCs w:val="18"/>
              </w:rPr>
              <w:t xml:space="preserve">Completeness and consistency of the materials</w:t>
            </w:r>
          </w:p>
          <w:p>
            <w:pPr>
              <w:spacing w:after="80" w:line="264"/>
            </w:pPr>
            <w:r>
              <w:rPr>
                <w:rFonts w:ascii="Arial" w:cs="Arial" w:eastAsia="Arial" w:hAnsi="Arial"/>
                <w:b w:val="false"/>
                <w:bCs w:val="false"/>
                <w:i/>
                <w:iCs/>
                <w:sz w:val="16"/>
                <w:szCs w:val="16"/>
              </w:rPr>
              <w:t xml:space="preserve">README; proposal [8]; evidence-of-relevance; requirements; evaluation-plan; survey-responses.csv</w:t>
            </w:r>
          </w:p>
        </w:tc>
        <w:tc>
          <w:tcPr>
            <w:tcW w:type="dxa" w:w="525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The existing systems comparison is missing, although the proposal, requirements and evaluation plan refer to it. README links point to .md files that do not exist, the status checklist is unticked, the Figma link is a placeholder, and there is no supervisor feedback log.</w:t>
            </w:r>
          </w:p>
          <w:p>
            <w:pPr>
              <w:spacing w:after="80" w:line="264"/>
            </w:pPr>
            <w:r>
              <w:rPr>
                <w:rFonts w:ascii="Arial" w:cs="Arial" w:eastAsia="Arial" w:hAnsi="Arial"/>
                <w:sz w:val="18"/>
                <w:szCs w:val="18"/>
              </w:rPr>
              <w:t xml:space="preserve">The survey data disagree: evidence of relevance says </w:t>
            </w:r>
            <w:r>
              <w:rPr>
                <w:rFonts w:ascii="Arial" w:cs="Arial" w:eastAsia="Arial" w:hAnsi="Arial"/>
                <w:b/>
                <w:bCs/>
                <w:i w:val="false"/>
                <w:iCs w:val="false"/>
                <w:sz w:val="18"/>
                <w:szCs w:val="18"/>
              </w:rPr>
              <w:t xml:space="preserve">n = 30</w:t>
            </w:r>
            <w:r>
              <w:rPr>
                <w:rFonts w:ascii="Arial" w:cs="Arial" w:eastAsia="Arial" w:hAnsi="Arial"/>
                <w:sz w:val="18"/>
                <w:szCs w:val="18"/>
              </w:rPr>
              <w:t xml:space="preserve">, the requirements and the CSV say </w:t>
            </w:r>
            <w:r>
              <w:rPr>
                <w:rFonts w:ascii="Arial" w:cs="Arial" w:eastAsia="Arial" w:hAnsi="Arial"/>
                <w:b/>
                <w:bCs/>
                <w:i w:val="false"/>
                <w:iCs w:val="false"/>
                <w:sz w:val="18"/>
                <w:szCs w:val="18"/>
              </w:rPr>
              <w:t xml:space="preserve">n = 35</w:t>
            </w:r>
            <w:r>
              <w:rPr>
                <w:rFonts w:ascii="Arial" w:cs="Arial" w:eastAsia="Arial" w:hAnsi="Arial"/>
                <w:sz w:val="18"/>
                <w:szCs w:val="18"/>
              </w:rPr>
              <w:t xml:space="preserve">, and the percentages differ between documents (47% vs 51%, 73% vs 71%, 60% vs 63%).</w:t>
            </w:r>
          </w:p>
          <w:p>
            <w:pPr>
              <w:spacing w:after="80" w:line="264"/>
            </w:pPr>
            <w:r>
              <w:rPr>
                <w:rFonts w:ascii="Arial" w:cs="Arial" w:eastAsia="Arial" w:hAnsi="Arial"/>
                <w:sz w:val="18"/>
                <w:szCs w:val="18"/>
              </w:rPr>
              <w:t xml:space="preserve">The evaluation plan misreports the Presidio check: 80% and 86% are two configurations (A and B) over all languages, not “the Russian and English samples”.</w:t>
            </w:r>
          </w:p>
        </w:tc>
        <w:tc>
          <w:tcPr>
            <w:tcW w:type="dxa" w:w="37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Add the existing systems comparison (Presidio, Casper, PromptShield, commercial DLP) as a separate document.</w:t>
            </w:r>
          </w:p>
          <w:p>
            <w:pPr>
              <w:spacing w:after="80" w:line="264"/>
            </w:pPr>
            <w:r>
              <w:rPr>
                <w:rFonts w:ascii="Arial" w:cs="Arial" w:eastAsia="Arial" w:hAnsi="Arial"/>
                <w:sz w:val="18"/>
                <w:szCs w:val="18"/>
              </w:rPr>
              <w:t xml:space="preserve">Recompute the survey on one sample (all 35 responses, or state why 5 were excluded) and update the figures in every document.</w:t>
            </w:r>
          </w:p>
          <w:p>
            <w:pPr>
              <w:spacing w:after="80" w:line="264"/>
            </w:pPr>
            <w:r>
              <w:rPr>
                <w:rFonts w:ascii="Arial" w:cs="Arial" w:eastAsia="Arial" w:hAnsi="Arial"/>
                <w:sz w:val="18"/>
                <w:szCs w:val="18"/>
              </w:rPr>
              <w:t xml:space="preserve">Fix the description of the Presidio check, the README links and checklist, and add docs/supervisor-feedback.</w:t>
            </w:r>
          </w:p>
        </w:tc>
        <w:tc>
          <w:tcPr>
            <w:tcW w:type="dxa" w:w="31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
              <w:rPr>
                <w:b/>
                <w:sz w:val="18"/>
              </w:rPr>
              <w:t>Accepted; closed before pre-defense 1.</w:t>
            </w:r>
          </w:p>
          <w:p>
            <w:r>
              <w:rPr>
                <w:sz w:val="18"/>
              </w:rPr>
              <w:t>• Existing system comparison (Presidio, Google Cloud Sensitive Data Protection, Limina, Casper, PromptShield) with the Presidio experiment added as docs/existing-systems — DIP-12.</w:t>
            </w:r>
          </w:p>
          <w:p>
            <w:r>
              <w:rPr>
                <w:sz w:val="18"/>
              </w:rPr>
              <w:t>• Evidence of relevance recomputed on all 35 responses received by the data export on 22 Oct 2026 (3 later responses excluded and stated); n = 35 and the same percentages are used in all documents — DIP-5.</w:t>
            </w:r>
          </w:p>
          <w:p>
            <w:r>
              <w:rPr>
                <w:sz w:val="18"/>
              </w:rPr>
              <w:t>• Description of the Presidio check corrected (configurations A and B over all languages) — DIP-16.</w:t>
            </w:r>
          </w:p>
          <w:p>
            <w:r>
              <w:rPr>
                <w:sz w:val="18"/>
              </w:rPr>
              <w:t>• README links, status checklist and Figma link fixed — DIP-19; feedback log added as docs/supervisor-feedback — DIP-18.</w:t>
            </w:r>
          </w:p>
          <w:p>
            <w:r>
              <w:rPr>
                <w:i/>
                <w:sz w:val="18"/>
              </w:rPr>
              <w:t xml:space="preserve">PR: </w:t>
            </w:r>
          </w:p>
        </w:tc>
      </w:tr>
      <w:tr>
        <w:trPr>
          <w:cantSplit/>
        </w:trPr>
        <w:tc>
          <w:tcPr>
            <w:tcW w:type="dxa" w:w="5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jc w:val="center"/>
            </w:pPr>
            <w:r>
              <w:rPr>
                <w:rFonts w:ascii="Arial" w:cs="Arial" w:eastAsia="Arial" w:hAnsi="Arial"/>
                <w:b/>
                <w:bCs/>
                <w:i w:val="false"/>
                <w:iCs w:val="false"/>
                <w:sz w:val="18"/>
                <w:szCs w:val="18"/>
              </w:rPr>
              <w:t xml:space="preserve">2</w:t>
            </w:r>
          </w:p>
        </w:tc>
        <w:tc>
          <w:tcPr>
            <w:tcW w:type="dxa" w:w="19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b/>
                <w:bCs/>
                <w:i w:val="false"/>
                <w:iCs w:val="false"/>
                <w:sz w:val="18"/>
                <w:szCs w:val="18"/>
              </w:rPr>
              <w:t xml:space="preserve">Project focus in light of the survey</w:t>
            </w:r>
          </w:p>
          <w:p>
            <w:pPr>
              <w:spacing w:after="80" w:line="264"/>
            </w:pPr>
            <w:r>
              <w:rPr>
                <w:rFonts w:ascii="Arial" w:cs="Arial" w:eastAsia="Arial" w:hAnsi="Arial"/>
                <w:b w:val="false"/>
                <w:bCs w:val="false"/>
                <w:i/>
                <w:iCs/>
                <w:sz w:val="16"/>
                <w:szCs w:val="16"/>
              </w:rPr>
              <w:t xml:space="preserve">evidence-of-relevance; proposal §2, §8; requirements, Administrator and Auditor roles</w:t>
            </w:r>
          </w:p>
        </w:tc>
        <w:tc>
          <w:tcPr>
            <w:tcW w:type="dxa" w:w="525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The project’s main distinction is framed around Kazakhstan identifiers (IIN/BIN, IBAN). Yet in the survey IIN/BIN appear in prompts for only 4 of 30 respondents, cards and IBAN for 2. Most frequent are full names (17), phones and e-mails.</w:t>
            </w:r>
          </w:p>
          <w:p>
            <w:pPr>
              <w:spacing w:after="80" w:line="264"/>
            </w:pPr>
            <w:r>
              <w:rPr>
                <w:rFonts w:ascii="Arial" w:cs="Arial" w:eastAsia="Arial" w:hAnsi="Arial"/>
                <w:sz w:val="18"/>
                <w:szCs w:val="18"/>
              </w:rPr>
              <w:t xml:space="preserve">Structured identifiers are found with a regular expression plus checksum. The genuinely hard part is names and addresses in Kazakh, Russian and mixed text, with cases and suffixes.</w:t>
            </w:r>
          </w:p>
          <w:p>
            <w:pPr>
              <w:spacing w:after="80" w:line="264"/>
            </w:pPr>
            <w:r>
              <w:rPr>
                <w:rFonts w:ascii="Arial" w:cs="Arial" w:eastAsia="Arial" w:hAnsi="Arial"/>
                <w:sz w:val="18"/>
                <w:szCs w:val="18"/>
              </w:rPr>
              <w:t xml:space="preserve">63% of the sample are students and IT staff. There are no information security specialists among respondents, although the policies, log and auditor role are designed for them.</w:t>
            </w:r>
          </w:p>
          <w:p>
            <w:pPr>
              <w:spacing w:after="80" w:line="264"/>
            </w:pPr>
            <w:r>
              <w:rPr>
                <w:rFonts w:ascii="Arial" w:cs="Arial" w:eastAsia="Arial" w:hAnsi="Arial"/>
                <w:b/>
                <w:bCs/>
                <w:i w:val="false"/>
                <w:iCs w:val="false"/>
                <w:sz w:val="18"/>
                <w:szCs w:val="18"/>
              </w:rPr>
              <w:t xml:space="preserve">Question: </w:t>
            </w:r>
            <w:r>
              <w:rPr>
                <w:rFonts w:ascii="Arial" w:cs="Arial" w:eastAsia="Arial" w:hAnsi="Arial"/>
                <w:sz w:val="18"/>
                <w:szCs w:val="18"/>
              </w:rPr>
              <w:t xml:space="preserve">who will deploy the system in an organisation, and is it confirmed that they need the admin panel and policies?</w:t>
            </w:r>
          </w:p>
        </w:tc>
        <w:tc>
          <w:tcPr>
            <w:tcW w:type="dxa" w:w="37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In the proposal and literature review, move the novelty towards detecting names and addresses in Kazakh, Russian and mixed text.</w:t>
            </w:r>
          </w:p>
          <w:p>
            <w:pPr>
              <w:spacing w:after="80" w:line="264"/>
            </w:pPr>
            <w:r>
              <w:rPr>
                <w:rFonts w:ascii="Arial" w:cs="Arial" w:eastAsia="Arial" w:hAnsi="Arial"/>
                <w:sz w:val="18"/>
                <w:szCs w:val="18"/>
              </w:rPr>
              <w:t xml:space="preserve">Hold 3–4 short interviews with information security specialists or DPOs (bank, university, public body) on FR-6 and FR-7.</w:t>
            </w:r>
          </w:p>
          <w:p>
            <w:pPr>
              <w:spacing w:after="80" w:line="264"/>
            </w:pPr>
            <w:r>
              <w:rPr>
                <w:rFonts w:ascii="Arial" w:cs="Arial" w:eastAsia="Arial" w:hAnsi="Arial"/>
                <w:sz w:val="18"/>
                <w:szCs w:val="18"/>
              </w:rPr>
              <w:t xml:space="preserve">If the interviews do not confirm the need, move the admin panel and auditor role to Should.</w:t>
            </w:r>
          </w:p>
        </w:tc>
        <w:tc>
          <w:tcPr>
            <w:tcW w:type="dxa" w:w="31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
              <w:rPr>
                <w:b/>
                <w:sz w:val="18"/>
              </w:rPr>
              <w:t>Accepted; planned for November 2026.</w:t>
            </w:r>
          </w:p>
          <w:p>
            <w:r>
              <w:rPr>
                <w:sz w:val="18"/>
              </w:rPr>
              <w:t>• Novelty reformulated in the proposal and literature review: detection of names and addresses in Kazakh, Russian and mixed text with morphology-aware pseudonymization; structured identifiers are a supporting component — DIP-20.</w:t>
            </w:r>
          </w:p>
          <w:p>
            <w:r>
              <w:rPr>
                <w:sz w:val="18"/>
              </w:rPr>
              <w:t>• Answer: the system is deployed by the information security or IT department of the organization. 3–4 interviews with information security specialists or DPOs (bank, university, public body) on FR-6 and FR-7 — DIP-21; if the need is not confirmed, the admin panel and auditor role are moved to Should.</w:t>
            </w:r>
          </w:p>
          <w:p>
            <w:r>
              <w:rPr>
                <w:i/>
                <w:sz w:val="18"/>
              </w:rPr>
              <w:t xml:space="preserve">PR: </w:t>
            </w:r>
          </w:p>
        </w:tc>
      </w:tr>
      <w:tr>
        <w:trPr>
          <w:cantSplit/>
        </w:trPr>
        <w:tc>
          <w:tcPr>
            <w:tcW w:type="dxa" w:w="5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jc w:val="center"/>
            </w:pPr>
            <w:r>
              <w:rPr>
                <w:rFonts w:ascii="Arial" w:cs="Arial" w:eastAsia="Arial" w:hAnsi="Arial"/>
                <w:b/>
                <w:bCs/>
                <w:i w:val="false"/>
                <w:iCs w:val="false"/>
                <w:sz w:val="18"/>
                <w:szCs w:val="18"/>
              </w:rPr>
              <w:t xml:space="preserve">3</w:t>
            </w:r>
          </w:p>
        </w:tc>
        <w:tc>
          <w:tcPr>
            <w:tcW w:type="dxa" w:w="19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b/>
                <w:bCs/>
                <w:i w:val="false"/>
                <w:iCs w:val="false"/>
                <w:sz w:val="18"/>
                <w:szCs w:val="18"/>
              </w:rPr>
              <w:t xml:space="preserve">Response restoration and morphology</w:t>
            </w:r>
          </w:p>
          <w:p>
            <w:pPr>
              <w:spacing w:after="80" w:line="264"/>
            </w:pPr>
            <w:r>
              <w:rPr>
                <w:rFonts w:ascii="Arial" w:cs="Arial" w:eastAsia="Arial" w:hAnsi="Arial"/>
                <w:b w:val="false"/>
                <w:bCs w:val="false"/>
                <w:i/>
                <w:iCs/>
                <w:sz w:val="16"/>
                <w:szCs w:val="16"/>
              </w:rPr>
              <w:t xml:space="preserve">requirements FR-3.2, FR-4.1–4.3; proposal §8; evaluation plan, experiments 3–4</w:t>
            </w:r>
          </w:p>
        </w:tc>
        <w:tc>
          <w:tcPr>
            <w:tcW w:type="dxa" w:w="525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FR-3.2 covers “several word forms → one pseudonym”, but the reverse is not specified. The model writes “Уважаемый &lt;PERSON_1&gt;” or “&lt;PERSON_1&gt;-ға”; inserting the original form “Айгерим Нурланова” gives the wrong case, gender and vowel harmony.</w:t>
            </w:r>
          </w:p>
          <w:p>
            <w:pPr>
              <w:spacing w:after="80" w:line="264"/>
            </w:pPr>
            <w:r>
              <w:rPr>
                <w:rFonts w:ascii="Arial" w:cs="Arial" w:eastAsia="Arial" w:hAnsi="Arial"/>
                <w:sz w:val="18"/>
                <w:szCs w:val="18"/>
              </w:rPr>
              <w:t xml:space="preserve">The &lt;PERSON_1&gt; tag hides the gender and language of the name from the model, so the response can be ungrammatical even before restoration. Casper, from the literature review, uses realistic pseudonyms.</w:t>
            </w:r>
          </w:p>
          <w:p>
            <w:pPr>
              <w:spacing w:after="80" w:line="264"/>
            </w:pPr>
            <w:r>
              <w:rPr>
                <w:rFonts w:ascii="Arial" w:cs="Arial" w:eastAsia="Arial" w:hAnsi="Arial"/>
                <w:b/>
                <w:bCs/>
                <w:i w:val="false"/>
                <w:iCs w:val="false"/>
                <w:sz w:val="18"/>
                <w:szCs w:val="18"/>
              </w:rPr>
              <w:t xml:space="preserve">Question: </w:t>
            </w:r>
            <w:r>
              <w:rPr>
                <w:rFonts w:ascii="Arial" w:cs="Arial" w:eastAsia="Arial" w:hAnsi="Arial"/>
                <w:sz w:val="18"/>
                <w:szCs w:val="18"/>
              </w:rPr>
              <w:t xml:space="preserve">which replacement method is chosen and why: tags, typed tags with gender, or realistic surrogate names?</w:t>
            </w:r>
          </w:p>
        </w:tc>
        <w:tc>
          <w:tcPr>
            <w:tcW w:type="dxa" w:w="37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In November, run a small experiment on 30–50 Russian and Kazakh prompts comparing the three methods on restoration quality and grammar of the response.</w:t>
            </w:r>
          </w:p>
          <w:p>
            <w:pPr>
              <w:spacing w:after="80" w:line="264"/>
            </w:pPr>
            <w:r>
              <w:rPr>
                <w:rFonts w:ascii="Arial" w:cs="Arial" w:eastAsia="Arial" w:hAnsi="Arial"/>
                <w:sz w:val="18"/>
                <w:szCs w:val="18"/>
              </w:rPr>
              <w:t xml:space="preserve">Add a requirement for grammatically correct restoration (case, gender, suffix) and a metric for it in experiments 3–4.</w:t>
            </w:r>
          </w:p>
        </w:tc>
        <w:tc>
          <w:tcPr>
            <w:tcW w:type="dxa" w:w="31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
              <w:rPr>
                <w:b/>
                <w:sz w:val="18"/>
              </w:rPr>
              <w:t>Accepted; experiment in November 2026.</w:t>
            </w:r>
          </w:p>
          <w:p>
            <w:r>
              <w:rPr>
                <w:sz w:val="18"/>
              </w:rPr>
              <w:t>• Answer: the current prototype uses typed tags; the final method is chosen by an experiment on 30–50 Russian and Kazakh prompts comparing (a) typed tags, (b) typed tags with gender and language attributes, (c) realistic surrogate names matched by gender and language (as in Casper) — DIP-22.</w:t>
            </w:r>
          </w:p>
          <w:p>
            <w:r>
              <w:rPr>
                <w:sz w:val="18"/>
              </w:rPr>
              <w:t>• New requirement FR-4.5 (grammatically correct restoration: case, gender, suffix) and a metric for it in experiments 3–4 of the evaluation plan — DIP-22.</w:t>
            </w:r>
          </w:p>
          <w:p>
            <w:r>
              <w:rPr>
                <w:i/>
                <w:sz w:val="18"/>
              </w:rPr>
              <w:t xml:space="preserve">PR: </w:t>
            </w:r>
          </w:p>
        </w:tc>
      </w:tr>
      <w:tr>
        <w:trPr>
          <w:cantSplit/>
        </w:trPr>
        <w:tc>
          <w:tcPr>
            <w:tcW w:type="dxa" w:w="5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jc w:val="center"/>
            </w:pPr>
            <w:r>
              <w:rPr>
                <w:rFonts w:ascii="Arial" w:cs="Arial" w:eastAsia="Arial" w:hAnsi="Arial"/>
                <w:b/>
                <w:bCs/>
                <w:i w:val="false"/>
                <w:iCs w:val="false"/>
                <w:sz w:val="18"/>
                <w:szCs w:val="18"/>
              </w:rPr>
              <w:t xml:space="preserve">4</w:t>
            </w:r>
          </w:p>
        </w:tc>
        <w:tc>
          <w:tcPr>
            <w:tcW w:type="dxa" w:w="19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b/>
                <w:bCs/>
                <w:i w:val="false"/>
                <w:iCs w:val="false"/>
                <w:sz w:val="18"/>
                <w:szCs w:val="18"/>
              </w:rPr>
              <w:t xml:space="preserve">Validity of the evaluation</w:t>
            </w:r>
          </w:p>
          <w:p>
            <w:pPr>
              <w:spacing w:after="80" w:line="264"/>
            </w:pPr>
            <w:r>
              <w:rPr>
                <w:rFonts w:ascii="Arial" w:cs="Arial" w:eastAsia="Arial" w:hAnsi="Arial"/>
                <w:b w:val="false"/>
                <w:bCs w:val="false"/>
                <w:i/>
                <w:iCs/>
                <w:sz w:val="16"/>
                <w:szCs w:val="16"/>
              </w:rPr>
              <w:t xml:space="preserve">evaluation plan (corpus, experiment 1, threats to validity); requirements FR-1.1</w:t>
            </w:r>
          </w:p>
        </w:tc>
        <w:tc>
          <w:tcPr>
            <w:tcW w:type="dxa" w:w="525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The test corpus is generated from templates written by the team, and IINs, cards and IBANs are created by the same rule that later detects them. Under this setup the FR-1.1 threshold (≥ 0.95) is almost guaranteed.</w:t>
            </w:r>
          </w:p>
          <w:p>
            <w:pPr>
              <w:spacing w:after="80" w:line="264"/>
            </w:pPr>
            <w:r>
              <w:rPr>
                <w:rFonts w:ascii="Arial" w:cs="Arial" w:eastAsia="Arial" w:hAnsi="Arial"/>
                <w:sz w:val="18"/>
                <w:szCs w:val="18"/>
              </w:rPr>
              <w:t xml:space="preserve">The corpus does not cover real-world variants: IINs with spaces, lowercase names, Latin script and transliteration (“Aigerim”, the new Kazakh alphabet), typos.</w:t>
            </w:r>
          </w:p>
          <w:p>
            <w:pPr>
              <w:spacing w:after="80" w:line="264"/>
            </w:pPr>
            <w:r>
              <w:rPr>
                <w:rFonts w:ascii="Arial" w:cs="Arial" w:eastAsia="Arial" w:hAnsi="Arial"/>
                <w:sz w:val="18"/>
                <w:szCs w:val="18"/>
              </w:rPr>
              <w:t xml:space="preserve">Presidio “without customization” is a weak baseline; the committee will ask why it is not compared with Presidio plus a simple IIN rule.</w:t>
            </w:r>
          </w:p>
          <w:p>
            <w:pPr>
              <w:spacing w:after="80" w:line="264"/>
            </w:pPr>
            <w:r>
              <w:rPr>
                <w:rFonts w:ascii="Arial" w:cs="Arial" w:eastAsia="Arial" w:hAnsi="Arial"/>
                <w:b/>
                <w:bCs/>
                <w:i w:val="false"/>
                <w:iCs w:val="false"/>
                <w:sz w:val="18"/>
                <w:szCs w:val="18"/>
              </w:rPr>
              <w:t xml:space="preserve">Question: </w:t>
            </w:r>
            <w:r>
              <w:rPr>
                <w:rFonts w:ascii="Arial" w:cs="Arial" w:eastAsia="Arial" w:hAnsi="Arial"/>
                <w:sz w:val="18"/>
                <w:szCs w:val="18"/>
              </w:rPr>
              <w:t xml:space="preserve">what will confirm the quality on texts not written by the team?</w:t>
            </w:r>
          </w:p>
        </w:tc>
        <w:tc>
          <w:tcPr>
            <w:tcW w:type="dxa" w:w="37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Build an independent held-out set: 100–150 texts with fictitious data written by people outside the team (e.g. survey volunteers), including Latin script and transliteration.</w:t>
            </w:r>
          </w:p>
          <w:p>
            <w:pPr>
              <w:spacing w:after="80" w:line="264"/>
            </w:pPr>
            <w:r>
              <w:rPr>
                <w:rFonts w:ascii="Arial" w:cs="Arial" w:eastAsia="Arial" w:hAnsi="Arial"/>
                <w:sz w:val="18"/>
                <w:szCs w:val="18"/>
              </w:rPr>
              <w:t xml:space="preserve">Add a second baseline: Presidio with minimal customisation (regular expressions for IIN and phones, a Russian model).</w:t>
            </w:r>
          </w:p>
          <w:p>
            <w:pPr>
              <w:spacing w:after="80" w:line="264"/>
            </w:pPr>
            <w:r>
              <w:rPr>
                <w:rFonts w:ascii="Arial" w:cs="Arial" w:eastAsia="Arial" w:hAnsi="Arial"/>
                <w:sz w:val="18"/>
                <w:szCs w:val="18"/>
              </w:rPr>
              <w:t xml:space="preserve">Report results on the template corpus and the independent set separately.</w:t>
            </w:r>
          </w:p>
        </w:tc>
        <w:tc>
          <w:tcPr>
            <w:tcW w:type="dxa" w:w="31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
              <w:rPr>
                <w:b/>
                <w:sz w:val="18"/>
              </w:rPr>
              <w:t>Accepted; planned for November–December 2026.</w:t>
            </w:r>
          </w:p>
          <w:p>
            <w:r>
              <w:rPr>
                <w:sz w:val="18"/>
              </w:rPr>
              <w:t>• Answer: an independent held-out set of 100–150 texts with fictitious data written by people outside the team (survey volunteers), including Latin script, transliteration, IIN with spaces, lowercase names and typos — DIP-23.</w:t>
            </w:r>
          </w:p>
          <w:p>
            <w:r>
              <w:rPr>
                <w:sz w:val="18"/>
              </w:rPr>
              <w:t>• Second baseline: Presidio with minimal customization (IIN and phone regular expressions, Russian model); results reported separately for the template corpus and the independent set — DIP-23.</w:t>
            </w:r>
          </w:p>
          <w:p>
            <w:r>
              <w:rPr>
                <w:i/>
                <w:sz w:val="18"/>
              </w:rPr>
              <w:t xml:space="preserve">PR: </w:t>
            </w:r>
          </w:p>
        </w:tc>
      </w:tr>
      <w:tr>
        <w:trPr>
          <w:cantSplit/>
        </w:trPr>
        <w:tc>
          <w:tcPr>
            <w:tcW w:type="dxa" w:w="5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jc w:val="center"/>
            </w:pPr>
            <w:r>
              <w:rPr>
                <w:rFonts w:ascii="Arial" w:cs="Arial" w:eastAsia="Arial" w:hAnsi="Arial"/>
                <w:b/>
                <w:bCs/>
                <w:i w:val="false"/>
                <w:iCs w:val="false"/>
                <w:sz w:val="18"/>
                <w:szCs w:val="18"/>
              </w:rPr>
              <w:t xml:space="preserve">5</w:t>
            </w:r>
          </w:p>
        </w:tc>
        <w:tc>
          <w:tcPr>
            <w:tcW w:type="dxa" w:w="19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b/>
                <w:bCs/>
                <w:i w:val="false"/>
                <w:iCs w:val="false"/>
                <w:sz w:val="18"/>
                <w:szCs w:val="18"/>
              </w:rPr>
              <w:t xml:space="preserve">Threat model and legal status</w:t>
            </w:r>
          </w:p>
          <w:p>
            <w:pPr>
              <w:spacing w:after="80" w:line="264"/>
            </w:pPr>
            <w:r>
              <w:rPr>
                <w:rFonts w:ascii="Arial" w:cs="Arial" w:eastAsia="Arial" w:hAnsi="Arial"/>
                <w:b w:val="false"/>
                <w:bCs w:val="false"/>
                <w:i/>
                <w:iCs/>
                <w:sz w:val="16"/>
                <w:szCs w:val="16"/>
              </w:rPr>
              <w:t xml:space="preserve">requirements §3, NFR-2, NFR-4, NFR-8; technology comparison, decision 6</w:t>
            </w:r>
          </w:p>
        </w:tc>
        <w:tc>
          <w:tcPr>
            <w:tcW w:type="dxa" w:w="525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The claim “only anonymized text leaves the organisation” holds only for a cooperative user. The extension can be disabled, or the AI service opened in another browser or on a phone; fail-closed (NFR-4) does not protect against this.</w:t>
            </w:r>
          </w:p>
          <w:p>
            <w:pPr>
              <w:spacing w:after="80" w:line="264"/>
            </w:pPr>
            <w:r>
              <w:rPr>
                <w:rFonts w:ascii="Arial" w:cs="Arial" w:eastAsia="Arial" w:hAnsi="Arial"/>
                <w:sz w:val="18"/>
                <w:szCs w:val="18"/>
              </w:rPr>
              <w:t xml:space="preserve">The extension reads the ChatGPT and Gemini pages in full, and the organisation’s server receives all texts in full. This is exactly what 5–6 respondents are worried about.</w:t>
            </w:r>
          </w:p>
          <w:p>
            <w:pPr>
              <w:spacing w:after="80" w:line="264"/>
            </w:pPr>
            <w:r>
              <w:rPr>
                <w:rFonts w:ascii="Arial" w:cs="Arial" w:eastAsia="Arial" w:hAnsi="Arial"/>
                <w:sz w:val="18"/>
                <w:szCs w:val="18"/>
              </w:rPr>
              <w:t xml:space="preserve">Pseudonymized text often remains personal data through context (job title, city, event). The reference to compliance with Law No. 94-V needs careful wording.</w:t>
            </w:r>
          </w:p>
        </w:tc>
        <w:tc>
          <w:tcPr>
            <w:tcW w:type="dxa" w:w="370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Pr>
                <w:rFonts w:ascii="Arial" w:cs="Arial" w:eastAsia="Arial" w:hAnsi="Arial"/>
                <w:sz w:val="18"/>
                <w:szCs w:val="18"/>
              </w:rPr>
              <w:t xml:space="preserve">Add a “Threat model” section: who we protect against (user error or intent), what the system guarantees and what it does not.</w:t>
            </w:r>
          </w:p>
          <w:p>
            <w:pPr>
              <w:spacing w:after="80" w:line="264"/>
            </w:pPr>
            <w:r>
              <w:rPr>
                <w:rFonts w:ascii="Arial" w:cs="Arial" w:eastAsia="Arial" w:hAnsi="Arial"/>
                <w:sz w:val="18"/>
                <w:szCs w:val="18"/>
              </w:rPr>
              <w:t xml:space="preserve">State the deployment condition: the extension is force-installed by browser policy; list the minimal extension permissions.</w:t>
            </w:r>
          </w:p>
          <w:p>
            <w:pPr>
              <w:spacing w:after="80" w:line="264"/>
            </w:pPr>
            <w:r>
              <w:rPr>
                <w:rFonts w:ascii="Arial" w:cs="Arial" w:eastAsia="Arial" w:hAnsi="Arial"/>
                <w:sz w:val="18"/>
                <w:szCs w:val="18"/>
              </w:rPr>
              <w:t xml:space="preserve">Replace “complies with the law” with “reduces the risk of transferring direct identifiers” and describe the limitations regarding quasi-identifiers.</w:t>
            </w:r>
          </w:p>
        </w:tc>
        <w:tc>
          <w:tcPr>
            <w:tcW w:type="dxa" w:w="3160"/>
            <w:tcBorders>
              <w:top w:val="single" w:color="9A9A9A" w:sz="4"/>
              <w:left w:val="single" w:color="9A9A9A" w:sz="4"/>
              <w:bottom w:val="single" w:color="9A9A9A" w:sz="4"/>
              <w:right w:val="single" w:color="9A9A9A" w:sz="4"/>
            </w:tcBorders>
            <w:tcMar>
              <w:top w:type="dxa" w:w="80"/>
              <w:left w:type="dxa" w:w="100"/>
              <w:bottom w:type="dxa" w:w="60"/>
              <w:right w:type="dxa" w:w="100"/>
            </w:tcMar>
            <w:vAlign w:val="top"/>
          </w:tcPr>
          <w:p>
            <w:pPr>
              <w:spacing w:after="80" w:line="264"/>
            </w:pPr>
            <w:r/>
            <w:r>
              <w:rPr>
                <w:b/>
                <w:sz w:val="18"/>
              </w:rPr>
              <w:t>Accepted; planned for November 2026.</w:t>
            </w:r>
          </w:p>
          <w:p>
            <w:r>
              <w:rPr>
                <w:sz w:val="18"/>
              </w:rPr>
              <w:t>• “Threat model” section in the requirements: the system protects against accidental disclosure by a cooperative user, not against intentional bypass (other browser, phone, disabled extension) — DIP-24.</w:t>
            </w:r>
          </w:p>
          <w:p>
            <w:r>
              <w:rPr>
                <w:sz w:val="18"/>
              </w:rPr>
              <w:t>• Deployment condition: the extension is force-installed by enterprise browser policy; minimal permissions listed (host access only to the ChatGPT and Gemini pages, storage). Server-side processing without storing original texts — DIP-24.</w:t>
            </w:r>
          </w:p>
          <w:p>
            <w:r>
              <w:rPr>
                <w:sz w:val="18"/>
              </w:rPr>
              <w:t>• “Complies with the law” replaced with “reduces the risk of transferring direct identifiers”; limitations regarding quasi-identifiers described — DIP-24.</w:t>
            </w:r>
          </w:p>
          <w:p>
            <w:r>
              <w:rPr>
                <w:i/>
                <w:sz w:val="18"/>
              </w:rPr>
              <w:t xml:space="preserve">PR: </w:t>
            </w:r>
          </w:p>
        </w:tc>
      </w:tr>
    </w:tbl>
    <w:p>
      <w:pPr>
        <w:spacing w:after="120" w:line="264"/>
      </w:pPr>
      <w:r>
        <w:rPr>
          <w:rFonts w:ascii="Arial" w:cs="Arial" w:eastAsia="Arial" w:hAnsi="Arial"/>
          <w:sz w:val="18"/>
          <w:szCs w:val="18"/>
        </w:rPr>
        <w:t xml:space="preserve"/>
      </w:r>
    </w:p>
    <w:p>
      <w:pPr>
        <w:spacing w:after="80" w:line="264"/>
      </w:pPr>
      <w:r>
        <w:rPr>
          <w:rFonts w:ascii="Arial" w:cs="Arial" w:eastAsia="Arial" w:hAnsi="Arial"/>
          <w:sz w:val="20"/>
          <w:szCs w:val="20"/>
        </w:rPr>
        <w:t xml:space="preserve">Please fill in the last column (with the DIP task ID and the PR link) and copy the decisions into the feedback log in the repository. I suggest discussing points 2 and 3 at the next meeting.</w:t>
      </w:r>
    </w:p>
    <w:sectPr>
      <w:footerReference w:type="default" r:id="rId6"/>
      <w:pgSz w:w="16838" w:h="11906" w:orient="landscape"/>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PII Anonymization Gateway · Supervisor feedback · p.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feedback</dc:title>
  <dc:creator>Sakhipov A.A.</dc:creator>
  <cp:lastModifiedBy>Un-named</cp:lastModifiedBy>
  <cp:revision>1</cp:revision>
  <dcterms:created xsi:type="dcterms:W3CDTF">2026-10-24T05:28:15.467Z</dcterms:created>
  <dcterms:modified xsi:type="dcterms:W3CDTF">2026-10-24T05:28:15.467Z</dcterms:modified>
</cp:coreProperties>
</file>

<file path=docProps/custom.xml><?xml version="1.0" encoding="utf-8"?>
<Properties xmlns="http://schemas.openxmlformats.org/officeDocument/2006/custom-properties" xmlns:vt="http://schemas.openxmlformats.org/officeDocument/2006/docPropsVTypes"/>
</file>