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прохождению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кибербезопасности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криптографии: асимметричные и симметричные примитивы, хэш-функции, электронную цифровую подпись, многофакторную аутентификацию, а также применение этих технологий в платёжных системах и блокчейне.</w:t>
      </w:r>
    </w:p>
    <w:bookmarkEnd w:id="20"/>
    <w:bookmarkStart w:id="7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криптографические-примитив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Криптографические примитивы</w:t>
      </w:r>
    </w:p>
    <w:p>
      <w:pPr>
        <w:pStyle w:val="FirstParagraph"/>
      </w:pPr>
      <w:r>
        <w:t xml:space="preserve">В асимметричных криптографических примитивах обе стороны имеют пару ключей</w:t>
      </w:r>
      <w:r>
        <w:t xml:space="preserve"> </w:t>
      </w:r>
      <w:r>
        <w:t xml:space="preserve">В асимметричной криптографии у каждого участника есть открытый ключ (доступен всем) и секретный ключ (хранится в тайне). Это фундаментальное отличие от симметричной криптографии.</w:t>
      </w:r>
    </w:p>
    <w:p>
      <w:pPr>
        <w:pStyle w:val="CaptionedFigure"/>
      </w:pPr>
      <w:r>
        <w:drawing>
          <wp:inline>
            <wp:extent cx="3733800" cy="1613321"/>
            <wp:effectExtent b="0" l="0" r="0" t="0"/>
            <wp:docPr descr="Асимметричные примитив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Асимметричные примитивы</w:t>
      </w:r>
    </w:p>
    <w:p>
      <w:pPr>
        <w:pStyle w:val="BodyText"/>
      </w:pPr>
      <w:r>
        <w:t xml:space="preserve">Криптографическая хэш-функция</w:t>
      </w:r>
      <w:r>
        <w:t xml:space="preserve"> </w:t>
      </w:r>
      <w:r>
        <w:t xml:space="preserve">Хэш-функция даёт на выходе фиксированное число бит, стойкая к коллизиям и эффективно вычисляется. Конфиденциальность она не обеспечивает, так как необратима.</w:t>
      </w:r>
    </w:p>
    <w:p>
      <w:pPr>
        <w:pStyle w:val="CaptionedFigure"/>
      </w:pPr>
      <w:r>
        <w:drawing>
          <wp:inline>
            <wp:extent cx="3733800" cy="2083477"/>
            <wp:effectExtent b="0" l="0" r="0" t="0"/>
            <wp:docPr descr="Хэш-функц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Хэш-функция</w:t>
      </w:r>
    </w:p>
    <w:p>
      <w:pPr>
        <w:pStyle w:val="BodyText"/>
      </w:pPr>
      <w:r>
        <w:t xml:space="preserve">К алгоритмам цифровой подписи относятся RSA, ECDSA и ГОСТ Р 34.10-2012</w:t>
      </w:r>
      <w:r>
        <w:t xml:space="preserve"> </w:t>
      </w:r>
      <w:r>
        <w:t xml:space="preserve">Данные алгоритмы реализуют математические схемы для создания и проверки электронной подписи. AES — алгоритм шифрования, SHA2 — хэш-функция.</w:t>
      </w:r>
    </w:p>
    <w:p>
      <w:pPr>
        <w:pStyle w:val="CaptionedFigure"/>
      </w:pPr>
      <w:r>
        <w:drawing>
          <wp:inline>
            <wp:extent cx="3733800" cy="2804379"/>
            <wp:effectExtent b="0" l="0" r="0" t="0"/>
            <wp:docPr descr="Алгоритмы подпис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Алгоритмы подписи</w:t>
      </w:r>
    </w:p>
    <w:bookmarkEnd w:id="30"/>
    <w:bookmarkStart w:id="37" w:name="симметричные-и-асимметричные-примитив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Симметричные и асимметричные примитивы</w:t>
      </w:r>
    </w:p>
    <w:p>
      <w:pPr>
        <w:pStyle w:val="FirstParagraph"/>
      </w:pPr>
      <w:r>
        <w:t xml:space="preserve">Код аутентификации сообщения относится к симметричным примитивам</w:t>
      </w:r>
      <w:r>
        <w:t xml:space="preserve"> </w:t>
      </w:r>
      <w:r>
        <w:t xml:space="preserve">MAC (Message Authentication Code) использует общий секретный ключ для генерации и проверки кода целостности сообщения.</w:t>
      </w:r>
    </w:p>
    <w:p>
      <w:pPr>
        <w:pStyle w:val="CaptionedFigure"/>
      </w:pPr>
      <w:r>
        <w:drawing>
          <wp:inline>
            <wp:extent cx="3733800" cy="2233365"/>
            <wp:effectExtent b="0" l="0" r="0" t="0"/>
            <wp:docPr descr="Код аутентифика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аутентификации</w:t>
      </w:r>
    </w:p>
    <w:p>
      <w:pPr>
        <w:pStyle w:val="BodyText"/>
      </w:pPr>
      <w:r>
        <w:t xml:space="preserve">Обмен ключами Диффи-Хэллмана — это асимметричный примитив генерации общего секретного ключа</w:t>
      </w:r>
      <w:r>
        <w:t xml:space="preserve"> </w:t>
      </w:r>
      <w:r>
        <w:t xml:space="preserve">Протокол Диффи-Хэллмана позволяет двум сторонам создать общий секрет через открытый канал связи, используя пары асимметричных ключей.</w:t>
      </w:r>
    </w:p>
    <w:p>
      <w:pPr>
        <w:pStyle w:val="CaptionedFigure"/>
      </w:pPr>
      <w:r>
        <w:drawing>
          <wp:inline>
            <wp:extent cx="3733800" cy="2058578"/>
            <wp:effectExtent b="0" l="0" r="0" t="0"/>
            <wp:docPr descr="Диффи-Хэллман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Диффи-Хэллман</w:t>
      </w:r>
    </w:p>
    <w:bookmarkEnd w:id="37"/>
    <w:bookmarkStart w:id="47" w:name="электронная-цифровая-подпись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Электронная цифровая подпись</w:t>
      </w:r>
    </w:p>
    <w:p>
      <w:pPr>
        <w:pStyle w:val="FirstParagraph"/>
      </w:pPr>
      <w:r>
        <w:t xml:space="preserve">Протокол электронной цифровой подписи относится к протоколам с публичным (открытым) ключом</w:t>
      </w:r>
      <w:r>
        <w:t xml:space="preserve"> </w:t>
      </w:r>
      <w:r>
        <w:t xml:space="preserve">ЭЦП использует асимметричную криптографию: подпись создаётся секретным ключом, а проверяется открытым ключом.</w:t>
      </w:r>
    </w:p>
    <w:p>
      <w:pPr>
        <w:pStyle w:val="CaptionedFigure"/>
      </w:pPr>
      <w:r>
        <w:drawing>
          <wp:inline>
            <wp:extent cx="3733800" cy="2009081"/>
            <wp:effectExtent b="0" l="0" r="0" t="0"/>
            <wp:docPr descr="Протокол с открытым ключом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Протокол с открытым ключом</w:t>
      </w:r>
    </w:p>
    <w:p>
      <w:pPr>
        <w:pStyle w:val="BodyText"/>
      </w:pPr>
      <w:r>
        <w:t xml:space="preserve">Алгоритм верификации ЭЦП требует на вход подпись, открытый ключ, сообщение</w:t>
      </w:r>
      <w:r>
        <w:t xml:space="preserve"> </w:t>
      </w:r>
      <w:r>
        <w:t xml:space="preserve">Для проверки подписи необходимо иметь саму подпись, открытый ключ отправителя и исходное сообщение, чтобы подтвердить его подлинность и целостность.</w:t>
      </w:r>
    </w:p>
    <w:p>
      <w:pPr>
        <w:pStyle w:val="CaptionedFigure"/>
      </w:pPr>
      <w:r>
        <w:drawing>
          <wp:inline>
            <wp:extent cx="3733800" cy="1974653"/>
            <wp:effectExtent b="0" l="0" r="0" t="0"/>
            <wp:docPr descr="Верификация ЭЦП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Верификация ЭЦП</w:t>
      </w:r>
    </w:p>
    <w:p>
      <w:pPr>
        <w:pStyle w:val="BodyText"/>
      </w:pPr>
      <w:r>
        <w:t xml:space="preserve">Электронная цифровая подпись не обеспечивает конфиденциальность</w:t>
      </w:r>
      <w:r>
        <w:t xml:space="preserve"> </w:t>
      </w:r>
      <w:r>
        <w:t xml:space="preserve">ЭЦП отвечает за неотказ от авторства, целостность и аутентификацию. За конфиденциальность отвечает шифрование.</w:t>
      </w:r>
    </w:p>
    <w:p>
      <w:pPr>
        <w:pStyle w:val="CaptionedFigure"/>
      </w:pPr>
      <w:r>
        <w:drawing>
          <wp:inline>
            <wp:extent cx="3733800" cy="2735384"/>
            <wp:effectExtent b="0" l="0" r="0" t="0"/>
            <wp:docPr descr="Свойства ЭЦП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Свойства ЭЦП</w:t>
      </w:r>
    </w:p>
    <w:bookmarkEnd w:id="47"/>
    <w:bookmarkStart w:id="57" w:name="сертификаты-и-платёжные-систем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Сертификаты и платёжные системы</w:t>
      </w:r>
    </w:p>
    <w:p>
      <w:pPr>
        <w:pStyle w:val="FirstParagraph"/>
      </w:pPr>
      <w:r>
        <w:t xml:space="preserve">Для отправки налоговой отчётности в ФНС понадобится усиленная квалифицированная электронная подпись</w:t>
      </w:r>
      <w:r>
        <w:t xml:space="preserve"> </w:t>
      </w:r>
      <w:r>
        <w:t xml:space="preserve">Усиленная квалифицированная подпись (УКЭП) имеет юридическую силу, подтверждённую сертификатом от аккредитованного удостоверяющего центра.</w:t>
      </w:r>
    </w:p>
    <w:p>
      <w:pPr>
        <w:pStyle w:val="CaptionedFigure"/>
      </w:pPr>
      <w:r>
        <w:drawing>
          <wp:inline>
            <wp:extent cx="3733800" cy="1325849"/>
            <wp:effectExtent b="0" l="0" r="0" t="0"/>
            <wp:docPr descr="Квалифицированная подпись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Квалифицированная подпись</w:t>
      </w:r>
    </w:p>
    <w:p>
      <w:pPr>
        <w:pStyle w:val="BodyText"/>
      </w:pPr>
      <w:r>
        <w:t xml:space="preserve">Квалифицированный сертификат ключа проверки ЭП получают в удостоверяющем (сертификационном) центре</w:t>
      </w:r>
      <w:r>
        <w:t xml:space="preserve"> </w:t>
      </w:r>
      <w:r>
        <w:t xml:space="preserve">Удостоверяющий центр (УЦ) — это доверенная организация, которая выпускает сертификаты, подтверждающие принадлежность открытого ключа конкретному лицу.</w:t>
      </w:r>
    </w:p>
    <w:p>
      <w:pPr>
        <w:pStyle w:val="CaptionedFigure"/>
      </w:pPr>
      <w:r>
        <w:drawing>
          <wp:inline>
            <wp:extent cx="3733800" cy="1323127"/>
            <wp:effectExtent b="0" l="0" r="0" t="0"/>
            <wp:docPr descr="Удостоверяющий центр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Удостоверяющий центр</w:t>
      </w:r>
    </w:p>
    <w:p>
      <w:pPr>
        <w:pStyle w:val="BodyText"/>
      </w:pPr>
      <w:r>
        <w:t xml:space="preserve">Платёжные системы: MasterCard и МИР</w:t>
      </w:r>
      <w:r>
        <w:t xml:space="preserve"> </w:t>
      </w:r>
      <w:r>
        <w:t xml:space="preserve">Платёжная система — это инфраструктура для проведения платежей. BitCoin — криптовалюта, SecurePay — платёжный шлюз, POS-терминал и банкомат — устройства.</w:t>
      </w:r>
    </w:p>
    <w:p>
      <w:pPr>
        <w:pStyle w:val="CaptionedFigure"/>
      </w:pPr>
      <w:r>
        <w:drawing>
          <wp:inline>
            <wp:extent cx="3733800" cy="3360419"/>
            <wp:effectExtent b="0" l="0" r="0" t="0"/>
            <wp:docPr descr="Платёжные системы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0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Платёжные системы</w:t>
      </w:r>
    </w:p>
    <w:bookmarkEnd w:id="57"/>
    <w:bookmarkStart w:id="64" w:name="многофакторная-аутентификац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Многофакторная аутентификация</w:t>
      </w:r>
    </w:p>
    <w:p>
      <w:pPr>
        <w:pStyle w:val="FirstParagraph"/>
      </w:pPr>
      <w:r>
        <w:t xml:space="preserve">Примеры многофакторной аутентификации</w:t>
      </w:r>
      <w:r>
        <w:t xml:space="preserve"> </w:t>
      </w:r>
      <w:r>
        <w:t xml:space="preserve">Комбинация проверки пароля + код в SMS (фактор знания + фактор владения) и код в SMS + отпечаток пальца (фактор владения + фактор свойства). Капча и PIN — факторы одной категории.</w:t>
      </w:r>
    </w:p>
    <w:p>
      <w:pPr>
        <w:pStyle w:val="CaptionedFigure"/>
      </w:pPr>
      <w:r>
        <w:drawing>
          <wp:inline>
            <wp:extent cx="3733800" cy="2869007"/>
            <wp:effectExtent b="0" l="0" r="0" t="0"/>
            <wp:docPr descr="Многофакторная аутентификация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Многофакторная аутентификация</w:t>
      </w:r>
    </w:p>
    <w:p>
      <w:pPr>
        <w:pStyle w:val="BodyText"/>
      </w:pPr>
      <w:r>
        <w:t xml:space="preserve">При онлайн-платежах используется многофакторная аутентификация покупателя перед банком-эмитентом</w:t>
      </w:r>
      <w:r>
        <w:t xml:space="preserve"> </w:t>
      </w:r>
      <w:r>
        <w:t xml:space="preserve">Стандарт 3D Secure требует от покупателя подтверждения операции через одноразовый код (SMS) в дополнение к данным карты.</w:t>
      </w:r>
    </w:p>
    <w:p>
      <w:pPr>
        <w:pStyle w:val="CaptionedFigure"/>
      </w:pPr>
      <w:r>
        <w:drawing>
          <wp:inline>
            <wp:extent cx="3733800" cy="1799905"/>
            <wp:effectExtent b="0" l="0" r="0" t="0"/>
            <wp:docPr descr="Онлайн-платежи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Онлайн-платежи</w:t>
      </w:r>
    </w:p>
    <w:bookmarkEnd w:id="64"/>
    <w:bookmarkStart w:id="74" w:name="блокчейн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В доказательстве работы используется свойство криптографической хэш-функции — сложность нахождения прообраза</w:t>
      </w:r>
      <w:r>
        <w:t xml:space="preserve"> </w:t>
      </w:r>
      <w:r>
        <w:t xml:space="preserve">Proof-of-Work (PoW) требует подбора такого nonce, чтобы хэш блока начинался с определённого количества нулей, что вычислительно сложно.</w:t>
      </w:r>
    </w:p>
    <w:p>
      <w:pPr>
        <w:pStyle w:val="CaptionedFigure"/>
      </w:pPr>
      <w:r>
        <w:drawing>
          <wp:inline>
            <wp:extent cx="3733800" cy="1682489"/>
            <wp:effectExtent b="0" l="0" r="0" t="0"/>
            <wp:docPr descr="Доказательство работы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Доказательство работы</w:t>
      </w:r>
    </w:p>
    <w:p>
      <w:pPr>
        <w:pStyle w:val="BodyText"/>
      </w:pPr>
      <w:r>
        <w:t xml:space="preserve">Консенсус в системах блокчейн обладает свойствами постоянства, открытости, живучести</w:t>
      </w:r>
      <w:r>
        <w:t xml:space="preserve"> </w:t>
      </w:r>
      <w:r>
        <w:t xml:space="preserve">Распределённый консенсус обеспечивает согласие участников сети без центрального органа, гарантируя неизменность данных и устойчивость к сбоям.</w:t>
      </w:r>
    </w:p>
    <w:p>
      <w:pPr>
        <w:pStyle w:val="CaptionedFigure"/>
      </w:pPr>
      <w:r>
        <w:drawing>
          <wp:inline>
            <wp:extent cx="3733800" cy="2429527"/>
            <wp:effectExtent b="0" l="0" r="0" t="0"/>
            <wp:docPr descr="Свойства консенсуса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Свойства консенсуса</w:t>
      </w:r>
    </w:p>
    <w:p>
      <w:pPr>
        <w:pStyle w:val="BodyText"/>
      </w:pPr>
      <w:r>
        <w:t xml:space="preserve">Участники блокчейна хранят секретные ключи цифровой подписи</w:t>
      </w:r>
      <w:r>
        <w:t xml:space="preserve"> </w:t>
      </w:r>
      <w:r>
        <w:t xml:space="preserve">В блокчейне для авторизации транзакций используется ЭЦП: пользователь подписывает транзакцию секретным ключом, а сеть проверяет подпись открытым ключом.</w:t>
      </w:r>
    </w:p>
    <w:p>
      <w:pPr>
        <w:pStyle w:val="CaptionedFigure"/>
      </w:pPr>
      <w:r>
        <w:drawing>
          <wp:inline>
            <wp:extent cx="3733800" cy="1784256"/>
            <wp:effectExtent b="0" l="0" r="0" t="0"/>
            <wp:docPr descr="Ключи в блокчейне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Ключи в блокчейне</w:t>
      </w:r>
    </w:p>
    <w:bookmarkEnd w:id="74"/>
    <w:bookmarkEnd w:id="75"/>
    <w:bookmarkStart w:id="7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третьей части курса изучены криптографические примитивы (асимметричные и симметричные), хэш-функции, протоколы электронной цифровой подписи, принципы многофакторной аутентификации, а также применение криптографии в платёжных системах и технологии блокчейн.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курса: Основы кибербезопасности</dc:title>
  <dc:creator>Аджигалиева Амина</dc:creator>
  <dc:language>ru-RU</dc:language>
  <cp:keywords/>
  <dcterms:created xsi:type="dcterms:W3CDTF">2026-05-11T20:43:27Z</dcterms:created>
  <dcterms:modified xsi:type="dcterms:W3CDTF">2026-05-11T20:43:27Z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Часть 3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