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df" ContentType="application/pdf"/>
  <Override PartName="/word/media/rId25.pdf" ContentType="application/pdf"/>
  <Override PartName="/word/media/rId31.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Vaccination</w:t>
      </w:r>
      <w:r>
        <w:t xml:space="preserve"> </w:t>
      </w:r>
      <w:r>
        <w:t xml:space="preserve">of</w:t>
      </w:r>
      <w:r>
        <w:t xml:space="preserve"> </w:t>
      </w:r>
      <w:r>
        <w:t xml:space="preserve">Front-Line</w:t>
      </w:r>
      <w:r>
        <w:t xml:space="preserve"> </w:t>
      </w:r>
      <w:r>
        <w:t xml:space="preserve">Workers</w:t>
      </w:r>
      <w:r>
        <w:t xml:space="preserve"> </w:t>
      </w:r>
      <w:r>
        <w:t xml:space="preserve">with</w:t>
      </w:r>
      <w:r>
        <w:t xml:space="preserve"> </w:t>
      </w:r>
      <w:r>
        <w:t xml:space="preserve">the</w:t>
      </w:r>
      <w:r>
        <w:t xml:space="preserve"> </w:t>
      </w:r>
      <w:r>
        <w:t xml:space="preserve">AstraZeneca</w:t>
      </w:r>
      <w:r>
        <w:t xml:space="preserve"> </w:t>
      </w:r>
      <w:r>
        <w:t xml:space="preserve">COVID-19</w:t>
      </w:r>
      <w:r>
        <w:t xml:space="preserve"> </w:t>
      </w:r>
      <w:r>
        <w:t xml:space="preserve">Vaccine:</w:t>
      </w:r>
      <w:r>
        <w:t xml:space="preserve"> </w:t>
      </w:r>
      <w:r>
        <w:t xml:space="preserve">Benefits</w:t>
      </w:r>
      <w:r>
        <w:t xml:space="preserve"> </w:t>
      </w:r>
      <w:r>
        <w:t xml:space="preserve">in</w:t>
      </w:r>
      <w:r>
        <w:t xml:space="preserve"> </w:t>
      </w:r>
      <w:r>
        <w:t xml:space="preserve">the</w:t>
      </w:r>
      <w:r>
        <w:t xml:space="preserve"> </w:t>
      </w:r>
      <w:r>
        <w:t xml:space="preserve">Face</w:t>
      </w:r>
      <w:r>
        <w:t xml:space="preserve"> </w:t>
      </w:r>
      <w:r>
        <w:t xml:space="preserve">of</w:t>
      </w:r>
      <w:r>
        <w:t xml:space="preserve"> </w:t>
      </w:r>
      <w:r>
        <w:t xml:space="preserve">Increased</w:t>
      </w:r>
      <w:r>
        <w:t xml:space="preserve"> </w:t>
      </w:r>
      <w:r>
        <w:t xml:space="preserve">Risk</w:t>
      </w:r>
      <w:r>
        <w:t xml:space="preserve"> </w:t>
      </w:r>
      <w:r>
        <w:t xml:space="preserve">for</w:t>
      </w:r>
      <w:r>
        <w:t xml:space="preserve"> </w:t>
      </w:r>
      <w:r>
        <w:t xml:space="preserve">Prothrombotic</w:t>
      </w:r>
      <w:r>
        <w:t xml:space="preserve"> </w:t>
      </w:r>
      <w:r>
        <w:t xml:space="preserve">Thrombocytopenia</w:t>
      </w:r>
    </w:p>
    <w:p>
      <w:pPr>
        <w:pStyle w:val="Author"/>
      </w:pPr>
      <w:r>
        <w:t xml:space="preserve">Amin</w:t>
      </w:r>
      <w:r>
        <w:t xml:space="preserve"> </w:t>
      </w:r>
      <w:r>
        <w:t xml:space="preserve">Adibi</w:t>
      </w:r>
    </w:p>
    <w:p>
      <w:pPr>
        <w:pStyle w:val="Author"/>
      </w:pPr>
      <w:r>
        <w:t xml:space="preserve">Mohammad</w:t>
      </w:r>
      <w:r>
        <w:t xml:space="preserve"> </w:t>
      </w:r>
      <w:r>
        <w:t xml:space="preserve">Mozafarihashjin</w:t>
      </w:r>
    </w:p>
    <w:p>
      <w:pPr>
        <w:pStyle w:val="Author"/>
      </w:pPr>
      <w:r>
        <w:t xml:space="preserve">Mohsen</w:t>
      </w:r>
      <w:r>
        <w:t xml:space="preserve"> </w:t>
      </w:r>
      <w:r>
        <w:t xml:space="preserve">Sadatsafavi</w:t>
      </w:r>
    </w:p>
    <w:p>
      <w:pPr>
        <w:pStyle w:val="Abstract"/>
      </w:pPr>
      <w:r>
        <w:rPr>
          <w:bCs/>
          <w:b/>
        </w:rPr>
        <w:t xml:space="preserve">Background:</w:t>
      </w:r>
      <w:r>
        <w:t xml:space="preserve"> </w:t>
      </w:r>
      <w:r>
        <w:t xml:space="preserve">Recently,</w:t>
      </w:r>
      <w:r>
        <w:t xml:space="preserve"> </w:t>
      </w:r>
      <w:r>
        <w:t xml:space="preserve">National</w:t>
      </w:r>
      <w:r>
        <w:t xml:space="preserve"> </w:t>
      </w:r>
      <w:r>
        <w:t xml:space="preserve">Advisory</w:t>
      </w:r>
      <w:r>
        <w:t xml:space="preserve"> </w:t>
      </w:r>
      <w:r>
        <w:t xml:space="preserve">Committee</w:t>
      </w:r>
      <w:r>
        <w:t xml:space="preserve"> </w:t>
      </w:r>
      <w:r>
        <w:t xml:space="preserve">on</w:t>
      </w:r>
      <w:r>
        <w:t xml:space="preserve"> </w:t>
      </w:r>
      <w:r>
        <w:t xml:space="preserve">Immunization</w:t>
      </w:r>
      <w:r>
        <w:t xml:space="preserve"> </w:t>
      </w:r>
      <w:r>
        <w:t xml:space="preserve">(NACI)</w:t>
      </w:r>
      <w:r>
        <w:t xml:space="preserve"> </w:t>
      </w:r>
      <w:r>
        <w:t xml:space="preserve">recommended</w:t>
      </w:r>
      <w:r>
        <w:t xml:space="preserve"> </w:t>
      </w:r>
      <w:r>
        <w:t xml:space="preserve">against</w:t>
      </w:r>
      <w:r>
        <w:t xml:space="preserve"> </w:t>
      </w:r>
      <w:r>
        <w:t xml:space="preserve">using</w:t>
      </w:r>
      <w:r>
        <w:t xml:space="preserve"> </w:t>
      </w:r>
      <w:r>
        <w:t xml:space="preserve">the</w:t>
      </w:r>
      <w:r>
        <w:t xml:space="preserve"> </w:t>
      </w:r>
      <w:r>
        <w:t xml:space="preserve">AstraZeneca</w:t>
      </w:r>
      <w:r>
        <w:t xml:space="preserve"> </w:t>
      </w:r>
      <w:r>
        <w:t xml:space="preserve">COVID-19</w:t>
      </w:r>
      <w:r>
        <w:t xml:space="preserve"> </w:t>
      </w:r>
      <w:r>
        <w:t xml:space="preserve">vaccine</w:t>
      </w:r>
      <w:r>
        <w:t xml:space="preserve"> </w:t>
      </w:r>
      <w:r>
        <w:t xml:space="preserve">in</w:t>
      </w:r>
      <w:r>
        <w:t xml:space="preserve"> </w:t>
      </w:r>
      <w:r>
        <w:t xml:space="preserve">younger</w:t>
      </w:r>
      <w:r>
        <w:t xml:space="preserve"> </w:t>
      </w:r>
      <w:r>
        <w:t xml:space="preserve">adults</w:t>
      </w:r>
      <w:r>
        <w:t xml:space="preserve"> </w:t>
      </w:r>
      <w:r>
        <w:t xml:space="preserve">pending</w:t>
      </w:r>
      <w:r>
        <w:t xml:space="preserve"> </w:t>
      </w:r>
      <w:r>
        <w:t xml:space="preserve">further</w:t>
      </w:r>
      <w:r>
        <w:t xml:space="preserve"> </w:t>
      </w:r>
      <w:r>
        <w:t xml:space="preserve">review</w:t>
      </w:r>
      <w:r>
        <w:t xml:space="preserve"> </w:t>
      </w:r>
      <w:r>
        <w:t xml:space="preserve">of</w:t>
      </w:r>
      <w:r>
        <w:t xml:space="preserve"> </w:t>
      </w:r>
      <w:r>
        <w:t xml:space="preserve">the</w:t>
      </w:r>
      <w:r>
        <w:t xml:space="preserve"> </w:t>
      </w:r>
      <w:r>
        <w:t xml:space="preserve">risk</w:t>
      </w:r>
      <w:r>
        <w:t xml:space="preserve"> </w:t>
      </w:r>
      <w:r>
        <w:t xml:space="preserve">for</w:t>
      </w:r>
      <w:r>
        <w:t xml:space="preserve"> </w:t>
      </w:r>
      <w:r>
        <w:t xml:space="preserve">vaccine-induced</w:t>
      </w:r>
      <w:r>
        <w:t xml:space="preserve"> </w:t>
      </w:r>
      <w:r>
        <w:t xml:space="preserve">prothrombotic</w:t>
      </w:r>
      <w:r>
        <w:t xml:space="preserve"> </w:t>
      </w:r>
      <w:r>
        <w:t xml:space="preserve">immune</w:t>
      </w:r>
      <w:r>
        <w:t xml:space="preserve"> </w:t>
      </w:r>
      <w:r>
        <w:t xml:space="preserve">thrombocytopenia</w:t>
      </w:r>
      <w:r>
        <w:t xml:space="preserve"> </w:t>
      </w:r>
      <w:r>
        <w:t xml:space="preserve">(VIPIT).</w:t>
      </w:r>
      <w:r>
        <w:t xml:space="preserve"> </w:t>
      </w:r>
      <w:r>
        <w:t xml:space="preserve">In</w:t>
      </w:r>
      <w:r>
        <w:t xml:space="preserve"> </w:t>
      </w:r>
      <w:r>
        <w:t xml:space="preserve">response,</w:t>
      </w:r>
      <w:r>
        <w:t xml:space="preserve"> </w:t>
      </w:r>
      <w:r>
        <w:t xml:space="preserve">British</w:t>
      </w:r>
      <w:r>
        <w:t xml:space="preserve"> </w:t>
      </w:r>
      <w:r>
        <w:t xml:space="preserve">Columbia</w:t>
      </w:r>
      <w:r>
        <w:t xml:space="preserve"> </w:t>
      </w:r>
      <w:r>
        <w:t xml:space="preserve">(BC)</w:t>
      </w:r>
      <w:r>
        <w:t xml:space="preserve"> </w:t>
      </w:r>
      <w:r>
        <w:t xml:space="preserve">halted</w:t>
      </w:r>
      <w:r>
        <w:t xml:space="preserve"> </w:t>
      </w:r>
      <w:r>
        <w:t xml:space="preserve">its</w:t>
      </w:r>
      <w:r>
        <w:t xml:space="preserve"> </w:t>
      </w:r>
      <w:r>
        <w:t xml:space="preserve">front-line</w:t>
      </w:r>
      <w:r>
        <w:t xml:space="preserve"> </w:t>
      </w:r>
      <w:r>
        <w:t xml:space="preserve">workers</w:t>
      </w:r>
      <w:r>
        <w:t xml:space="preserve"> </w:t>
      </w:r>
      <w:r>
        <w:t xml:space="preserve">vaccination</w:t>
      </w:r>
      <w:r>
        <w:t xml:space="preserve"> </w:t>
      </w:r>
      <w:r>
        <w:t xml:space="preserve">program.</w:t>
      </w:r>
      <w:r>
        <w:t xml:space="preserve"> </w:t>
      </w:r>
      <w:r>
        <w:t xml:space="preserve">It</w:t>
      </w:r>
      <w:r>
        <w:t xml:space="preserve"> </w:t>
      </w:r>
      <w:r>
        <w:t xml:space="preserve">remains</w:t>
      </w:r>
      <w:r>
        <w:t xml:space="preserve"> </w:t>
      </w:r>
      <w:r>
        <w:t xml:space="preserve">unclear</w:t>
      </w:r>
      <w:r>
        <w:t xml:space="preserve"> </w:t>
      </w:r>
      <w:r>
        <w:t xml:space="preserve">whether</w:t>
      </w:r>
      <w:r>
        <w:t xml:space="preserve"> </w:t>
      </w:r>
      <w:r>
        <w:t xml:space="preserve">the</w:t>
      </w:r>
      <w:r>
        <w:t xml:space="preserve"> </w:t>
      </w:r>
      <w:r>
        <w:t xml:space="preserve">alternative</w:t>
      </w:r>
      <w:r>
        <w:t xml:space="preserve"> </w:t>
      </w:r>
      <w:r>
        <w:t xml:space="preserve">mRNA</w:t>
      </w:r>
      <w:r>
        <w:t xml:space="preserve"> </w:t>
      </w:r>
      <w:r>
        <w:t xml:space="preserve">vaccines</w:t>
      </w:r>
      <w:r>
        <w:t xml:space="preserve"> </w:t>
      </w:r>
      <w:r>
        <w:t xml:space="preserve">can</w:t>
      </w:r>
      <w:r>
        <w:t xml:space="preserve"> </w:t>
      </w:r>
      <w:r>
        <w:t xml:space="preserve">be</w:t>
      </w:r>
      <w:r>
        <w:t xml:space="preserve"> </w:t>
      </w:r>
      <w:r>
        <w:t xml:space="preserve">immediately</w:t>
      </w:r>
      <w:r>
        <w:t xml:space="preserve"> </w:t>
      </w:r>
      <w:r>
        <w:t xml:space="preserve">made</w:t>
      </w:r>
      <w:r>
        <w:t xml:space="preserve"> </w:t>
      </w:r>
      <w:r>
        <w:t xml:space="preserve">available</w:t>
      </w:r>
      <w:r>
        <w:t xml:space="preserve"> </w:t>
      </w:r>
      <w:r>
        <w:t xml:space="preserve">to</w:t>
      </w:r>
      <w:r>
        <w:t xml:space="preserve"> </w:t>
      </w:r>
      <w:r>
        <w:t xml:space="preserve">front-line</w:t>
      </w:r>
      <w:r>
        <w:t xml:space="preserve"> </w:t>
      </w:r>
      <w:r>
        <w:t xml:space="preserve">workers.</w:t>
      </w:r>
    </w:p>
    <w:p>
      <w:pPr>
        <w:pStyle w:val="Abstract"/>
      </w:pPr>
      <w:r>
        <w:rPr>
          <w:bCs/>
          <w:b/>
        </w:rPr>
        <w:t xml:space="preserve">Methods:</w:t>
      </w:r>
      <w:r>
        <w:t xml:space="preserve"> </w:t>
      </w:r>
      <w:r>
        <w:t xml:space="preserve">Using</w:t>
      </w:r>
      <w:r>
        <w:t xml:space="preserve"> </w:t>
      </w:r>
      <w:r>
        <w:t xml:space="preserve">latest</w:t>
      </w:r>
      <w:r>
        <w:t xml:space="preserve"> </w:t>
      </w:r>
      <w:r>
        <w:t xml:space="preserve">evidence</w:t>
      </w:r>
      <w:r>
        <w:t xml:space="preserve"> </w:t>
      </w:r>
      <w:r>
        <w:t xml:space="preserve">and</w:t>
      </w:r>
      <w:r>
        <w:t xml:space="preserve"> </w:t>
      </w:r>
      <w:r>
        <w:t xml:space="preserve">compartmental</w:t>
      </w:r>
      <w:r>
        <w:t xml:space="preserve"> </w:t>
      </w:r>
      <w:r>
        <w:t xml:space="preserve">modelling,</w:t>
      </w:r>
      <w:r>
        <w:t xml:space="preserve"> </w:t>
      </w:r>
      <w:r>
        <w:t xml:space="preserve">we</w:t>
      </w:r>
      <w:r>
        <w:t xml:space="preserve"> </w:t>
      </w:r>
      <w:r>
        <w:t xml:space="preserve">compared</w:t>
      </w:r>
      <w:r>
        <w:t xml:space="preserve"> </w:t>
      </w:r>
      <w:r>
        <w:rPr>
          <w:iCs/>
          <w:i/>
        </w:rPr>
        <w:t xml:space="preserve">1)</w:t>
      </w:r>
      <w:r>
        <w:t xml:space="preserve"> </w:t>
      </w:r>
      <w:r>
        <w:t xml:space="preserve">expected</w:t>
      </w:r>
      <w:r>
        <w:t xml:space="preserve"> </w:t>
      </w:r>
      <w:r>
        <w:t xml:space="preserve">number</w:t>
      </w:r>
      <w:r>
        <w:t xml:space="preserve"> </w:t>
      </w:r>
      <w:r>
        <w:t xml:space="preserve">of</w:t>
      </w:r>
      <w:r>
        <w:t xml:space="preserve"> </w:t>
      </w:r>
      <w:r>
        <w:t xml:space="preserve">deaths</w:t>
      </w:r>
      <w:r>
        <w:t xml:space="preserve"> </w:t>
      </w:r>
      <w:r>
        <w:t xml:space="preserve">due</w:t>
      </w:r>
      <w:r>
        <w:t xml:space="preserve"> </w:t>
      </w:r>
      <w:r>
        <w:t xml:space="preserve">to</w:t>
      </w:r>
      <w:r>
        <w:t xml:space="preserve"> </w:t>
      </w:r>
      <w:r>
        <w:t xml:space="preserve">COVID-19</w:t>
      </w:r>
      <w:r>
        <w:t xml:space="preserve"> </w:t>
      </w:r>
      <w:r>
        <w:t xml:space="preserve">and</w:t>
      </w:r>
      <w:r>
        <w:t xml:space="preserve"> </w:t>
      </w:r>
      <w:r>
        <w:t xml:space="preserve">VIPIT</w:t>
      </w:r>
      <w:r>
        <w:t xml:space="preserve"> </w:t>
      </w:r>
      <w:r>
        <w:t xml:space="preserve">under</w:t>
      </w:r>
      <w:r>
        <w:t xml:space="preserve"> </w:t>
      </w:r>
      <w:r>
        <w:t xml:space="preserve">the</w:t>
      </w:r>
      <w:r>
        <w:t xml:space="preserve"> </w:t>
      </w:r>
      <w:r>
        <w:t xml:space="preserve">scenarios</w:t>
      </w:r>
      <w:r>
        <w:t xml:space="preserve"> </w:t>
      </w:r>
      <w:r>
        <w:t xml:space="preserve">of</w:t>
      </w:r>
      <w:r>
        <w:t xml:space="preserve"> </w:t>
      </w:r>
      <w:r>
        <w:t xml:space="preserve">immediately</w:t>
      </w:r>
      <w:r>
        <w:t xml:space="preserve"> </w:t>
      </w:r>
      <w:r>
        <w:t xml:space="preserve">continuing</w:t>
      </w:r>
      <w:r>
        <w:t xml:space="preserve"> </w:t>
      </w:r>
      <w:r>
        <w:t xml:space="preserve">vaccination</w:t>
      </w:r>
      <w:r>
        <w:t xml:space="preserve"> </w:t>
      </w:r>
      <w:r>
        <w:t xml:space="preserve">of</w:t>
      </w:r>
      <w:r>
        <w:t xml:space="preserve"> </w:t>
      </w:r>
      <w:r>
        <w:t xml:space="preserve">front-line</w:t>
      </w:r>
      <w:r>
        <w:t xml:space="preserve"> </w:t>
      </w:r>
      <w:r>
        <w:t xml:space="preserve">workers</w:t>
      </w:r>
      <w:r>
        <w:t xml:space="preserve"> </w:t>
      </w:r>
      <w:r>
        <w:t xml:space="preserve">with</w:t>
      </w:r>
      <w:r>
        <w:t xml:space="preserve"> </w:t>
      </w:r>
      <w:r>
        <w:t xml:space="preserve">the</w:t>
      </w:r>
      <w:r>
        <w:t xml:space="preserve"> </w:t>
      </w:r>
      <w:r>
        <w:t xml:space="preserve">AstraZeneca</w:t>
      </w:r>
      <w:r>
        <w:t xml:space="preserve"> </w:t>
      </w:r>
      <w:r>
        <w:t xml:space="preserve">vaccine</w:t>
      </w:r>
      <w:r>
        <w:t xml:space="preserve"> </w:t>
      </w:r>
      <w:r>
        <w:t xml:space="preserve">or</w:t>
      </w:r>
      <w:r>
        <w:t xml:space="preserve"> </w:t>
      </w:r>
      <w:r>
        <w:t xml:space="preserve">delaying</w:t>
      </w:r>
      <w:r>
        <w:t xml:space="preserve"> </w:t>
      </w:r>
      <w:r>
        <w:t xml:space="preserve">it</w:t>
      </w:r>
      <w:r>
        <w:t xml:space="preserve"> </w:t>
      </w:r>
      <w:r>
        <w:t xml:space="preserve">in</w:t>
      </w:r>
      <w:r>
        <w:t xml:space="preserve"> </w:t>
      </w:r>
      <w:r>
        <w:t xml:space="preserve">favour</w:t>
      </w:r>
      <w:r>
        <w:t xml:space="preserve"> </w:t>
      </w:r>
      <w:r>
        <w:t xml:space="preserve">of</w:t>
      </w:r>
      <w:r>
        <w:t xml:space="preserve"> </w:t>
      </w:r>
      <w:r>
        <w:t xml:space="preserve">mRNA</w:t>
      </w:r>
      <w:r>
        <w:t xml:space="preserve"> </w:t>
      </w:r>
      <w:r>
        <w:t xml:space="preserve">vaccines</w:t>
      </w:r>
      <w:r>
        <w:t xml:space="preserve"> </w:t>
      </w:r>
      <w:r>
        <w:t xml:space="preserve">from</w:t>
      </w:r>
      <w:r>
        <w:t xml:space="preserve"> </w:t>
      </w:r>
      <w:r>
        <w:t xml:space="preserve">a</w:t>
      </w:r>
      <w:r>
        <w:t xml:space="preserve"> </w:t>
      </w:r>
      <w:r>
        <w:t xml:space="preserve">societal</w:t>
      </w:r>
      <w:r>
        <w:t xml:space="preserve"> </w:t>
      </w:r>
      <w:r>
        <w:t xml:space="preserve">perspective,</w:t>
      </w:r>
      <w:r>
        <w:t xml:space="preserve"> </w:t>
      </w:r>
      <w:r>
        <w:t xml:space="preserve">and</w:t>
      </w:r>
      <w:r>
        <w:t xml:space="preserve"> </w:t>
      </w:r>
      <w:r>
        <w:rPr>
          <w:iCs/>
          <w:i/>
        </w:rPr>
        <w:t xml:space="preserve">2)</w:t>
      </w:r>
      <w:r>
        <w:t xml:space="preserve"> </w:t>
      </w:r>
      <w:r>
        <w:t xml:space="preserve">the</w:t>
      </w:r>
      <w:r>
        <w:t xml:space="preserve"> </w:t>
      </w:r>
      <w:r>
        <w:t xml:space="preserve">mortality</w:t>
      </w:r>
      <w:r>
        <w:t xml:space="preserve"> </w:t>
      </w:r>
      <w:r>
        <w:t xml:space="preserve">risk</w:t>
      </w:r>
      <w:r>
        <w:t xml:space="preserve"> </w:t>
      </w:r>
      <w:r>
        <w:t xml:space="preserve">of</w:t>
      </w:r>
      <w:r>
        <w:t xml:space="preserve"> </w:t>
      </w:r>
      <w:r>
        <w:t xml:space="preserve">immediately</w:t>
      </w:r>
      <w:r>
        <w:t xml:space="preserve"> </w:t>
      </w:r>
      <w:r>
        <w:t xml:space="preserve">receiving</w:t>
      </w:r>
      <w:r>
        <w:t xml:space="preserve"> </w:t>
      </w:r>
      <w:r>
        <w:t xml:space="preserve">the</w:t>
      </w:r>
      <w:r>
        <w:t xml:space="preserve"> </w:t>
      </w:r>
      <w:r>
        <w:t xml:space="preserve">AstraZeneca</w:t>
      </w:r>
      <w:r>
        <w:t xml:space="preserve"> </w:t>
      </w:r>
      <w:r>
        <w:t xml:space="preserve">vaccine</w:t>
      </w:r>
      <w:r>
        <w:t xml:space="preserve"> </w:t>
      </w:r>
      <w:r>
        <w:t xml:space="preserve">with</w:t>
      </w:r>
      <w:r>
        <w:t xml:space="preserve"> </w:t>
      </w:r>
      <w:r>
        <w:t xml:space="preserve">waiting</w:t>
      </w:r>
      <w:r>
        <w:t xml:space="preserve"> </w:t>
      </w:r>
      <w:r>
        <w:t xml:space="preserve">to</w:t>
      </w:r>
      <w:r>
        <w:t xml:space="preserve"> </w:t>
      </w:r>
      <w:r>
        <w:t xml:space="preserve">receive</w:t>
      </w:r>
      <w:r>
        <w:t xml:space="preserve"> </w:t>
      </w:r>
      <w:r>
        <w:t xml:space="preserve">an</w:t>
      </w:r>
      <w:r>
        <w:t xml:space="preserve"> </w:t>
      </w:r>
      <w:r>
        <w:t xml:space="preserve">mRNA</w:t>
      </w:r>
      <w:r>
        <w:t xml:space="preserve"> </w:t>
      </w:r>
      <w:r>
        <w:t xml:space="preserve">vaccine</w:t>
      </w:r>
      <w:r>
        <w:t xml:space="preserve"> </w:t>
      </w:r>
      <w:r>
        <w:t xml:space="preserve">later</w:t>
      </w:r>
      <w:r>
        <w:t xml:space="preserve"> </w:t>
      </w:r>
      <w:r>
        <w:t xml:space="preserve">from</w:t>
      </w:r>
      <w:r>
        <w:t xml:space="preserve"> </w:t>
      </w:r>
      <w:r>
        <w:t xml:space="preserve">a</w:t>
      </w:r>
      <w:r>
        <w:t xml:space="preserve"> </w:t>
      </w:r>
      <w:r>
        <w:t xml:space="preserve">personal</w:t>
      </w:r>
      <w:r>
        <w:t xml:space="preserve"> </w:t>
      </w:r>
      <w:r>
        <w:t xml:space="preserve">perspective.</w:t>
      </w:r>
    </w:p>
    <w:p>
      <w:pPr>
        <w:pStyle w:val="Abstract"/>
      </w:pPr>
      <w:r>
        <w:rPr>
          <w:bCs/>
          <w:b/>
        </w:rPr>
        <w:t xml:space="preserve">Results:</w:t>
      </w:r>
      <w:r>
        <w:t xml:space="preserve"> </w:t>
      </w:r>
      <w:r>
        <w:t xml:space="preserve">If</w:t>
      </w:r>
      <w:r>
        <w:t xml:space="preserve"> </w:t>
      </w:r>
      <w:r>
        <w:t xml:space="preserve">BC</w:t>
      </w:r>
      <w:r>
        <w:t xml:space="preserve"> </w:t>
      </w:r>
      <w:r>
        <w:t xml:space="preserve">restart</w:t>
      </w:r>
      <w:r>
        <w:t xml:space="preserve"> </w:t>
      </w:r>
      <w:r>
        <w:t xml:space="preserve">the</w:t>
      </w:r>
      <w:r>
        <w:t xml:space="preserve"> </w:t>
      </w:r>
      <w:r>
        <w:t xml:space="preserve">front-line</w:t>
      </w:r>
      <w:r>
        <w:t xml:space="preserve"> </w:t>
      </w:r>
      <w:r>
        <w:t xml:space="preserve">worker</w:t>
      </w:r>
      <w:r>
        <w:t xml:space="preserve"> </w:t>
      </w:r>
      <w:r>
        <w:t xml:space="preserve">vaccination</w:t>
      </w:r>
      <w:r>
        <w:t xml:space="preserve"> </w:t>
      </w:r>
      <w:r>
        <w:t xml:space="preserve">program,</w:t>
      </w:r>
      <w:r>
        <w:t xml:space="preserve"> </w:t>
      </w:r>
      <w:r>
        <w:t xml:space="preserve">we</w:t>
      </w:r>
      <w:r>
        <w:t xml:space="preserve"> </w:t>
      </w:r>
      <w:r>
        <w:t xml:space="preserve">expect</w:t>
      </w:r>
      <w:r>
        <w:t xml:space="preserve"> </w:t>
      </w:r>
      <w:r>
        <w:t xml:space="preserve">to</w:t>
      </w:r>
      <w:r>
        <w:t xml:space="preserve"> </w:t>
      </w:r>
      <w:r>
        <w:t xml:space="preserve">see</w:t>
      </w:r>
      <w:r>
        <w:t xml:space="preserve"> </w:t>
      </w:r>
      <w:r>
        <w:t xml:space="preserve">approximately</w:t>
      </w:r>
      <w:r>
        <w:t xml:space="preserve"> </w:t>
      </w:r>
      <w:r>
        <w:t xml:space="preserve">45,000</w:t>
      </w:r>
      <w:r>
        <w:t xml:space="preserve"> </w:t>
      </w:r>
      <w:r>
        <w:t xml:space="preserve">fewer</w:t>
      </w:r>
      <w:r>
        <w:t xml:space="preserve"> </w:t>
      </w:r>
      <w:r>
        <w:t xml:space="preserve">cases</w:t>
      </w:r>
      <w:r>
        <w:t xml:space="preserve"> </w:t>
      </w:r>
      <w:r>
        <w:t xml:space="preserve">of</w:t>
      </w:r>
      <w:r>
        <w:t xml:space="preserve"> </w:t>
      </w:r>
      <w:r>
        <w:t xml:space="preserve">COVID-19,</w:t>
      </w:r>
      <w:r>
        <w:t xml:space="preserve"> </w:t>
      </w:r>
      <w:r>
        <w:t xml:space="preserve">800</w:t>
      </w:r>
      <w:r>
        <w:t xml:space="preserve"> </w:t>
      </w:r>
      <w:r>
        <w:t xml:space="preserve">fewer</w:t>
      </w:r>
      <w:r>
        <w:t xml:space="preserve"> </w:t>
      </w:r>
      <w:r>
        <w:t xml:space="preserve">hospitalizations,</w:t>
      </w:r>
      <w:r>
        <w:t xml:space="preserve"> </w:t>
      </w:r>
      <w:r>
        <w:t xml:space="preserve">120</w:t>
      </w:r>
      <w:r>
        <w:t xml:space="preserve"> </w:t>
      </w:r>
      <w:r>
        <w:t xml:space="preserve">fewer</w:t>
      </w:r>
      <w:r>
        <w:t xml:space="preserve"> </w:t>
      </w:r>
      <w:r>
        <w:t xml:space="preserve">COVID-related</w:t>
      </w:r>
      <w:r>
        <w:t xml:space="preserve"> </w:t>
      </w:r>
      <w:r>
        <w:t xml:space="preserve">deaths,</w:t>
      </w:r>
      <w:r>
        <w:t xml:space="preserve"> </w:t>
      </w:r>
      <w:r>
        <w:t xml:space="preserve">and</w:t>
      </w:r>
      <w:r>
        <w:t xml:space="preserve"> </w:t>
      </w:r>
      <w:r>
        <w:t xml:space="preserve">2,300</w:t>
      </w:r>
      <w:r>
        <w:t xml:space="preserve"> </w:t>
      </w:r>
      <w:r>
        <w:t xml:space="preserve">fewer</w:t>
      </w:r>
      <w:r>
        <w:t xml:space="preserve"> </w:t>
      </w:r>
      <w:r>
        <w:t xml:space="preserve">cases</w:t>
      </w:r>
      <w:r>
        <w:t xml:space="preserve"> </w:t>
      </w:r>
      <w:r>
        <w:t xml:space="preserve">of</w:t>
      </w:r>
      <w:r>
        <w:t xml:space="preserve"> </w:t>
      </w:r>
      <w:r>
        <w:t xml:space="preserve">Long</w:t>
      </w:r>
      <w:r>
        <w:t xml:space="preserve"> </w:t>
      </w:r>
      <w:r>
        <w:t xml:space="preserve">COVID,</w:t>
      </w:r>
      <w:r>
        <w:t xml:space="preserve"> </w:t>
      </w:r>
      <w:r>
        <w:t xml:space="preserve">for</w:t>
      </w:r>
      <w:r>
        <w:t xml:space="preserve"> </w:t>
      </w:r>
      <w:r>
        <w:t xml:space="preserve">an</w:t>
      </w:r>
      <w:r>
        <w:t xml:space="preserve"> </w:t>
      </w:r>
      <w:r>
        <w:t xml:space="preserve">expected</w:t>
      </w:r>
      <w:r>
        <w:t xml:space="preserve"> </w:t>
      </w:r>
      <w:r>
        <w:t xml:space="preserve">number</w:t>
      </w:r>
      <w:r>
        <w:t xml:space="preserve"> </w:t>
      </w:r>
      <w:r>
        <w:t xml:space="preserve">of</w:t>
      </w:r>
      <w:r>
        <w:t xml:space="preserve"> </w:t>
      </w:r>
      <w:r>
        <w:t xml:space="preserve">VIPIT-related</w:t>
      </w:r>
      <w:r>
        <w:t xml:space="preserve"> </w:t>
      </w:r>
      <w:r>
        <w:t xml:space="preserve">deaths</w:t>
      </w:r>
      <w:r>
        <w:t xml:space="preserve"> </w:t>
      </w:r>
      <w:r>
        <w:t xml:space="preserve">of</w:t>
      </w:r>
      <w:r>
        <w:t xml:space="preserve"> </w:t>
      </w:r>
      <w:r>
        <w:t xml:space="preserve">0.674</w:t>
      </w:r>
      <w:r>
        <w:t xml:space="preserve"> </w:t>
      </w:r>
      <w:r>
        <w:t xml:space="preserve">[</w:t>
      </w:r>
      <w:r>
        <w:t xml:space="preserve">95%</w:t>
      </w:r>
      <w:r>
        <w:t xml:space="preserve"> </w:t>
      </w:r>
      <w:r>
        <w:t xml:space="preserve">CI</w:t>
      </w:r>
      <w:r>
        <w:t xml:space="preserve"> </w:t>
      </w:r>
      <w:r>
        <w:t xml:space="preserve">0.414-0.997</w:t>
      </w:r>
      <w:r>
        <w:t xml:space="preserve">]</w:t>
      </w:r>
      <w:r>
        <w:t xml:space="preserve">.</w:t>
      </w:r>
      <w:r>
        <w:t xml:space="preserve"> </w:t>
      </w:r>
      <w:r>
        <w:t xml:space="preserve">In</w:t>
      </w:r>
      <w:r>
        <w:t xml:space="preserve"> </w:t>
      </w:r>
      <w:r>
        <w:t xml:space="preserve">high-risk</w:t>
      </w:r>
      <w:r>
        <w:t xml:space="preserve"> </w:t>
      </w:r>
      <w:r>
        <w:t xml:space="preserve">areas,</w:t>
      </w:r>
      <w:r>
        <w:t xml:space="preserve"> </w:t>
      </w:r>
      <w:r>
        <w:t xml:space="preserve">delayed</w:t>
      </w:r>
      <w:r>
        <w:t xml:space="preserve"> </w:t>
      </w:r>
      <w:r>
        <w:t xml:space="preserve">vaccination</w:t>
      </w:r>
      <w:r>
        <w:t xml:space="preserve"> </w:t>
      </w:r>
      <w:r>
        <w:t xml:space="preserve">with</w:t>
      </w:r>
      <w:r>
        <w:t xml:space="preserve"> </w:t>
      </w:r>
      <w:r>
        <w:t xml:space="preserve">mRNA</w:t>
      </w:r>
      <w:r>
        <w:t xml:space="preserve"> </w:t>
      </w:r>
      <w:r>
        <w:t xml:space="preserve">vaccines</w:t>
      </w:r>
      <w:r>
        <w:t xml:space="preserve"> </w:t>
      </w:r>
      <w:r>
        <w:t xml:space="preserve">led</w:t>
      </w:r>
      <w:r>
        <w:t xml:space="preserve"> </w:t>
      </w:r>
      <w:r>
        <w:t xml:space="preserve">to</w:t>
      </w:r>
      <w:r>
        <w:t xml:space="preserve"> </w:t>
      </w:r>
      <w:r>
        <w:t xml:space="preserve">3.5-4.5</w:t>
      </w:r>
      <w:r>
        <w:t xml:space="preserve"> </w:t>
      </w:r>
      <w:r>
        <w:t xml:space="preserve">times</w:t>
      </w:r>
      <w:r>
        <w:t xml:space="preserve"> </w:t>
      </w:r>
      <w:r>
        <w:t xml:space="preserve">higher</w:t>
      </w:r>
      <w:r>
        <w:t xml:space="preserve"> </w:t>
      </w:r>
      <w:r>
        <w:t xml:space="preserve">excess</w:t>
      </w:r>
      <w:r>
        <w:t xml:space="preserve"> </w:t>
      </w:r>
      <w:r>
        <w:t xml:space="preserve">mortality</w:t>
      </w:r>
      <w:r>
        <w:t xml:space="preserve"> </w:t>
      </w:r>
      <w:r>
        <w:t xml:space="preserve">risk</w:t>
      </w:r>
      <w:r>
        <w:t xml:space="preserve"> </w:t>
      </w:r>
      <w:r>
        <w:t xml:space="preserve">for</w:t>
      </w:r>
      <w:r>
        <w:t xml:space="preserve"> </w:t>
      </w:r>
      <w:r>
        <w:t xml:space="preserve">those</w:t>
      </w:r>
      <w:r>
        <w:t xml:space="preserve"> </w:t>
      </w:r>
      <w:r>
        <w:t xml:space="preserve">between</w:t>
      </w:r>
      <w:r>
        <w:t xml:space="preserve"> </w:t>
      </w:r>
      <w:r>
        <w:t xml:space="preserve">30</w:t>
      </w:r>
      <w:r>
        <w:t xml:space="preserve"> </w:t>
      </w:r>
      <w:r>
        <w:t xml:space="preserve">and</w:t>
      </w:r>
      <w:r>
        <w:t xml:space="preserve"> </w:t>
      </w:r>
      <w:r>
        <w:t xml:space="preserve">69</w:t>
      </w:r>
      <w:r>
        <w:t xml:space="preserve"> </w:t>
      </w:r>
      <w:r>
        <w:t xml:space="preserve">years</w:t>
      </w:r>
      <w:r>
        <w:t xml:space="preserve"> </w:t>
      </w:r>
      <w:r>
        <w:t xml:space="preserve">of</w:t>
      </w:r>
      <w:r>
        <w:t xml:space="preserve"> </w:t>
      </w:r>
      <w:r>
        <w:t xml:space="preserve">age.</w:t>
      </w:r>
      <w:r>
        <w:t xml:space="preserve"> </w:t>
      </w:r>
      <w:r>
        <w:t xml:space="preserve">For</w:t>
      </w:r>
      <w:r>
        <w:t xml:space="preserve"> </w:t>
      </w:r>
      <w:r>
        <w:t xml:space="preserve">those</w:t>
      </w:r>
      <w:r>
        <w:t xml:space="preserve"> </w:t>
      </w:r>
      <w:r>
        <w:t xml:space="preserve">under</w:t>
      </w:r>
      <w:r>
        <w:t xml:space="preserve"> </w:t>
      </w:r>
      <w:r>
        <w:t xml:space="preserve">30,</w:t>
      </w:r>
      <w:r>
        <w:t xml:space="preserve"> </w:t>
      </w:r>
      <w:r>
        <w:t xml:space="preserve">the</w:t>
      </w:r>
      <w:r>
        <w:t xml:space="preserve"> </w:t>
      </w:r>
      <w:r>
        <w:t xml:space="preserve">AstraZeneca</w:t>
      </w:r>
      <w:r>
        <w:t xml:space="preserve"> </w:t>
      </w:r>
      <w:r>
        <w:t xml:space="preserve">vaccine</w:t>
      </w:r>
      <w:r>
        <w:t xml:space="preserve"> </w:t>
      </w:r>
      <w:r>
        <w:t xml:space="preserve">posed</w:t>
      </w:r>
      <w:r>
        <w:t xml:space="preserve"> </w:t>
      </w:r>
      <w:r>
        <w:t xml:space="preserve">a</w:t>
      </w:r>
      <w:r>
        <w:t xml:space="preserve"> </w:t>
      </w:r>
      <w:r>
        <w:t xml:space="preserve">higher</w:t>
      </w:r>
      <w:r>
        <w:t xml:space="preserve"> </w:t>
      </w:r>
      <w:r>
        <w:t xml:space="preserve">risk</w:t>
      </w:r>
      <w:r>
        <w:t xml:space="preserve"> </w:t>
      </w:r>
      <w:r>
        <w:t xml:space="preserve">than</w:t>
      </w:r>
      <w:r>
        <w:t xml:space="preserve"> </w:t>
      </w:r>
      <w:r>
        <w:t xml:space="preserve">delayed</w:t>
      </w:r>
      <w:r>
        <w:t xml:space="preserve"> </w:t>
      </w:r>
      <w:r>
        <w:t xml:space="preserve">vaccination</w:t>
      </w:r>
      <w:r>
        <w:t xml:space="preserve"> </w:t>
      </w:r>
      <w:r>
        <w:t xml:space="preserve">with</w:t>
      </w:r>
      <w:r>
        <w:t xml:space="preserve"> </w:t>
      </w:r>
      <w:r>
        <w:t xml:space="preserve">mRNA</w:t>
      </w:r>
      <w:r>
        <w:t xml:space="preserve"> </w:t>
      </w:r>
      <w:r>
        <w:t xml:space="preserve">vaccines.</w:t>
      </w:r>
    </w:p>
    <w:p>
      <w:pPr>
        <w:pStyle w:val="Abstract"/>
      </w:pPr>
      <w:r>
        <w:rPr>
          <w:bCs/>
          <w:b/>
        </w:rPr>
        <w:t xml:space="preserve">Interpretation:</w:t>
      </w:r>
      <w:r>
        <w:t xml:space="preserve"> </w:t>
      </w:r>
      <w:r>
        <w:t xml:space="preserve">The</w:t>
      </w:r>
      <w:r>
        <w:t xml:space="preserve"> </w:t>
      </w:r>
      <w:r>
        <w:t xml:space="preserve">benefits</w:t>
      </w:r>
      <w:r>
        <w:t xml:space="preserve"> </w:t>
      </w:r>
      <w:r>
        <w:t xml:space="preserve">of</w:t>
      </w:r>
      <w:r>
        <w:t xml:space="preserve"> </w:t>
      </w:r>
      <w:r>
        <w:t xml:space="preserve">continuing</w:t>
      </w:r>
      <w:r>
        <w:t xml:space="preserve"> </w:t>
      </w:r>
      <w:r>
        <w:t xml:space="preserve">immunization</w:t>
      </w:r>
      <w:r>
        <w:t xml:space="preserve"> </w:t>
      </w:r>
      <w:r>
        <w:t xml:space="preserve">of</w:t>
      </w:r>
      <w:r>
        <w:t xml:space="preserve"> </w:t>
      </w:r>
      <w:r>
        <w:t xml:space="preserve">front-line</w:t>
      </w:r>
      <w:r>
        <w:t xml:space="preserve"> </w:t>
      </w:r>
      <w:r>
        <w:t xml:space="preserve">workers</w:t>
      </w:r>
      <w:r>
        <w:t xml:space="preserve"> </w:t>
      </w:r>
      <w:r>
        <w:t xml:space="preserve">with</w:t>
      </w:r>
      <w:r>
        <w:t xml:space="preserve"> </w:t>
      </w:r>
      <w:r>
        <w:t xml:space="preserve">the</w:t>
      </w:r>
      <w:r>
        <w:t xml:space="preserve"> </w:t>
      </w:r>
      <w:r>
        <w:t xml:space="preserve">AstraZeneca</w:t>
      </w:r>
      <w:r>
        <w:t xml:space="preserve"> </w:t>
      </w:r>
      <w:r>
        <w:t xml:space="preserve">vaccine</w:t>
      </w:r>
      <w:r>
        <w:t xml:space="preserve"> </w:t>
      </w:r>
      <w:r>
        <w:t xml:space="preserve">far</w:t>
      </w:r>
      <w:r>
        <w:t xml:space="preserve"> </w:t>
      </w:r>
      <w:r>
        <w:t xml:space="preserve">outweigh</w:t>
      </w:r>
      <w:r>
        <w:t xml:space="preserve"> </w:t>
      </w:r>
      <w:r>
        <w:t xml:space="preserve">the</w:t>
      </w:r>
      <w:r>
        <w:t xml:space="preserve"> </w:t>
      </w:r>
      <w:r>
        <w:t xml:space="preserve">risk</w:t>
      </w:r>
      <w:r>
        <w:t xml:space="preserve"> </w:t>
      </w:r>
      <w:r>
        <w:t xml:space="preserve">both</w:t>
      </w:r>
      <w:r>
        <w:t xml:space="preserve"> </w:t>
      </w:r>
      <w:r>
        <w:t xml:space="preserve">from</w:t>
      </w:r>
      <w:r>
        <w:t xml:space="preserve"> </w:t>
      </w:r>
      <w:r>
        <w:t xml:space="preserve">a</w:t>
      </w:r>
      <w:r>
        <w:t xml:space="preserve"> </w:t>
      </w:r>
      <w:r>
        <w:t xml:space="preserve">societal</w:t>
      </w:r>
      <w:r>
        <w:t xml:space="preserve"> </w:t>
      </w:r>
      <w:r>
        <w:t xml:space="preserve">and</w:t>
      </w:r>
      <w:r>
        <w:t xml:space="preserve"> </w:t>
      </w:r>
      <w:r>
        <w:t xml:space="preserve">a</w:t>
      </w:r>
      <w:r>
        <w:t xml:space="preserve"> </w:t>
      </w:r>
      <w:r>
        <w:t xml:space="preserve">personal</w:t>
      </w:r>
      <w:r>
        <w:t xml:space="preserve"> </w:t>
      </w:r>
      <w:r>
        <w:t xml:space="preserve">perspective</w:t>
      </w:r>
      <w:r>
        <w:t xml:space="preserve"> </w:t>
      </w:r>
      <w:r>
        <w:t xml:space="preserve">for</w:t>
      </w:r>
      <w:r>
        <w:t xml:space="preserve"> </w:t>
      </w:r>
      <w:r>
        <w:t xml:space="preserve">those</w:t>
      </w:r>
      <w:r>
        <w:t xml:space="preserve"> </w:t>
      </w:r>
      <w:r>
        <w:t xml:space="preserve">over</w:t>
      </w:r>
      <w:r>
        <w:t xml:space="preserve"> </w:t>
      </w:r>
      <w:r>
        <w:t xml:space="preserve">40,</w:t>
      </w:r>
      <w:r>
        <w:t xml:space="preserve"> </w:t>
      </w:r>
      <w:r>
        <w:t xml:space="preserve">and</w:t>
      </w:r>
      <w:r>
        <w:t xml:space="preserve"> </w:t>
      </w:r>
      <w:r>
        <w:t xml:space="preserve">those</w:t>
      </w:r>
      <w:r>
        <w:t xml:space="preserve"> </w:t>
      </w:r>
      <w:r>
        <w:t xml:space="preserve">over</w:t>
      </w:r>
      <w:r>
        <w:t xml:space="preserve"> </w:t>
      </w:r>
      <w:r>
        <w:t xml:space="preserve">30</w:t>
      </w:r>
      <w:r>
        <w:t xml:space="preserve"> </w:t>
      </w:r>
      <w:r>
        <w:t xml:space="preserve">in</w:t>
      </w:r>
      <w:r>
        <w:t xml:space="preserve"> </w:t>
      </w:r>
      <w:r>
        <w:t xml:space="preserve">high-risk</w:t>
      </w:r>
      <w:r>
        <w:t xml:space="preserve"> </w:t>
      </w:r>
      <w:r>
        <w:t xml:space="preserve">areas.</w:t>
      </w:r>
    </w:p>
    <w:bookmarkStart w:id="20" w:name="background"/>
    <w:p>
      <w:pPr>
        <w:pStyle w:val="Heading1"/>
      </w:pPr>
      <w:r>
        <w:t xml:space="preserve">Background</w:t>
      </w:r>
    </w:p>
    <w:p>
      <w:pPr>
        <w:pStyle w:val="FirstParagraph"/>
      </w:pPr>
      <w:r>
        <w:t xml:space="preserve">On March 29th, 2021, Canada’s National Advisory Committee on</w:t>
      </w:r>
      <w:r>
        <w:t xml:space="preserve"> </w:t>
      </w:r>
      <w:r>
        <w:t xml:space="preserve">Immunization (NACI) recommended against using the AstraZeneca (AZ)</w:t>
      </w:r>
      <w:r>
        <w:t xml:space="preserve"> </w:t>
      </w:r>
      <w:r>
        <w:t xml:space="preserve">COVID-19 Vaccine for Canadians under the age of 55, due to concerns</w:t>
      </w:r>
      <w:r>
        <w:t xml:space="preserve"> </w:t>
      </w:r>
      <w:r>
        <w:t xml:space="preserve">about vaccine-induced prothrombotic immune thrombocytopenia (VIPIT)</w:t>
      </w:r>
      <w:r>
        <w:t xml:space="preserve"> </w:t>
      </w:r>
      <w:r>
        <w:t xml:space="preserve">based on European reports</w:t>
      </w:r>
      <w:r>
        <w:t xml:space="preserve"> </w:t>
      </w:r>
      <w:r>
        <w:t xml:space="preserve">[</w:t>
      </w:r>
      <w:r>
        <w:t xml:space="preserve">1–3</w:t>
      </w:r>
      <w:r>
        <w:t xml:space="preserve">]</w:t>
      </w:r>
      <w:r>
        <w:t xml:space="preserve">. On March 18th, 2021, the European</w:t>
      </w:r>
      <w:r>
        <w:t xml:space="preserve"> </w:t>
      </w:r>
      <w:r>
        <w:t xml:space="preserve">Medicines Agency estimated the incidence of VIPIT at approximately 1 per</w:t>
      </w:r>
      <w:r>
        <w:t xml:space="preserve"> </w:t>
      </w:r>
      <w:r>
        <w:t xml:space="preserve">1,000,000 people vaccinated with the AZ vaccine</w:t>
      </w:r>
      <w:r>
        <w:t xml:space="preserve"> </w:t>
      </w:r>
      <w:r>
        <w:t xml:space="preserve">[</w:t>
      </w:r>
      <w:r>
        <w:t xml:space="preserve">4</w:t>
      </w:r>
      <w:r>
        <w:t xml:space="preserve">]</w:t>
      </w:r>
      <w:r>
        <w:t xml:space="preserve">. A higher</w:t>
      </w:r>
      <w:r>
        <w:t xml:space="preserve"> </w:t>
      </w:r>
      <w:r>
        <w:t xml:space="preserve">estimated rate of 1 per 100,000 by the Paul-Ehrlich Institut in Germany</w:t>
      </w:r>
      <w:r>
        <w:t xml:space="preserve"> </w:t>
      </w:r>
      <w:r>
        <w:t xml:space="preserve">was published on March 19th</w:t>
      </w:r>
      <w:r>
        <w:t xml:space="preserve"> </w:t>
      </w:r>
      <w:r>
        <w:t xml:space="preserve">[</w:t>
      </w:r>
      <w:r>
        <w:t xml:space="preserve">5</w:t>
      </w:r>
      <w:r>
        <w:t xml:space="preserve">]</w:t>
      </w:r>
      <w:r>
        <w:t xml:space="preserve">. It was this higher rate reported by</w:t>
      </w:r>
      <w:r>
        <w:t xml:space="preserve"> </w:t>
      </w:r>
      <w:r>
        <w:t xml:space="preserve">the Paul-Ehrlich Institut (PEI) that led NACI to recommend against using</w:t>
      </w:r>
      <w:r>
        <w:t xml:space="preserve"> </w:t>
      </w:r>
      <w:r>
        <w:t xml:space="preserve">this vaccine in adults under 55 years old</w:t>
      </w:r>
      <w:r>
        <w:t xml:space="preserve"> </w:t>
      </w:r>
      <w:r>
        <w:t xml:space="preserve">[</w:t>
      </w:r>
      <w:r>
        <w:t xml:space="preserve">1</w:t>
      </w:r>
      <w:r>
        <w:t xml:space="preserve">]</w:t>
      </w:r>
      <w:r>
        <w:t xml:space="preserve">.</w:t>
      </w:r>
    </w:p>
    <w:p>
      <w:pPr>
        <w:pStyle w:val="BodyText"/>
      </w:pPr>
      <w:r>
        <w:t xml:space="preserve">On April 1st, the UK Medicines &amp; Healthcare Products Regulatory Agency</w:t>
      </w:r>
      <w:r>
        <w:t xml:space="preserve"> </w:t>
      </w:r>
      <w:r>
        <w:t xml:space="preserve">(MHRA) updated its own previously reported data to report a total of 22</w:t>
      </w:r>
      <w:r>
        <w:t xml:space="preserve"> </w:t>
      </w:r>
      <w:r>
        <w:t xml:space="preserve">cerebral venous sinus thrombosis (CVST) and 8 other clot-related events</w:t>
      </w:r>
      <w:r>
        <w:t xml:space="preserve"> </w:t>
      </w:r>
      <w:r>
        <w:t xml:space="preserve">from 18.1 million doses of the AZ vaccine (total incidence rate 1 in</w:t>
      </w:r>
      <w:r>
        <w:t xml:space="preserve"> </w:t>
      </w:r>
      <w:r>
        <w:t xml:space="preserve">600,000)</w:t>
      </w:r>
      <w:r>
        <w:t xml:space="preserve"> </w:t>
      </w:r>
      <w:r>
        <w:t xml:space="preserve">[</w:t>
      </w:r>
      <w:r>
        <w:t xml:space="preserve">6</w:t>
      </w:r>
      <w:r>
        <w:t xml:space="preserve">]</w:t>
      </w:r>
      <w:r>
        <w:t xml:space="preserve">. On April 7th, MHRA concluded a possible link between</w:t>
      </w:r>
      <w:r>
        <w:t xml:space="preserve"> </w:t>
      </w:r>
      <w:r>
        <w:t xml:space="preserve">the AZ vaccine and extremely rare clotting events and updated its data</w:t>
      </w:r>
      <w:r>
        <w:t xml:space="preserve"> </w:t>
      </w:r>
      <w:r>
        <w:t xml:space="preserve">to report 79 UK cases of VIPIT (51 in women and 28 in men, all of them</w:t>
      </w:r>
      <w:r>
        <w:t xml:space="preserve"> </w:t>
      </w:r>
      <w:r>
        <w:t xml:space="preserve">between 18 to 79 years old), including 44 cases of CVST and 35 cases of</w:t>
      </w:r>
      <w:r>
        <w:t xml:space="preserve"> </w:t>
      </w:r>
      <w:r>
        <w:t xml:space="preserve">thrombosis in other major veins (incidence rate 1 in 250,000)</w:t>
      </w:r>
      <w:r>
        <w:t xml:space="preserve">[</w:t>
      </w:r>
      <w:r>
        <w:t xml:space="preserve">7</w:t>
      </w:r>
      <w:r>
        <w:t xml:space="preserve">]</w:t>
      </w:r>
      <w:r>
        <w:t xml:space="preserve">.</w:t>
      </w:r>
    </w:p>
    <w:p>
      <w:pPr>
        <w:pStyle w:val="BodyText"/>
      </w:pPr>
      <w:r>
        <w:t xml:space="preserve">On the same day, the Pharmacovigilance Risk Assessment Committee (PRAC)</w:t>
      </w:r>
      <w:r>
        <w:t xml:space="preserve"> </w:t>
      </w:r>
      <w:r>
        <w:t xml:space="preserve">of the European Medicines Agency (EMA) concluded that VIPIT should be</w:t>
      </w:r>
      <w:r>
        <w:t xml:space="preserve"> </w:t>
      </w:r>
      <w:r>
        <w:t xml:space="preserve">listed as a very rare side effect of the AZ vaccine. PRAC noted that as</w:t>
      </w:r>
      <w:r>
        <w:t xml:space="preserve"> </w:t>
      </w:r>
      <w:r>
        <w:t xml:space="preserve">of March 22nd, a total of 86 cases of VIPIT (62 cases of CVST and 24</w:t>
      </w:r>
      <w:r>
        <w:t xml:space="preserve"> </w:t>
      </w:r>
      <w:r>
        <w:t xml:space="preserve">cases of splanchnic vein thrombosis) and 18 fatalities out of about 25</w:t>
      </w:r>
      <w:r>
        <w:t xml:space="preserve"> </w:t>
      </w:r>
      <w:r>
        <w:t xml:space="preserve">million vaccine doses were reported in EudraVigilance, the EU drug</w:t>
      </w:r>
      <w:r>
        <w:t xml:space="preserve"> </w:t>
      </w:r>
      <w:r>
        <w:t xml:space="preserve">safety database</w:t>
      </w:r>
      <w:r>
        <w:t xml:space="preserve"> </w:t>
      </w:r>
      <w:r>
        <w:t xml:space="preserve">[</w:t>
      </w:r>
      <w:r>
        <w:t xml:space="preserve">8</w:t>
      </w:r>
      <w:r>
        <w:t xml:space="preserve">]</w:t>
      </w:r>
      <w:r>
        <w:t xml:space="preserve">. As of April 4th, 2021, 222 cases of VIPIT (169</w:t>
      </w:r>
      <w:r>
        <w:t xml:space="preserve"> </w:t>
      </w:r>
      <w:r>
        <w:t xml:space="preserve">cases of CVST and 53 cases of splanchnic vein thrombosis) had been</w:t>
      </w:r>
      <w:r>
        <w:t xml:space="preserve"> </w:t>
      </w:r>
      <w:r>
        <w:t xml:space="preserve">reported to EudraVigilance out of around 34 million people who had</w:t>
      </w:r>
      <w:r>
        <w:t xml:space="preserve"> </w:t>
      </w:r>
      <w:r>
        <w:t xml:space="preserve">received the AZ vaccine</w:t>
      </w:r>
      <w:r>
        <w:t xml:space="preserve"> </w:t>
      </w:r>
      <w:r>
        <w:t xml:space="preserve">[</w:t>
      </w:r>
      <w:r>
        <w:t xml:space="preserve">8</w:t>
      </w:r>
      <w:r>
        <w:t xml:space="preserve">]</w:t>
      </w:r>
      <w:r>
        <w:t xml:space="preserve">.</w:t>
      </w:r>
    </w:p>
    <w:p>
      <w:pPr>
        <w:pStyle w:val="BodyText"/>
      </w:pPr>
      <w:r>
        <w:t xml:space="preserve">BC had initially slated the AZ vaccine for outbreak control and</w:t>
      </w:r>
      <w:r>
        <w:t xml:space="preserve"> </w:t>
      </w:r>
      <w:r>
        <w:t xml:space="preserve">front-line workers vaccination program. On March 29th and following</w:t>
      </w:r>
      <w:r>
        <w:t xml:space="preserve"> </w:t>
      </w:r>
      <w:r>
        <w:t xml:space="preserve">NACI’s recommendation, BC paused using the AZ vaccine for those under 60</w:t>
      </w:r>
      <w:r>
        <w:t xml:space="preserve"> </w:t>
      </w:r>
      <w:r>
        <w:t xml:space="preserve">and put the front-line workers vaccination program on hold.</w:t>
      </w:r>
    </w:p>
    <w:p>
      <w:pPr>
        <w:pStyle w:val="BodyText"/>
      </w:pPr>
      <w:r>
        <w:t xml:space="preserve">Canadian provinces received 1.5 million doses of the AZ vaccine from the</w:t>
      </w:r>
      <w:r>
        <w:t xml:space="preserve"> </w:t>
      </w:r>
      <w:r>
        <w:t xml:space="preserve">US and another 316,800 doses from the COVAX program in between the two</w:t>
      </w:r>
      <w:r>
        <w:t xml:space="preserve"> </w:t>
      </w:r>
      <w:r>
        <w:t xml:space="preserve">weeks period ending on April 11th</w:t>
      </w:r>
      <w:r>
        <w:t xml:space="preserve"> </w:t>
      </w:r>
      <w:r>
        <w:t xml:space="preserve">[</w:t>
      </w:r>
      <w:r>
        <w:t xml:space="preserve">9</w:t>
      </w:r>
      <w:r>
        <w:t xml:space="preserve">]</w:t>
      </w:r>
      <w:r>
        <w:t xml:space="preserve">. British Columbia received</w:t>
      </w:r>
      <w:r>
        <w:t xml:space="preserve"> </w:t>
      </w:r>
      <w:r>
        <w:t xml:space="preserve">246,700 doses from these two AZ deliveries, enough to finish providing</w:t>
      </w:r>
      <w:r>
        <w:t xml:space="preserve"> </w:t>
      </w:r>
      <w:r>
        <w:t xml:space="preserve">the first dose to all remaining front-line workers.</w:t>
      </w:r>
    </w:p>
    <w:p>
      <w:pPr>
        <w:pStyle w:val="BodyText"/>
      </w:pPr>
      <w:r>
        <w:t xml:space="preserve">The 300,690 doses of Pfizer-BioNTech and 105,900 doses of Moderna</w:t>
      </w:r>
      <w:r>
        <w:t xml:space="preserve"> </w:t>
      </w:r>
      <w:r>
        <w:t xml:space="preserve">vaccines expected within the same time frame are currently allocated for</w:t>
      </w:r>
      <w:r>
        <w:t xml:space="preserve"> </w:t>
      </w:r>
      <w:r>
        <w:t xml:space="preserve">the priority groups, indigenous population, and the currently ongoing</w:t>
      </w:r>
      <w:r>
        <w:t xml:space="preserve"> </w:t>
      </w:r>
      <w:r>
        <w:t xml:space="preserve">age-based vaccination campaign. The AZ vaccine was initially allocated</w:t>
      </w:r>
      <w:r>
        <w:t xml:space="preserve"> </w:t>
      </w:r>
      <w:r>
        <w:t xml:space="preserve">to front-line workers due to its easier handling and storage</w:t>
      </w:r>
      <w:r>
        <w:t xml:space="preserve"> </w:t>
      </w:r>
      <w:r>
        <w:t xml:space="preserve">requirements. If it is not logistically possible to switch the vaccine</w:t>
      </w:r>
      <w:r>
        <w:t xml:space="preserve"> </w:t>
      </w:r>
      <w:r>
        <w:t xml:space="preserve">allocation for above 55 years old age groups to the AZ vaccine and use</w:t>
      </w:r>
      <w:r>
        <w:t xml:space="preserve"> </w:t>
      </w:r>
      <w:r>
        <w:t xml:space="preserve">either Pfizer-BioNTech or Moderna vaccines for younger front-line</w:t>
      </w:r>
      <w:r>
        <w:t xml:space="preserve"> </w:t>
      </w:r>
      <w:r>
        <w:t xml:space="preserve">workers without delay, one might ask whether the benefits of immediately</w:t>
      </w:r>
      <w:r>
        <w:t xml:space="preserve"> </w:t>
      </w:r>
      <w:r>
        <w:t xml:space="preserve">deploying the AZ vaccine for front-line workers outweigh the rare but</w:t>
      </w:r>
      <w:r>
        <w:t xml:space="preserve"> </w:t>
      </w:r>
      <w:r>
        <w:t xml:space="preserve">serious risk for VIPIT.</w:t>
      </w:r>
    </w:p>
    <w:p>
      <w:pPr>
        <w:pStyle w:val="BodyText"/>
      </w:pPr>
      <w:r>
        <w:t xml:space="preserve">Here, we provide a preliminary harm-benefit analysis of immediate</w:t>
      </w:r>
      <w:r>
        <w:t xml:space="preserve"> </w:t>
      </w:r>
      <w:r>
        <w:t xml:space="preserve">vaccination of all front-line workers with the AZ COVID-19 vaccine. We</w:t>
      </w:r>
      <w:r>
        <w:t xml:space="preserve"> </w:t>
      </w:r>
      <w:r>
        <w:t xml:space="preserve">based our analysis on mortality alone, and explore the risk both from a</w:t>
      </w:r>
      <w:r>
        <w:t xml:space="preserve"> </w:t>
      </w:r>
      <w:r>
        <w:t xml:space="preserve">societal and individual risk perspective.</w:t>
      </w:r>
    </w:p>
    <w:bookmarkEnd w:id="20"/>
    <w:bookmarkStart w:id="23" w:name="methods"/>
    <w:p>
      <w:pPr>
        <w:pStyle w:val="Heading1"/>
      </w:pPr>
      <w:r>
        <w:t xml:space="preserve">Methods</w:t>
      </w:r>
    </w:p>
    <w:p>
      <w:pPr>
        <w:pStyle w:val="FirstParagraph"/>
      </w:pPr>
      <w:r>
        <w:t xml:space="preserve">We assumed that BC allocates all 246,700 doses to front-line workers and</w:t>
      </w:r>
      <w:r>
        <w:t xml:space="preserve"> </w:t>
      </w:r>
      <w:r>
        <w:t xml:space="preserve">that there is enough uptake that BC is able to administer all these</w:t>
      </w:r>
      <w:r>
        <w:t xml:space="preserve"> </w:t>
      </w:r>
      <w:r>
        <w:t xml:space="preserve">doses. We compared immediately prioritizing front-line workers for the</w:t>
      </w:r>
      <w:r>
        <w:t xml:space="preserve"> </w:t>
      </w:r>
      <w:r>
        <w:t xml:space="preserve">AZ vaccine (</w:t>
      </w:r>
      <w:r>
        <w:rPr>
          <w:iCs/>
          <w:i/>
        </w:rPr>
        <w:t xml:space="preserve">Scenario A</w:t>
      </w:r>
      <w:r>
        <w:t xml:space="preserve">) and asking them to wait to receive mRNA</w:t>
      </w:r>
      <w:r>
        <w:t xml:space="preserve"> </w:t>
      </w:r>
      <w:r>
        <w:t xml:space="preserve">vaccines as part of the current age-based program (</w:t>
      </w:r>
      <w:r>
        <w:rPr>
          <w:iCs/>
          <w:i/>
        </w:rPr>
        <w:t xml:space="preserve">Scenario B</w:t>
      </w:r>
      <w:r>
        <w:t xml:space="preserve">).</w:t>
      </w:r>
      <w:r>
        <w:t xml:space="preserve"> </w:t>
      </w:r>
      <w:r>
        <w:t xml:space="preserve">For harm-benefit analysis from a societal perspective, we compared</w:t>
      </w:r>
      <w:r>
        <w:t xml:space="preserve"> </w:t>
      </w:r>
      <w:r>
        <w:t xml:space="preserve">expected number of deaths under each vaccination strategy.</w:t>
      </w:r>
    </w:p>
    <w:p>
      <w:pPr>
        <w:pStyle w:val="BodyText"/>
      </w:pPr>
      <w:r>
        <w:t xml:space="preserve">We estimated the expected number of deaths due to VIPIT as</w:t>
      </w:r>
      <w:r>
        <w:t xml:space="preserve"> </w:t>
      </w:r>
      <m:oMath>
        <m:r>
          <m:t>E</m:t>
        </m:r>
        <m:sSub>
          <m:e>
            <m:d>
              <m:dPr>
                <m:begChr m:val="("/>
                <m:endChr m:val=")"/>
                <m:grow/>
              </m:dPr>
              <m:e>
                <m:r>
                  <m:t>d</m:t>
                </m:r>
                <m:r>
                  <m:t>e</m:t>
                </m:r>
                <m:r>
                  <m:t>a</m:t>
                </m:r>
                <m:r>
                  <m:t>t</m:t>
                </m:r>
                <m:r>
                  <m:t>h</m:t>
                </m:r>
              </m:e>
            </m:d>
          </m:e>
          <m:sub>
            <m:r>
              <m:t>V</m:t>
            </m:r>
            <m:r>
              <m:t>I</m:t>
            </m:r>
            <m:r>
              <m:t>P</m:t>
            </m:r>
            <m:r>
              <m:t>I</m:t>
            </m:r>
            <m:r>
              <m:t>T</m:t>
            </m:r>
          </m:sub>
        </m:sSub>
        <m:r>
          <m:rPr>
            <m:sty m:val="p"/>
          </m:rPr>
          <m:t>=</m:t>
        </m:r>
        <m:r>
          <m:t>d</m:t>
        </m:r>
        <m:r>
          <m:rPr>
            <m:sty m:val="p"/>
          </m:rPr>
          <m:t>×</m:t>
        </m:r>
        <m:r>
          <m:t>P</m:t>
        </m:r>
        <m:d>
          <m:dPr>
            <m:begChr m:val="("/>
            <m:endChr m:val=")"/>
            <m:grow/>
          </m:dPr>
          <m:e>
            <m:r>
              <m:t>V</m:t>
            </m:r>
            <m:r>
              <m:t>I</m:t>
            </m:r>
            <m:r>
              <m:t>P</m:t>
            </m:r>
            <m:r>
              <m:t>I</m:t>
            </m:r>
            <m:r>
              <m:t>T</m:t>
            </m:r>
            <m:r>
              <m:rPr>
                <m:sty m:val="p"/>
              </m:rPr>
              <m:t>|</m:t>
            </m:r>
            <m:r>
              <m:t>v</m:t>
            </m:r>
            <m:r>
              <m:t>a</m:t>
            </m:r>
            <m:r>
              <m:t>c</m:t>
            </m:r>
            <m:r>
              <m:t>c</m:t>
            </m:r>
            <m:r>
              <m:t>i</m:t>
            </m:r>
            <m:r>
              <m:t>n</m:t>
            </m:r>
            <m:r>
              <m:t>e</m:t>
            </m:r>
          </m:e>
        </m:d>
        <m:r>
          <m:rPr>
            <m:sty m:val="p"/>
          </m:rPr>
          <m:t>×</m:t>
        </m:r>
        <m:r>
          <m:t>P</m:t>
        </m:r>
        <m:d>
          <m:dPr>
            <m:begChr m:val="("/>
            <m:endChr m:val=")"/>
            <m:grow/>
          </m:dPr>
          <m:e>
            <m:r>
              <m:t>d</m:t>
            </m:r>
            <m:r>
              <m:t>e</m:t>
            </m:r>
            <m:r>
              <m:t>a</m:t>
            </m:r>
            <m:r>
              <m:t>t</m:t>
            </m:r>
            <m:r>
              <m:t>h</m:t>
            </m:r>
            <m:r>
              <m:rPr>
                <m:sty m:val="p"/>
              </m:rPr>
              <m:t>|</m:t>
            </m:r>
            <m:r>
              <m:t>V</m:t>
            </m:r>
            <m:r>
              <m:t>I</m:t>
            </m:r>
            <m:r>
              <m:t>P</m:t>
            </m:r>
            <m:r>
              <m:t>I</m:t>
            </m:r>
            <m:r>
              <m:t>T</m:t>
            </m:r>
          </m:e>
        </m:d>
      </m:oMath>
      <w:r>
        <w:t xml:space="preserve">,</w:t>
      </w:r>
      <w:r>
        <w:t xml:space="preserve"> </w:t>
      </w:r>
      <w:r>
        <w:t xml:space="preserve">where</w:t>
      </w:r>
      <w:r>
        <w:t xml:space="preserve"> </w:t>
      </w:r>
      <m:oMath>
        <m:r>
          <m:t>d</m:t>
        </m:r>
      </m:oMath>
      <w:r>
        <w:t xml:space="preserve"> </w:t>
      </w:r>
      <w:r>
        <w:t xml:space="preserve">is the number of doses administered,</w:t>
      </w:r>
      <w:r>
        <w:t xml:space="preserve"> </w:t>
      </w:r>
      <m:oMath>
        <m:r>
          <m:t>P</m:t>
        </m:r>
        <m:d>
          <m:dPr>
            <m:begChr m:val="("/>
            <m:endChr m:val=")"/>
            <m:grow/>
          </m:dPr>
          <m:e>
            <m:r>
              <m:t>V</m:t>
            </m:r>
            <m:r>
              <m:t>I</m:t>
            </m:r>
            <m:r>
              <m:t>P</m:t>
            </m:r>
            <m:r>
              <m:t>I</m:t>
            </m:r>
            <m:r>
              <m:t>T</m:t>
            </m:r>
            <m:r>
              <m:rPr>
                <m:sty m:val="p"/>
              </m:rPr>
              <m:t>|</m:t>
            </m:r>
            <m:r>
              <m:t>v</m:t>
            </m:r>
            <m:r>
              <m:t>a</m:t>
            </m:r>
            <m:r>
              <m:t>c</m:t>
            </m:r>
            <m:r>
              <m:t>c</m:t>
            </m:r>
            <m:r>
              <m:t>i</m:t>
            </m:r>
            <m:r>
              <m:t>n</m:t>
            </m:r>
            <m:r>
              <m:t>e</m:t>
            </m:r>
          </m:e>
        </m:d>
      </m:oMath>
      <w:r>
        <w:t xml:space="preserve"> </w:t>
      </w:r>
      <w:r>
        <w:t xml:space="preserve">is</w:t>
      </w:r>
      <w:r>
        <w:t xml:space="preserve"> </w:t>
      </w:r>
      <w:r>
        <w:t xml:space="preserve">the risk of VIPIT after receiving each dose of the AZ vaccine, and</w:t>
      </w:r>
      <w:r>
        <w:t xml:space="preserve"> </w:t>
      </w:r>
      <m:oMath>
        <m:r>
          <m:t>P</m:t>
        </m:r>
        <m:d>
          <m:dPr>
            <m:begChr m:val="("/>
            <m:endChr m:val=")"/>
            <m:grow/>
          </m:dPr>
          <m:e>
            <m:r>
              <m:t>d</m:t>
            </m:r>
            <m:r>
              <m:t>e</m:t>
            </m:r>
            <m:r>
              <m:t>a</m:t>
            </m:r>
            <m:r>
              <m:t>t</m:t>
            </m:r>
            <m:r>
              <m:t>h</m:t>
            </m:r>
            <m:r>
              <m:rPr>
                <m:sty m:val="p"/>
              </m:rPr>
              <m:t>|</m:t>
            </m:r>
            <m:r>
              <m:t>V</m:t>
            </m:r>
            <m:r>
              <m:t>I</m:t>
            </m:r>
            <m:r>
              <m:t>P</m:t>
            </m:r>
            <m:r>
              <m:t>I</m:t>
            </m:r>
            <m:r>
              <m:t>T</m:t>
            </m:r>
          </m:e>
        </m:d>
      </m:oMath>
      <w:r>
        <w:t xml:space="preserve"> </w:t>
      </w:r>
      <w:r>
        <w:t xml:space="preserve">is the case fatality for VIPIT. We did a</w:t>
      </w:r>
      <w:r>
        <w:t xml:space="preserve"> </w:t>
      </w:r>
      <w:r>
        <w:t xml:space="preserve">probabilistic analysis in which appropriate probability distributions</w:t>
      </w:r>
      <w:r>
        <w:t xml:space="preserve"> </w:t>
      </w:r>
      <w:r>
        <w:t xml:space="preserve">were assigned to model parameters for which relevant data were</w:t>
      </w:r>
      <w:r>
        <w:t xml:space="preserve"> </w:t>
      </w:r>
      <w:r>
        <w:t xml:space="preserve">available.</w:t>
      </w:r>
    </w:p>
    <w:p>
      <w:pPr>
        <w:pStyle w:val="BodyText"/>
      </w:pPr>
      <w:r>
        <w:t xml:space="preserve">We assumed that each dose of the vaccine is independently associated</w:t>
      </w:r>
      <w:r>
        <w:t xml:space="preserve"> </w:t>
      </w:r>
      <w:r>
        <w:t xml:space="preserve">with the risk for VIPIT and that the risk of VIPIT is uniform across all</w:t>
      </w:r>
      <w:r>
        <w:t xml:space="preserve"> </w:t>
      </w:r>
      <w:r>
        <w:t xml:space="preserve">age groups. The most recent estimate for these probabilities by EMA, and</w:t>
      </w:r>
      <w:r>
        <w:t xml:space="preserve"> </w:t>
      </w:r>
      <w:r>
        <w:t xml:space="preserve">the estimates NACI used in its calculations are summarized in Table 1.</w:t>
      </w:r>
    </w:p>
    <w:p>
      <w:pPr>
        <w:pStyle w:val="BodyText"/>
      </w:pPr>
      <w:r>
        <w:t xml:space="preserve">We estimated the benefits of the AZ COVID-19 vaccine using a BC-specific</w:t>
      </w:r>
      <w:r>
        <w:t xml:space="preserve"> </w:t>
      </w:r>
      <w:r>
        <w:t xml:space="preserve">age-structured COVID-19 compartmental model by Mulberry and colleagues</w:t>
      </w:r>
      <w:r>
        <w:t xml:space="preserve"> </w:t>
      </w:r>
      <w:r>
        <w:t xml:space="preserve">that takes into account transmission, age-based contact structure,</w:t>
      </w:r>
      <w:r>
        <w:t xml:space="preserve"> </w:t>
      </w:r>
      <w:r>
        <w:t xml:space="preserve">front-line worker status, and rising</w:t>
      </w:r>
      <w:r>
        <w:t xml:space="preserve"> </w:t>
      </w:r>
      <m:oMath>
        <m:sSub>
          <m:e>
            <m:r>
              <m:t>R</m:t>
            </m:r>
          </m:e>
          <m:sub>
            <m:r>
              <m:t>0</m:t>
            </m:r>
          </m:sub>
        </m:sSub>
      </m:oMath>
      <w:r>
        <w:t xml:space="preserve"> </w:t>
      </w:r>
      <w:r>
        <w:t xml:space="preserve">due to variants of concern</w:t>
      </w:r>
      <w:r>
        <w:t xml:space="preserve"> </w:t>
      </w:r>
      <w:r>
        <w:t xml:space="preserve">[</w:t>
      </w:r>
      <w:r>
        <w:t xml:space="preserve">10</w:t>
      </w:r>
      <w:r>
        <w:t xml:space="preserve">]</w:t>
      </w:r>
      <w:r>
        <w:t xml:space="preserve">. The model included susceptible, exposed, infectious and</w:t>
      </w:r>
      <w:r>
        <w:t xml:space="preserve"> </w:t>
      </w:r>
      <w:r>
        <w:t xml:space="preserve">recovered (SEIR) status and was based on the transmission model by Bubar</w:t>
      </w:r>
      <w:r>
        <w:t xml:space="preserve"> </w:t>
      </w:r>
      <w:r>
        <w:t xml:space="preserve">et al</w:t>
      </w:r>
      <w:r>
        <w:t xml:space="preserve"> </w:t>
      </w:r>
      <w:r>
        <w:t xml:space="preserve">[</w:t>
      </w:r>
      <w:r>
        <w:t xml:space="preserve">11</w:t>
      </w:r>
      <w:r>
        <w:t xml:space="preserve">]</w:t>
      </w:r>
      <w:r>
        <w:t xml:space="preserve">.</w:t>
      </w:r>
    </w:p>
    <w:p>
      <w:pPr>
        <w:pStyle w:val="BodyText"/>
      </w:pPr>
      <w:r>
        <w:t xml:space="preserve">We ran the model from January 2021 to September 2021, which is when the</w:t>
      </w:r>
      <w:r>
        <w:t xml:space="preserve"> </w:t>
      </w:r>
      <w:r>
        <w:t xml:space="preserve">vaccination campaign is expected to conclude. To follow BC vaccination</w:t>
      </w:r>
      <w:r>
        <w:t xml:space="preserve"> </w:t>
      </w:r>
      <w:r>
        <w:t xml:space="preserve">strategy and case counts in the first three months of 2021, we held</w:t>
      </w:r>
      <w:r>
        <w:t xml:space="preserve"> </w:t>
      </w:r>
      <m:oMath>
        <m:sSub>
          <m:e>
            <m:r>
              <m:t>R</m:t>
            </m:r>
          </m:e>
          <m:sub>
            <m:r>
              <m:t>0</m:t>
            </m:r>
          </m:sub>
        </m:sSub>
      </m:oMath>
      <w:r>
        <w:t xml:space="preserve"> </w:t>
      </w:r>
      <w:r>
        <w:t xml:space="preserve">at 1.03 from January 1, 2021 for 70 days during which people</w:t>
      </w:r>
      <w:r>
        <w:t xml:space="preserve"> </w:t>
      </w:r>
      <w:r>
        <w:t xml:space="preserve">over 80 years old were eligible for vaccination. Age groups that were</w:t>
      </w:r>
      <w:r>
        <w:t xml:space="preserve"> </w:t>
      </w:r>
      <w:r>
        <w:t xml:space="preserve">offered vaccination were considered to be vaccinated at a steady pace</w:t>
      </w:r>
      <w:r>
        <w:t xml:space="preserve"> </w:t>
      </w:r>
      <w:r>
        <w:t xml:space="preserve">until everyone who is not vaccine-hesitant is vaccinated. Around the end</w:t>
      </w:r>
      <w:r>
        <w:t xml:space="preserve"> </w:t>
      </w:r>
      <w:r>
        <w:t xml:space="preserve">of March, we raised</w:t>
      </w:r>
      <w:r>
        <w:t xml:space="preserve"> </w:t>
      </w:r>
      <m:oMath>
        <m:sSub>
          <m:e>
            <m:r>
              <m:t>R</m:t>
            </m:r>
          </m:e>
          <m:sub>
            <m:r>
              <m:t>0</m:t>
            </m:r>
          </m:sub>
        </m:sSub>
      </m:oMath>
      <w:r>
        <w:t xml:space="preserve"> </w:t>
      </w:r>
      <w:r>
        <w:t xml:space="preserve">to either 1.15 or 1.35 to account for</w:t>
      </w:r>
      <w:r>
        <w:t xml:space="preserve"> </w:t>
      </w:r>
      <w:r>
        <w:t xml:space="preserve">variants of concern gaining a foothold in BC and increased the pace of</w:t>
      </w:r>
      <w:r>
        <w:t xml:space="preserve"> </w:t>
      </w:r>
      <w:r>
        <w:t xml:space="preserve">the vaccination program. We validated these assumptions by comparing</w:t>
      </w:r>
      <w:r>
        <w:t xml:space="preserve"> </w:t>
      </w:r>
      <w:r>
        <w:t xml:space="preserve">model projections under these values against observed case counts for</w:t>
      </w:r>
      <w:r>
        <w:t xml:space="preserve"> </w:t>
      </w:r>
      <w:r>
        <w:t xml:space="preserve">the January 1st to April 15th, 2021 period.</w:t>
      </w:r>
    </w:p>
    <w:tbl>
      <w:tblPr>
        <w:tblStyle w:val="Table"/>
        <w:tblW w:type="pct" w:w="0"/>
        <w:tblLook w:firstRow="0" w:lastRow="0" w:firstColumn="0" w:lastColumn="0" w:noHBand="0" w:noVBand="0" w:val="0000"/>
      </w:tblPr>
      <w:tblGrid/>
      <w:tr>
        <w:tc>
          <w:p/>
        </w:tc>
        <w:tc>
          <w:p>
            <w:pPr>
              <w:pStyle w:val="Compact"/>
              <w:jc w:val="left"/>
            </w:pPr>
            <w:r>
              <w:t xml:space="preserve">Estimates</w:t>
            </w:r>
          </w:p>
        </w:tc>
        <w:tc>
          <w:p/>
        </w:tc>
        <w:tc>
          <w:p/>
        </w:tc>
        <w:tc>
          <w:p/>
        </w:tc>
        <w:tc>
          <w:p/>
        </w:tc>
      </w:tr>
      <w:tr>
        <w:tc>
          <w:p>
            <w:pPr>
              <w:pStyle w:val="Compact"/>
              <w:jc w:val="left"/>
            </w:pPr>
            <w:r>
              <w:t xml:space="preserve">Variable</w:t>
            </w:r>
          </w:p>
        </w:tc>
        <w:tc>
          <w:p>
            <w:pPr>
              <w:pStyle w:val="Compact"/>
              <w:jc w:val="left"/>
            </w:pPr>
            <w:r>
              <w:t xml:space="preserve">EMA</w:t>
            </w:r>
          </w:p>
        </w:tc>
        <w:tc>
          <w:p>
            <w:pPr>
              <w:pStyle w:val="Compact"/>
              <w:jc w:val="left"/>
            </w:pPr>
            <w:r>
              <w:t xml:space="preserve">EMA</w:t>
            </w:r>
          </w:p>
        </w:tc>
        <w:tc>
          <w:p>
            <w:pPr>
              <w:pStyle w:val="Compact"/>
              <w:jc w:val="left"/>
            </w:pPr>
            <w:r>
              <w:t xml:space="preserve">NACI</w:t>
            </w:r>
          </w:p>
        </w:tc>
        <w:tc>
          <w:p/>
        </w:tc>
        <w:tc>
          <w:p/>
        </w:tc>
      </w:tr>
      <w:tr>
        <w:tc>
          <w:p/>
        </w:tc>
        <w:tc>
          <w:p>
            <w:pPr>
              <w:pStyle w:val="Compact"/>
              <w:jc w:val="left"/>
            </w:pPr>
            <w:r>
              <w:t xml:space="preserve">Base Value</w:t>
            </w:r>
          </w:p>
        </w:tc>
        <w:tc>
          <w:p>
            <w:pPr>
              <w:pStyle w:val="Compact"/>
              <w:jc w:val="left"/>
            </w:pPr>
            <w:r>
              <w:t xml:space="preserve">Probability Distribution</w:t>
            </w:r>
          </w:p>
        </w:tc>
        <w:tc>
          <w:p>
            <w:pPr>
              <w:pStyle w:val="Compact"/>
              <w:jc w:val="left"/>
            </w:pPr>
            <w:r>
              <w:t xml:space="preserve">Base Value</w:t>
            </w:r>
          </w:p>
        </w:tc>
        <w:tc>
          <w:p/>
        </w:tc>
        <w:tc>
          <w:p/>
        </w:tc>
      </w:tr>
      <w:tr>
        <w:tc>
          <w:p>
            <w:pPr>
              <w:pStyle w:val="Compact"/>
              <w:jc w:val="left"/>
            </w:pPr>
            <m:oMath>
              <m:r>
                <m:t>P</m:t>
              </m:r>
              <m:d>
                <m:dPr>
                  <m:begChr m:val="("/>
                  <m:endChr m:val=")"/>
                  <m:grow/>
                </m:dPr>
                <m:e>
                  <m:r>
                    <m:rPr>
                      <m:nor/>
                      <m:sty m:val="p"/>
                    </m:rPr>
                    <m:t>VIPIT</m:t>
                  </m:r>
                  <m:r>
                    <m:rPr>
                      <m:sty m:val="p"/>
                    </m:rPr>
                    <m:t>|</m:t>
                  </m:r>
                  <m:r>
                    <m:rPr>
                      <m:nor/>
                      <m:sty m:val="p"/>
                    </m:rPr>
                    <m:t>vaccine</m:t>
                  </m:r>
                </m:e>
              </m:d>
            </m:oMath>
          </w:p>
        </w:tc>
        <w:tc>
          <w:p>
            <w:pPr>
              <w:pStyle w:val="Compact"/>
              <w:jc w:val="left"/>
            </w:pPr>
            <w:r>
              <w:t xml:space="preserve">1 in 153,000</w:t>
            </w:r>
          </w:p>
        </w:tc>
        <w:tc>
          <w:p>
            <w:pPr>
              <w:pStyle w:val="Compact"/>
              <w:jc w:val="left"/>
            </w:pPr>
            <m:oMath>
              <m:r>
                <m:t>β</m:t>
              </m:r>
              <m:d>
                <m:dPr>
                  <m:begChr m:val="("/>
                  <m:endChr m:val=")"/>
                  <m:grow/>
                </m:dPr>
                <m:e>
                  <m:r>
                    <m:t>222</m:t>
                  </m:r>
                  <m:r>
                    <m:rPr>
                      <m:sty m:val="p"/>
                    </m:rPr>
                    <m:t>,</m:t>
                  </m:r>
                  <m:r>
                    <m:t>3.4</m:t>
                  </m:r>
                  <m:r>
                    <m:rPr>
                      <m:sty m:val="p"/>
                    </m:rPr>
                    <m:t>×</m:t>
                  </m:r>
                  <m:sSup>
                    <m:e>
                      <m:r>
                        <m:t>10</m:t>
                      </m:r>
                    </m:e>
                    <m:sup>
                      <m:r>
                        <m:t>7</m:t>
                      </m:r>
                    </m:sup>
                  </m:sSup>
                </m:e>
              </m:d>
            </m:oMath>
          </w:p>
        </w:tc>
        <w:tc>
          <w:p>
            <w:pPr>
              <w:pStyle w:val="Compact"/>
              <w:jc w:val="left"/>
            </w:pPr>
            <w:r>
              <w:t xml:space="preserve">1 in 100,000</w:t>
            </w:r>
          </w:p>
        </w:tc>
        <w:tc>
          <w:p/>
        </w:tc>
        <w:tc>
          <w:p/>
        </w:tc>
      </w:tr>
      <w:tr>
        <w:tc>
          <w:p>
            <w:pPr>
              <w:pStyle w:val="Compact"/>
              <w:jc w:val="left"/>
            </w:pPr>
            <m:oMath>
              <m:r>
                <m:t>P</m:t>
              </m:r>
              <m:d>
                <m:dPr>
                  <m:begChr m:val="("/>
                  <m:endChr m:val=")"/>
                  <m:grow/>
                </m:dPr>
                <m:e>
                  <m:r>
                    <m:rPr>
                      <m:nor/>
                      <m:sty m:val="p"/>
                    </m:rPr>
                    <m:t>death</m:t>
                  </m:r>
                  <m:r>
                    <m:rPr>
                      <m:sty m:val="p"/>
                    </m:rPr>
                    <m:t>|</m:t>
                  </m:r>
                  <m:r>
                    <m:rPr>
                      <m:nor/>
                      <m:sty m:val="p"/>
                    </m:rPr>
                    <m:t>VIPIT</m:t>
                  </m:r>
                </m:e>
              </m:d>
            </m:oMath>
          </w:p>
        </w:tc>
        <w:tc>
          <w:p>
            <w:pPr>
              <w:pStyle w:val="Compact"/>
              <w:jc w:val="left"/>
            </w:pPr>
            <m:oMath>
              <m:r>
                <m:t>21</m:t>
              </m:r>
              <m:r>
                <m:rPr>
                  <m:sty m:val="p"/>
                </m:rPr>
                <m:t>%</m:t>
              </m:r>
            </m:oMath>
          </w:p>
        </w:tc>
        <w:tc>
          <w:p>
            <w:pPr>
              <w:pStyle w:val="Compact"/>
              <w:jc w:val="left"/>
            </w:pPr>
            <m:oMath>
              <m:r>
                <m:t>β</m:t>
              </m:r>
              <m:d>
                <m:dPr>
                  <m:begChr m:val="("/>
                  <m:endChr m:val=")"/>
                  <m:grow/>
                </m:dPr>
                <m:e>
                  <m:r>
                    <m:t>18</m:t>
                  </m:r>
                  <m:r>
                    <m:rPr>
                      <m:sty m:val="p"/>
                    </m:rPr>
                    <m:t>,</m:t>
                  </m:r>
                  <m:r>
                    <m:t>86</m:t>
                  </m:r>
                  <m:r>
                    <m:rPr>
                      <m:sty m:val="p"/>
                    </m:rPr>
                    <m:t>−</m:t>
                  </m:r>
                  <m:r>
                    <m:t>18</m:t>
                  </m:r>
                </m:e>
              </m:d>
            </m:oMath>
          </w:p>
        </w:tc>
        <w:tc>
          <w:p>
            <w:pPr>
              <w:pStyle w:val="Compact"/>
              <w:jc w:val="left"/>
            </w:pPr>
            <m:oMath>
              <m:r>
                <m:t>40</m:t>
              </m:r>
              <m:r>
                <m:rPr>
                  <m:sty m:val="p"/>
                </m:rPr>
                <m:t>%</m:t>
              </m:r>
            </m:oMath>
          </w:p>
        </w:tc>
        <w:tc>
          <w:p/>
        </w:tc>
        <w:tc>
          <w:p/>
        </w:tc>
      </w:tr>
      <w:tr>
        <w:tc>
          <w:p/>
        </w:tc>
        <w:tc>
          <w:p/>
        </w:tc>
        <w:tc>
          <w:p/>
        </w:tc>
        <w:tc>
          <w:p/>
        </w:tc>
        <w:tc>
          <w:p/>
        </w:tc>
        <w:tc>
          <w:p/>
        </w:tc>
      </w:tr>
      <w:tr>
        <w:tc>
          <w:p/>
        </w:tc>
        <w:tc>
          <w:p>
            <w:pPr>
              <w:pStyle w:val="Compact"/>
              <w:jc w:val="left"/>
            </w:pPr>
            <w:r>
              <w:t xml:space="preserve">Assumptions</w:t>
            </w:r>
          </w:p>
        </w:tc>
        <w:tc>
          <w:p/>
        </w:tc>
        <w:tc>
          <w:p/>
        </w:tc>
        <w:tc>
          <w:p/>
        </w:tc>
        <w:tc>
          <w:p/>
        </w:tc>
      </w:tr>
      <w:tr>
        <w:tc>
          <w:p>
            <w:pPr>
              <w:pStyle w:val="Compact"/>
              <w:jc w:val="left"/>
            </w:pPr>
            <w:r>
              <w:t xml:space="preserve">Parameter</w:t>
            </w:r>
          </w:p>
        </w:tc>
        <w:tc>
          <w:p>
            <w:pPr>
              <w:pStyle w:val="Compact"/>
              <w:jc w:val="left"/>
            </w:pPr>
            <w:r>
              <w:t xml:space="preserve">Base Value</w:t>
            </w:r>
          </w:p>
        </w:tc>
        <w:tc>
          <w:p>
            <w:pPr>
              <w:pStyle w:val="Compact"/>
              <w:jc w:val="left"/>
            </w:pPr>
            <w:r>
              <w:t xml:space="preserve">Sensitivity</w:t>
            </w:r>
          </w:p>
        </w:tc>
        <w:tc>
          <w:p/>
        </w:tc>
        <w:tc>
          <w:p/>
        </w:tc>
        <w:tc>
          <w:p/>
        </w:tc>
      </w:tr>
      <w:tr>
        <w:tc>
          <w:p>
            <w:pPr>
              <w:pStyle w:val="Compact"/>
              <w:jc w:val="left"/>
            </w:pPr>
            <m:oMath>
              <m:sSub>
                <m:e>
                  <m:r>
                    <m:t>R</m:t>
                  </m:r>
                </m:e>
                <m:sub>
                  <m:r>
                    <m:t>0</m:t>
                  </m:r>
                </m:sub>
              </m:sSub>
            </m:oMath>
          </w:p>
        </w:tc>
        <w:tc>
          <w:p>
            <w:pPr>
              <w:pStyle w:val="Compact"/>
              <w:jc w:val="left"/>
            </w:pPr>
            <w:r>
              <w:t xml:space="preserve">1.35</w:t>
            </w:r>
          </w:p>
        </w:tc>
        <w:tc>
          <w:p>
            <w:pPr>
              <w:pStyle w:val="Compact"/>
              <w:jc w:val="left"/>
            </w:pPr>
            <w:r>
              <w:t xml:space="preserve">1.15, 1.5</w:t>
            </w:r>
          </w:p>
        </w:tc>
        <w:tc>
          <w:p/>
        </w:tc>
        <w:tc>
          <w:p/>
        </w:tc>
        <w:tc>
          <w:p/>
        </w:tc>
      </w:tr>
      <w:tr>
        <w:tc>
          <w:p>
            <w:pPr>
              <w:pStyle w:val="Compact"/>
              <w:jc w:val="left"/>
            </w:pPr>
            <m:oMath>
              <m:sSub>
                <m:e>
                  <m:r>
                    <m:t>v</m:t>
                  </m:r>
                </m:e>
                <m:sub>
                  <m:r>
                    <m:t>e</m:t>
                  </m:r>
                </m:sub>
              </m:sSub>
            </m:oMath>
          </w:p>
        </w:tc>
        <w:tc>
          <w:p>
            <w:pPr>
              <w:pStyle w:val="Compact"/>
              <w:jc w:val="left"/>
            </w:pPr>
            <w:r>
              <w:t xml:space="preserve">0.60</w:t>
            </w:r>
          </w:p>
        </w:tc>
        <w:tc>
          <w:p>
            <w:pPr>
              <w:pStyle w:val="Compact"/>
              <w:jc w:val="left"/>
            </w:pPr>
            <w:r>
              <w:t xml:space="preserve">0.60, 0.75, 0.90</w:t>
            </w:r>
          </w:p>
        </w:tc>
        <w:tc>
          <w:p/>
        </w:tc>
        <w:tc>
          <w:p/>
        </w:tc>
        <w:tc>
          <w:p/>
        </w:tc>
      </w:tr>
      <w:tr>
        <w:tc>
          <w:p>
            <w:pPr>
              <w:pStyle w:val="Compact"/>
              <w:jc w:val="left"/>
            </w:pPr>
            <m:oMath>
              <m:sSub>
                <m:e>
                  <m:r>
                    <m:t>v</m:t>
                  </m:r>
                </m:e>
                <m:sub>
                  <m:r>
                    <m:t>p</m:t>
                  </m:r>
                </m:sub>
              </m:sSub>
            </m:oMath>
          </w:p>
        </w:tc>
        <w:tc>
          <w:p>
            <w:pPr>
              <w:pStyle w:val="Compact"/>
              <w:jc w:val="left"/>
            </w:pPr>
            <w:r>
              <w:t xml:space="preserve">0.80</w:t>
            </w:r>
          </w:p>
        </w:tc>
        <w:tc>
          <w:p>
            <w:pPr>
              <w:pStyle w:val="Compact"/>
              <w:jc w:val="left"/>
            </w:pPr>
            <w:r>
              <w:t xml:space="preserve">0.60, 0.90</w:t>
            </w:r>
          </w:p>
        </w:tc>
        <w:tc>
          <w:p/>
        </w:tc>
        <w:tc>
          <w:p/>
        </w:tc>
        <w:tc>
          <w:p/>
        </w:tc>
      </w:tr>
      <w:tr>
        <w:tc>
          <w:p/>
        </w:tc>
        <w:tc>
          <w:p/>
        </w:tc>
        <w:tc>
          <w:p/>
        </w:tc>
        <w:tc>
          <w:p/>
        </w:tc>
        <w:tc>
          <w:p/>
        </w:tc>
        <w:tc>
          <w:p/>
        </w:tc>
      </w:tr>
      <w:tr>
        <w:tc>
          <w:p/>
        </w:tc>
        <w:tc>
          <w:p>
            <w:pPr>
              <w:pStyle w:val="Compact"/>
              <w:jc w:val="left"/>
            </w:pPr>
            <w:r>
              <w:t xml:space="preserve">Population Parameters</w:t>
            </w:r>
          </w:p>
        </w:tc>
        <w:tc>
          <w:p/>
        </w:tc>
        <w:tc>
          <w:p/>
        </w:tc>
        <w:tc>
          <w:p/>
        </w:tc>
        <w:tc>
          <w:p/>
        </w:tc>
      </w:tr>
      <w:tr>
        <w:tc>
          <w:p>
            <w:pPr>
              <w:pStyle w:val="Compact"/>
              <w:jc w:val="left"/>
            </w:pPr>
            <w:r>
              <w:t xml:space="preserve">Age Group</w:t>
            </w:r>
          </w:p>
        </w:tc>
        <w:tc>
          <w:p>
            <w:pPr>
              <w:pStyle w:val="Compact"/>
              <w:jc w:val="left"/>
            </w:pPr>
            <w:r>
              <w:t xml:space="preserve">Hospitalization</w:t>
            </w:r>
          </w:p>
        </w:tc>
        <w:tc>
          <w:p>
            <w:pPr>
              <w:pStyle w:val="Compact"/>
              <w:jc w:val="left"/>
            </w:pPr>
            <w:r>
              <w:t xml:space="preserve">Death</w:t>
            </w:r>
          </w:p>
        </w:tc>
        <w:tc>
          <w:p>
            <w:pPr>
              <w:pStyle w:val="Compact"/>
              <w:jc w:val="left"/>
            </w:pPr>
            <w:r>
              <w:t xml:space="preserve">Long COVID</w:t>
            </w:r>
          </w:p>
        </w:tc>
        <w:tc>
          <w:p>
            <w:pPr>
              <w:pStyle w:val="Compact"/>
              <w:jc w:val="left"/>
            </w:pPr>
            <w:r>
              <w:t xml:space="preserve">Vaccine Hesitancy</w:t>
            </w:r>
          </w:p>
        </w:tc>
        <w:tc>
          <w:p>
            <w:pPr>
              <w:pStyle w:val="Compact"/>
              <w:jc w:val="left"/>
            </w:pPr>
            <w:r>
              <w:t xml:space="preserve">Front-Line Workers</w:t>
            </w:r>
          </w:p>
        </w:tc>
      </w:tr>
      <w:tr>
        <w:tc>
          <w:p/>
        </w:tc>
        <w:tc>
          <w:p>
            <w:pPr>
              <w:pStyle w:val="Compact"/>
              <w:jc w:val="left"/>
            </w:pPr>
            <w:r>
              <w:t xml:space="preserve">Rate</w:t>
            </w:r>
          </w:p>
        </w:tc>
        <w:tc>
          <w:p>
            <w:pPr>
              <w:pStyle w:val="Compact"/>
              <w:jc w:val="left"/>
            </w:pPr>
            <w:r>
              <w:t xml:space="preserve">Rate</w:t>
            </w:r>
          </w:p>
        </w:tc>
        <w:tc>
          <w:p>
            <w:pPr>
              <w:pStyle w:val="Compact"/>
              <w:jc w:val="left"/>
            </w:pPr>
            <w:r>
              <w:t xml:space="preserve">Rate</w:t>
            </w:r>
          </w:p>
        </w:tc>
        <w:tc>
          <w:p>
            <w:pPr>
              <w:pStyle w:val="Compact"/>
              <w:jc w:val="left"/>
            </w:pPr>
            <w:r>
              <w:t xml:space="preserve">% of Population</w:t>
            </w:r>
          </w:p>
        </w:tc>
        <w:tc>
          <w:p>
            <w:pPr>
              <w:pStyle w:val="Compact"/>
              <w:jc w:val="left"/>
            </w:pPr>
            <w:r>
              <w:t xml:space="preserve">% of Population</w:t>
            </w:r>
          </w:p>
        </w:tc>
      </w:tr>
      <w:tr>
        <w:tc>
          <w:p>
            <w:pPr>
              <w:pStyle w:val="Compact"/>
              <w:jc w:val="left"/>
            </w:pPr>
            <w:r>
              <w:t xml:space="preserve">Under 20</w:t>
            </w:r>
          </w:p>
        </w:tc>
        <w:tc>
          <w:p>
            <w:pPr>
              <w:pStyle w:val="Compact"/>
              <w:jc w:val="left"/>
            </w:pPr>
            <w:r>
              <w:t xml:space="preserve">0.0062</w:t>
            </w:r>
          </w:p>
        </w:tc>
        <w:tc>
          <w:p>
            <w:pPr>
              <w:pStyle w:val="Compact"/>
              <w:jc w:val="left"/>
            </w:pPr>
            <w:r>
              <w:t xml:space="preserve">0</w:t>
            </w:r>
          </w:p>
        </w:tc>
        <w:tc>
          <w:p>
            <w:pPr>
              <w:pStyle w:val="Compact"/>
              <w:jc w:val="left"/>
            </w:pPr>
            <w:r>
              <w:t xml:space="preserve">0.04</w:t>
            </w:r>
          </w:p>
        </w:tc>
        <w:tc>
          <w:p>
            <w:pPr>
              <w:pStyle w:val="Compact"/>
              <w:jc w:val="left"/>
            </w:pPr>
            <w:r>
              <w:t xml:space="preserve">NA</w:t>
            </w:r>
          </w:p>
        </w:tc>
        <w:tc>
          <w:p>
            <w:pPr>
              <w:pStyle w:val="Compact"/>
              <w:jc w:val="left"/>
            </w:pPr>
            <w:r>
              <w:t xml:space="preserve">0</w:t>
            </w:r>
          </w:p>
        </w:tc>
      </w:tr>
      <w:tr>
        <w:tc>
          <w:p>
            <w:pPr>
              <w:pStyle w:val="Compact"/>
              <w:jc w:val="left"/>
            </w:pPr>
            <w:r>
              <w:t xml:space="preserve">20-29</w:t>
            </w:r>
          </w:p>
        </w:tc>
        <w:tc>
          <w:p>
            <w:pPr>
              <w:pStyle w:val="Compact"/>
              <w:jc w:val="left"/>
            </w:pPr>
            <w:r>
              <w:t xml:space="preserve">0.0106</w:t>
            </w:r>
          </w:p>
        </w:tc>
        <w:tc>
          <w:p>
            <w:pPr>
              <w:pStyle w:val="Compact"/>
              <w:jc w:val="left"/>
            </w:pPr>
            <w:r>
              <w:t xml:space="preserve">0</w:t>
            </w:r>
          </w:p>
        </w:tc>
        <w:tc>
          <w:p>
            <w:pPr>
              <w:pStyle w:val="Compact"/>
              <w:jc w:val="left"/>
            </w:pPr>
            <w:r>
              <w:t xml:space="preserve">0.04</w:t>
            </w:r>
          </w:p>
        </w:tc>
        <w:tc>
          <w:p>
            <w:pPr>
              <w:pStyle w:val="Compact"/>
              <w:jc w:val="left"/>
            </w:pPr>
            <w:r>
              <w:t xml:space="preserve">30</w:t>
            </w:r>
          </w:p>
        </w:tc>
        <w:tc>
          <w:p>
            <w:pPr>
              <w:pStyle w:val="Compact"/>
              <w:jc w:val="left"/>
            </w:pPr>
            <w:r>
              <w:t xml:space="preserve">17</w:t>
            </w:r>
          </w:p>
        </w:tc>
      </w:tr>
      <w:tr>
        <w:tc>
          <w:p>
            <w:pPr>
              <w:pStyle w:val="Compact"/>
              <w:jc w:val="left"/>
            </w:pPr>
            <w:r>
              <w:t xml:space="preserve">30-39</w:t>
            </w:r>
          </w:p>
        </w:tc>
        <w:tc>
          <w:p>
            <w:pPr>
              <w:pStyle w:val="Compact"/>
              <w:jc w:val="left"/>
            </w:pPr>
            <w:r>
              <w:t xml:space="preserve">0.0246</w:t>
            </w:r>
          </w:p>
        </w:tc>
        <w:tc>
          <w:p>
            <w:pPr>
              <w:pStyle w:val="Compact"/>
              <w:jc w:val="left"/>
            </w:pPr>
            <w:r>
              <w:t xml:space="preserve">0.00066</w:t>
            </w:r>
          </w:p>
        </w:tc>
        <w:tc>
          <w:p>
            <w:pPr>
              <w:pStyle w:val="Compact"/>
              <w:jc w:val="left"/>
            </w:pPr>
            <w:r>
              <w:t xml:space="preserve">0.08</w:t>
            </w:r>
          </w:p>
        </w:tc>
        <w:tc>
          <w:p>
            <w:pPr>
              <w:pStyle w:val="Compact"/>
              <w:jc w:val="left"/>
            </w:pPr>
            <w:r>
              <w:t xml:space="preserve">20</w:t>
            </w:r>
          </w:p>
        </w:tc>
        <w:tc>
          <w:p>
            <w:pPr>
              <w:pStyle w:val="Compact"/>
              <w:jc w:val="left"/>
            </w:pPr>
            <w:r>
              <w:t xml:space="preserve">20</w:t>
            </w:r>
          </w:p>
        </w:tc>
      </w:tr>
      <w:tr>
        <w:tc>
          <w:p>
            <w:pPr>
              <w:pStyle w:val="Compact"/>
              <w:jc w:val="left"/>
            </w:pPr>
            <w:r>
              <w:t xml:space="preserve">40-49</w:t>
            </w:r>
          </w:p>
        </w:tc>
        <w:tc>
          <w:p>
            <w:pPr>
              <w:pStyle w:val="Compact"/>
              <w:jc w:val="left"/>
            </w:pPr>
            <w:r>
              <w:t xml:space="preserve">0.0340</w:t>
            </w:r>
          </w:p>
        </w:tc>
        <w:tc>
          <w:p>
            <w:pPr>
              <w:pStyle w:val="Compact"/>
              <w:jc w:val="left"/>
            </w:pPr>
            <w:r>
              <w:t xml:space="preserve">0.00128</w:t>
            </w:r>
          </w:p>
        </w:tc>
        <w:tc>
          <w:p>
            <w:pPr>
              <w:pStyle w:val="Compact"/>
              <w:jc w:val="left"/>
            </w:pPr>
            <w:r>
              <w:t xml:space="preserve">0.15</w:t>
            </w:r>
          </w:p>
        </w:tc>
        <w:tc>
          <w:p>
            <w:pPr>
              <w:pStyle w:val="Compact"/>
              <w:jc w:val="left"/>
            </w:pPr>
            <w:r>
              <w:t xml:space="preserve">20</w:t>
            </w:r>
          </w:p>
        </w:tc>
        <w:tc>
          <w:p>
            <w:pPr>
              <w:pStyle w:val="Compact"/>
              <w:jc w:val="left"/>
            </w:pPr>
            <w:r>
              <w:t xml:space="preserve">17</w:t>
            </w:r>
          </w:p>
        </w:tc>
      </w:tr>
      <w:tr>
        <w:tc>
          <w:p>
            <w:pPr>
              <w:pStyle w:val="Compact"/>
              <w:jc w:val="left"/>
            </w:pPr>
            <w:r>
              <w:t xml:space="preserve">50-59</w:t>
            </w:r>
          </w:p>
        </w:tc>
        <w:tc>
          <w:p>
            <w:pPr>
              <w:pStyle w:val="Compact"/>
              <w:jc w:val="left"/>
            </w:pPr>
            <w:r>
              <w:t xml:space="preserve">0.0583</w:t>
            </w:r>
          </w:p>
        </w:tc>
        <w:tc>
          <w:p>
            <w:pPr>
              <w:pStyle w:val="Compact"/>
              <w:jc w:val="left"/>
            </w:pPr>
            <w:r>
              <w:t xml:space="preserve">0.00207</w:t>
            </w:r>
          </w:p>
        </w:tc>
        <w:tc>
          <w:p>
            <w:pPr>
              <w:pStyle w:val="Compact"/>
              <w:jc w:val="left"/>
            </w:pPr>
            <w:r>
              <w:t xml:space="preserve">0.25</w:t>
            </w:r>
          </w:p>
        </w:tc>
        <w:tc>
          <w:p>
            <w:pPr>
              <w:pStyle w:val="Compact"/>
              <w:jc w:val="left"/>
            </w:pPr>
            <w:r>
              <w:t xml:space="preserve">20</w:t>
            </w:r>
          </w:p>
        </w:tc>
        <w:tc>
          <w:p>
            <w:pPr>
              <w:pStyle w:val="Compact"/>
              <w:jc w:val="left"/>
            </w:pPr>
            <w:r>
              <w:t xml:space="preserve">15</w:t>
            </w:r>
          </w:p>
        </w:tc>
      </w:tr>
      <w:tr>
        <w:tc>
          <w:p>
            <w:pPr>
              <w:pStyle w:val="Compact"/>
              <w:jc w:val="left"/>
            </w:pPr>
            <w:r>
              <w:t xml:space="preserve">60-69</w:t>
            </w:r>
          </w:p>
        </w:tc>
        <w:tc>
          <w:p>
            <w:pPr>
              <w:pStyle w:val="Compact"/>
              <w:jc w:val="left"/>
            </w:pPr>
            <w:r>
              <w:t xml:space="preserve">0.1175</w:t>
            </w:r>
          </w:p>
        </w:tc>
        <w:tc>
          <w:p>
            <w:pPr>
              <w:pStyle w:val="Compact"/>
              <w:jc w:val="left"/>
            </w:pPr>
            <w:r>
              <w:t xml:space="preserve">0.00950</w:t>
            </w:r>
          </w:p>
        </w:tc>
        <w:tc>
          <w:p>
            <w:pPr>
              <w:pStyle w:val="Compact"/>
              <w:jc w:val="left"/>
            </w:pPr>
            <w:r>
              <w:t xml:space="preserve">0.25</w:t>
            </w:r>
          </w:p>
        </w:tc>
        <w:tc>
          <w:p>
            <w:pPr>
              <w:pStyle w:val="Compact"/>
              <w:jc w:val="left"/>
            </w:pPr>
            <w:r>
              <w:t xml:space="preserve">15</w:t>
            </w:r>
          </w:p>
        </w:tc>
        <w:tc>
          <w:p>
            <w:pPr>
              <w:pStyle w:val="Compact"/>
              <w:jc w:val="left"/>
            </w:pPr>
            <w:r>
              <w:t xml:space="preserve">16</w:t>
            </w:r>
          </w:p>
        </w:tc>
      </w:tr>
      <w:tr>
        <w:tc>
          <w:p>
            <w:pPr>
              <w:pStyle w:val="Compact"/>
              <w:jc w:val="left"/>
            </w:pPr>
            <w:r>
              <w:t xml:space="preserve">70-79</w:t>
            </w:r>
          </w:p>
        </w:tc>
        <w:tc>
          <w:p>
            <w:pPr>
              <w:pStyle w:val="Compact"/>
              <w:jc w:val="left"/>
            </w:pPr>
            <w:r>
              <w:t xml:space="preserve">0.2450</w:t>
            </w:r>
          </w:p>
        </w:tc>
        <w:tc>
          <w:p>
            <w:pPr>
              <w:pStyle w:val="Compact"/>
              <w:jc w:val="left"/>
            </w:pPr>
            <w:r>
              <w:t xml:space="preserve">0.03864</w:t>
            </w:r>
          </w:p>
        </w:tc>
        <w:tc>
          <w:p>
            <w:pPr>
              <w:pStyle w:val="Compact"/>
              <w:jc w:val="left"/>
            </w:pPr>
            <w:r>
              <w:t xml:space="preserve">0.25</w:t>
            </w:r>
          </w:p>
        </w:tc>
        <w:tc>
          <w:p>
            <w:pPr>
              <w:pStyle w:val="Compact"/>
              <w:jc w:val="left"/>
            </w:pPr>
            <w:r>
              <w:t xml:space="preserve">15</w:t>
            </w:r>
          </w:p>
        </w:tc>
        <w:tc>
          <w:p>
            <w:pPr>
              <w:pStyle w:val="Compact"/>
              <w:jc w:val="left"/>
            </w:pPr>
            <w:r>
              <w:t xml:space="preserve">10</w:t>
            </w:r>
          </w:p>
        </w:tc>
      </w:tr>
      <w:tr>
        <w:tc>
          <w:p>
            <w:pPr>
              <w:pStyle w:val="Compact"/>
              <w:jc w:val="left"/>
            </w:pPr>
            <w:r>
              <w:t xml:space="preserve">80+</w:t>
            </w:r>
          </w:p>
        </w:tc>
        <w:tc>
          <w:p>
            <w:pPr>
              <w:pStyle w:val="Compact"/>
              <w:jc w:val="left"/>
            </w:pPr>
            <w:r>
              <w:t xml:space="preserve">0.2736</w:t>
            </w:r>
          </w:p>
        </w:tc>
        <w:tc>
          <w:p>
            <w:pPr>
              <w:pStyle w:val="Compact"/>
              <w:jc w:val="left"/>
            </w:pPr>
            <w:r>
              <w:t xml:space="preserve">0.16859</w:t>
            </w:r>
          </w:p>
        </w:tc>
        <w:tc>
          <w:p>
            <w:pPr>
              <w:pStyle w:val="Compact"/>
              <w:jc w:val="left"/>
            </w:pPr>
            <w:r>
              <w:t xml:space="preserve">0.25</w:t>
            </w:r>
          </w:p>
        </w:tc>
        <w:tc>
          <w:p>
            <w:pPr>
              <w:pStyle w:val="Compact"/>
              <w:jc w:val="left"/>
            </w:pPr>
            <w:r>
              <w:t xml:space="preserve">15</w:t>
            </w:r>
          </w:p>
        </w:tc>
        <w:tc>
          <w:p>
            <w:pPr>
              <w:pStyle w:val="Compact"/>
              <w:jc w:val="left"/>
            </w:pPr>
            <w:r>
              <w:t xml:space="preserve">0</w:t>
            </w:r>
          </w:p>
        </w:tc>
      </w:tr>
    </w:tbl>
    <w:p>
      <w:pPr>
        <w:pStyle w:val="BodyText"/>
      </w:pPr>
      <w:r>
        <w:t xml:space="preserve">EMA base values and</w:t>
      </w:r>
      <w:r>
        <w:t xml:space="preserve"> </w:t>
      </w:r>
      <m:oMath>
        <m:r>
          <m:t>β</m:t>
        </m:r>
      </m:oMath>
      <w:r>
        <w:t xml:space="preserve"> </w:t>
      </w:r>
      <w:r>
        <w:t xml:space="preserve">distributions are based on a report of 18 deaths among 86 cases of VIPIT, and 222 cases of VIPIT among 34 million vaccine recipients in Europe and the UK. NACI base values are based on NACI’s rapid response published on March 29th, 2021. A probability distribution could not be calculated as numerators and denominators were not reported.</w:t>
      </w:r>
      <w:r>
        <w:br/>
      </w:r>
      <m:oMath>
        <m:sSub>
          <m:e>
            <m:r>
              <m:t>R</m:t>
            </m:r>
          </m:e>
          <m:sub>
            <m:r>
              <m:t>0</m:t>
            </m:r>
          </m:sub>
        </m:sSub>
      </m:oMath>
      <w:r>
        <w:t xml:space="preserve"> </w:t>
      </w:r>
      <w:r>
        <w:t xml:space="preserve">is the basic reproduction number.</w:t>
      </w:r>
      <w:r>
        <w:br/>
      </w:r>
      <m:oMath>
        <m:sSub>
          <m:e>
            <m:r>
              <m:t>v</m:t>
            </m:r>
          </m:e>
          <m:sub>
            <m:r>
              <m:t>e</m:t>
            </m:r>
          </m:sub>
        </m:sSub>
      </m:oMath>
      <w:r>
        <w:t xml:space="preserve"> </w:t>
      </w:r>
      <w:r>
        <w:t xml:space="preserve">is the effectiveness of vaccine against transmission.</w:t>
      </w:r>
      <w:r>
        <w:br/>
      </w:r>
      <m:oMath>
        <m:sSub>
          <m:e>
            <m:r>
              <m:t>v</m:t>
            </m:r>
          </m:e>
          <m:sub>
            <m:r>
              <m:t>p</m:t>
            </m:r>
          </m:sub>
        </m:sSub>
      </m:oMath>
      <w:r>
        <w:t xml:space="preserve"> </w:t>
      </w:r>
      <w:r>
        <w:t xml:space="preserve">is effectiveness of vaccine against severe disease.</w:t>
      </w:r>
      <w:r>
        <w:br/>
      </w:r>
      <w:r>
        <w:t xml:space="preserve">Hospitalization, death, and Long COVID rates are number of people with the outcome divided by the number of concluded cases. Hospitalization and death rates for under 50 age groups are from BCCDC Situation Report Week 12, 2021. Death rates for age groups above 50 are from the preliminary dataset on confirmed cases of COVID-19, Public Health Agency of Canada (Table 13-26-0003) from January 1st, 2021 to April 9th, 2021 and accounts for the immunity already acquired in long-term care homes. Rates of Long COVID are Mulberry et al’s estimations from data in Sudre et al. The proportion of essential workers by age was taken from the COVID Speak survey per Mulberry et al.</w:t>
      </w:r>
      <w:r>
        <w:br/>
      </w:r>
    </w:p>
    <w:p>
      <w:pPr>
        <w:pStyle w:val="BodyText"/>
      </w:pPr>
      <w:bookmarkStart w:id="21" w:name="harm-param"/>
      <w:r>
        <w:t xml:space="preserve">[harm-param]</w:t>
      </w:r>
      <w:bookmarkEnd w:id="21"/>
    </w:p>
    <w:p>
      <w:pPr>
        <w:pStyle w:val="BodyText"/>
      </w:pPr>
      <w:r>
        <w:t xml:space="preserve">We assumed the first dose of the vaccine, regardless of the</w:t>
      </w:r>
      <w:r>
        <w:t xml:space="preserve"> </w:t>
      </w:r>
      <w:r>
        <w:t xml:space="preserve">manufacturer, to be, on average, 80% effective against severe COVID-19</w:t>
      </w:r>
      <w:r>
        <w:t xml:space="preserve"> </w:t>
      </w:r>
      <w:r>
        <w:t xml:space="preserve">and 60% effective in preventing transmission. We further assume that</w:t>
      </w:r>
      <w:r>
        <w:t xml:space="preserve"> </w:t>
      </w:r>
      <w:r>
        <w:t xml:space="preserve">all British Columbians will be offered a first dose of one of the</w:t>
      </w:r>
      <w:r>
        <w:t xml:space="preserve"> </w:t>
      </w:r>
      <w:r>
        <w:t xml:space="preserve">approved COVID-19 vaccines before July 1st, 2021, and a second dose</w:t>
      </w:r>
      <w:r>
        <w:t xml:space="preserve"> </w:t>
      </w:r>
      <w:r>
        <w:t xml:space="preserve">before the end of September 2021. We assumed the second dose to have no</w:t>
      </w:r>
      <w:r>
        <w:t xml:space="preserve"> </w:t>
      </w:r>
      <w:r>
        <w:t xml:space="preserve">effect other than prolonging the immunity acquired after the first dose</w:t>
      </w:r>
      <w:r>
        <w:t xml:space="preserve"> </w:t>
      </w:r>
      <w:r>
        <w:t xml:space="preserve">and posing a risk for VIPIT again. We did not consider the risk for</w:t>
      </w:r>
      <w:r>
        <w:t xml:space="preserve"> </w:t>
      </w:r>
      <w:r>
        <w:t xml:space="preserve">anaphylaxis, as all vaccines seem to have a similar risk in that regard</w:t>
      </w:r>
      <w:r>
        <w:t xml:space="preserve"> </w:t>
      </w:r>
      <w:r>
        <w:t xml:space="preserve">and the risk can be mitigated in the vaccination clinic. Population</w:t>
      </w:r>
      <w:r>
        <w:t xml:space="preserve"> </w:t>
      </w:r>
      <w:r>
        <w:t xml:space="preserve">estimates that were used in the model are summarized in Table 1.</w:t>
      </w:r>
      <w:r>
        <w:t xml:space="preserve"> </w:t>
      </w:r>
      <w:r>
        <w:t xml:space="preserve">COVID-19 age-based case fatality and hospitalization rates were obtained</w:t>
      </w:r>
      <w:r>
        <w:t xml:space="preserve"> </w:t>
      </w:r>
      <w:r>
        <w:t xml:space="preserve">from BC Centre for Disease Control (BCCDC)</w:t>
      </w:r>
      <w:r>
        <w:t xml:space="preserve"> </w:t>
      </w:r>
      <w:r>
        <w:t xml:space="preserve">[</w:t>
      </w:r>
      <w:r>
        <w:t xml:space="preserve">12</w:t>
      </w:r>
      <w:r>
        <w:t xml:space="preserve">]</w:t>
      </w:r>
      <w:r>
        <w:t xml:space="preserve"> </w:t>
      </w:r>
      <w:r>
        <w:t xml:space="preserve">and Public Health</w:t>
      </w:r>
      <w:r>
        <w:t xml:space="preserve"> </w:t>
      </w:r>
      <w:r>
        <w:t xml:space="preserve">Agency of Canada (Table: 13-26-0003)</w:t>
      </w:r>
      <w:r>
        <w:t xml:space="preserve">[</w:t>
      </w:r>
      <w:r>
        <w:t xml:space="preserve">13</w:t>
      </w:r>
      <w:r>
        <w:t xml:space="preserve">]</w:t>
      </w:r>
      <w:r>
        <w:t xml:space="preserve">. For seniors, we used case</w:t>
      </w:r>
      <w:r>
        <w:t xml:space="preserve"> </w:t>
      </w:r>
      <w:r>
        <w:t xml:space="preserve">fatality rates from January 1st, 2021 to April 9th, 2021 to account for</w:t>
      </w:r>
      <w:r>
        <w:t xml:space="preserve"> </w:t>
      </w:r>
      <w:r>
        <w:t xml:space="preserve">the immunity already acquired in long-term care homes. Rates of Long</w:t>
      </w:r>
      <w:r>
        <w:t xml:space="preserve"> </w:t>
      </w:r>
      <w:r>
        <w:t xml:space="preserve">COVID are Mulberry et al’s estimations from data in Sudre et al</w:t>
      </w:r>
      <w:r>
        <w:t xml:space="preserve">[</w:t>
      </w:r>
      <w:r>
        <w:t xml:space="preserve">14</w:t>
      </w:r>
      <w:r>
        <w:t xml:space="preserve">]</w:t>
      </w:r>
      <w:r>
        <w:t xml:space="preserve">.</w:t>
      </w:r>
      <w:r>
        <w:t xml:space="preserve"> </w:t>
      </w:r>
      <w:r>
        <w:t xml:space="preserve">The proportion of essential workers by age was taken from the COVID</w:t>
      </w:r>
      <w:r>
        <w:t xml:space="preserve"> </w:t>
      </w:r>
      <w:r>
        <w:t xml:space="preserve">Speak survey per Mulberry et al</w:t>
      </w:r>
      <w:r>
        <w:t xml:space="preserve"> </w:t>
      </w:r>
      <w:r>
        <w:t xml:space="preserve">[</w:t>
      </w:r>
      <w:r>
        <w:t xml:space="preserve">10</w:t>
      </w:r>
      <w:r>
        <w:t xml:space="preserve">]</w:t>
      </w:r>
      <w:r>
        <w:t xml:space="preserve">. Population of BC in each group</w:t>
      </w:r>
      <w:r>
        <w:t xml:space="preserve"> </w:t>
      </w:r>
      <w:r>
        <w:t xml:space="preserve">was obtained from Statistics Canada</w:t>
      </w:r>
      <w:r>
        <w:t xml:space="preserve"> </w:t>
      </w:r>
      <w:r>
        <w:t xml:space="preserve">[</w:t>
      </w:r>
      <w:r>
        <w:t xml:space="preserve">15</w:t>
      </w:r>
      <w:r>
        <w:t xml:space="preserve">]</w:t>
      </w:r>
      <w:r>
        <w:t xml:space="preserve">.</w:t>
      </w:r>
    </w:p>
    <w:p>
      <w:pPr>
        <w:pStyle w:val="BodyText"/>
      </w:pPr>
      <w:r>
        <w:t xml:space="preserve">For harm-benefit analysis at an individual risk level, we weighed the</w:t>
      </w:r>
      <w:r>
        <w:t xml:space="preserve"> </w:t>
      </w:r>
      <w:r>
        <w:t xml:space="preserve">probability of VIPIT-related death or</w:t>
      </w:r>
      <w:r>
        <w:t xml:space="preserve"> </w:t>
      </w:r>
      <m:oMath>
        <m:r>
          <m:t>P</m:t>
        </m:r>
        <m:sSub>
          <m:e>
            <m:d>
              <m:dPr>
                <m:begChr m:val="("/>
                <m:endChr m:val=")"/>
                <m:grow/>
              </m:dPr>
              <m:e>
                <m:r>
                  <m:rPr>
                    <m:nor/>
                    <m:sty m:val="p"/>
                  </m:rPr>
                  <m:t>death</m:t>
                </m:r>
              </m:e>
            </m:d>
          </m:e>
          <m:sub>
            <m:r>
              <m:rPr>
                <m:nor/>
                <m:sty m:val="p"/>
              </m:rPr>
              <m:t>VIPIT</m:t>
            </m:r>
          </m:sub>
        </m:sSub>
        <m:r>
          <m:rPr>
            <m:sty m:val="p"/>
          </m:rPr>
          <m:t>=</m:t>
        </m:r>
        <m:r>
          <m:t>P</m:t>
        </m:r>
        <m:d>
          <m:dPr>
            <m:begChr m:val="("/>
            <m:endChr m:val=")"/>
            <m:grow/>
          </m:dPr>
          <m:e>
            <m:r>
              <m:rPr>
                <m:nor/>
                <m:sty m:val="p"/>
              </m:rPr>
              <m:t>vaccine</m:t>
            </m:r>
          </m:e>
        </m:d>
        <m:r>
          <m:rPr>
            <m:sty m:val="p"/>
          </m:rPr>
          <m:t>×</m:t>
        </m:r>
        <m:r>
          <m:t>P</m:t>
        </m:r>
        <m:d>
          <m:dPr>
            <m:begChr m:val="("/>
            <m:endChr m:val=")"/>
            <m:grow/>
          </m:dPr>
          <m:e>
            <m:r>
              <m:rPr>
                <m:nor/>
                <m:sty m:val="p"/>
              </m:rPr>
              <m:t>VIPIT</m:t>
            </m:r>
            <m:r>
              <m:rPr>
                <m:sty m:val="p"/>
              </m:rPr>
              <m:t>|</m:t>
            </m:r>
            <m:r>
              <m:rPr>
                <m:nor/>
                <m:sty m:val="p"/>
              </m:rPr>
              <m:t>vaccine</m:t>
            </m:r>
          </m:e>
        </m:d>
        <m:r>
          <m:rPr>
            <m:sty m:val="p"/>
          </m:rPr>
          <m:t>×</m:t>
        </m:r>
        <m:r>
          <m:t>P</m:t>
        </m:r>
        <m:d>
          <m:dPr>
            <m:begChr m:val="("/>
            <m:endChr m:val=")"/>
            <m:grow/>
          </m:dPr>
          <m:e>
            <m:r>
              <m:rPr>
                <m:nor/>
                <m:sty m:val="p"/>
              </m:rPr>
              <m:t>death</m:t>
            </m:r>
            <m:r>
              <m:rPr>
                <m:sty m:val="p"/>
              </m:rPr>
              <m:t>|</m:t>
            </m:r>
            <m:r>
              <m:rPr>
                <m:nor/>
                <m:sty m:val="p"/>
              </m:rPr>
              <m:t>VIPIT</m:t>
            </m:r>
          </m:e>
        </m:d>
      </m:oMath>
      <w:r>
        <w:t xml:space="preserve">,</w:t>
      </w:r>
      <w:r>
        <w:t xml:space="preserve"> </w:t>
      </w:r>
      <w:r>
        <w:t xml:space="preserve">against the average probability of contracting COVID-19 and dying from</w:t>
      </w:r>
      <w:r>
        <w:t xml:space="preserve"> </w:t>
      </w:r>
      <w:r>
        <w:t xml:space="preserve">it in each age groups, or</w:t>
      </w:r>
      <w:r>
        <w:t xml:space="preserve"> </w:t>
      </w:r>
      <m:oMath>
        <m:r>
          <m:t>P</m:t>
        </m:r>
        <m:sSub>
          <m:e>
            <m:d>
              <m:dPr>
                <m:begChr m:val="("/>
                <m:endChr m:val=")"/>
                <m:grow/>
              </m:dPr>
              <m:e>
                <m:r>
                  <m:rPr>
                    <m:nor/>
                    <m:sty m:val="p"/>
                  </m:rPr>
                  <m:t>death</m:t>
                </m:r>
              </m:e>
            </m:d>
          </m:e>
          <m:sub>
            <m:r>
              <m:rPr>
                <m:nor/>
                <m:sty m:val="p"/>
              </m:rPr>
              <m:t>delayed vaccination</m:t>
            </m:r>
          </m:sub>
        </m:sSub>
        <m:r>
          <m:rPr>
            <m:sty m:val="p"/>
          </m:rPr>
          <m:t>=</m:t>
        </m:r>
        <m:r>
          <m:t>P</m:t>
        </m:r>
        <m:d>
          <m:dPr>
            <m:begChr m:val="("/>
            <m:endChr m:val=")"/>
            <m:grow/>
          </m:dPr>
          <m:e>
            <m:r>
              <m:rPr>
                <m:nor/>
                <m:sty m:val="p"/>
              </m:rPr>
              <m:t>COVID-19</m:t>
            </m:r>
          </m:e>
        </m:d>
        <m:r>
          <m:rPr>
            <m:sty m:val="p"/>
          </m:rPr>
          <m:t>×</m:t>
        </m:r>
        <m:r>
          <m:t>P</m:t>
        </m:r>
        <m:d>
          <m:dPr>
            <m:begChr m:val="("/>
            <m:endChr m:val=")"/>
            <m:grow/>
          </m:dPr>
          <m:e>
            <m:r>
              <m:rPr>
                <m:nor/>
                <m:sty m:val="p"/>
              </m:rPr>
              <m:t>death</m:t>
            </m:r>
            <m:r>
              <m:rPr>
                <m:sty m:val="p"/>
              </m:rPr>
              <m:t>|</m:t>
            </m:r>
            <m:r>
              <m:rPr>
                <m:nor/>
                <m:sty m:val="p"/>
              </m:rPr>
              <m:t>COVID-19</m:t>
            </m:r>
          </m:e>
        </m:d>
      </m:oMath>
      <w:r>
        <w:t xml:space="preserve">,</w:t>
      </w:r>
      <w:r>
        <w:t xml:space="preserve"> </w:t>
      </w:r>
      <w:r>
        <w:t xml:space="preserve">where</w:t>
      </w:r>
      <w:r>
        <w:t xml:space="preserve"> </w:t>
      </w:r>
      <m:oMath>
        <m:r>
          <m:t>P</m:t>
        </m:r>
        <m:d>
          <m:dPr>
            <m:begChr m:val="("/>
            <m:endChr m:val=")"/>
            <m:grow/>
          </m:dPr>
          <m:e>
            <m:r>
              <m:rPr>
                <m:nor/>
                <m:sty m:val="p"/>
              </m:rPr>
              <m:t>vaccine</m:t>
            </m:r>
          </m:e>
        </m:d>
      </m:oMath>
      <w:r>
        <w:t xml:space="preserve"> </w:t>
      </w:r>
      <w:r>
        <w:t xml:space="preserve">is the probability of getting the AZ vaccine</w:t>
      </w:r>
      <w:r>
        <w:t xml:space="preserve"> </w:t>
      </w:r>
      <w:r>
        <w:t xml:space="preserve">(assumed to be 1 here), and</w:t>
      </w:r>
      <w:r>
        <w:t xml:space="preserve"> </w:t>
      </w:r>
      <m:oMath>
        <m:r>
          <m:t>P</m:t>
        </m:r>
        <m:d>
          <m:dPr>
            <m:begChr m:val="("/>
            <m:endChr m:val=")"/>
            <m:grow/>
          </m:dPr>
          <m:e>
            <m:r>
              <m:rPr>
                <m:nor/>
                <m:sty m:val="p"/>
              </m:rPr>
              <m:t>COVID-19</m:t>
            </m:r>
          </m:e>
        </m:d>
      </m:oMath>
      <w:r>
        <w:t xml:space="preserve"> </w:t>
      </w:r>
      <w:r>
        <w:t xml:space="preserve">is the average</w:t>
      </w:r>
      <w:r>
        <w:t xml:space="preserve"> </w:t>
      </w:r>
      <w:r>
        <w:t xml:space="preserve">probability of contracting COVID-19 due to delayed vaccination from</w:t>
      </w:r>
      <w:r>
        <w:t xml:space="preserve"> </w:t>
      </w:r>
      <w:r>
        <w:t xml:space="preserve">April 1st, 2021 to July 1st, 2020.</w:t>
      </w:r>
    </w:p>
    <w:p>
      <w:pPr>
        <w:pStyle w:val="BodyText"/>
      </w:pPr>
      <w:r>
        <w:t xml:space="preserve">We used results from our compartmental model to project mortality risk</w:t>
      </w:r>
      <w:r>
        <w:t xml:space="preserve"> </w:t>
      </w:r>
      <w:r>
        <w:t xml:space="preserve">from COVID-19 due to delayed vaccination, and conducted sensitivity</w:t>
      </w:r>
      <w:r>
        <w:t xml:space="preserve"> </w:t>
      </w:r>
      <w:r>
        <w:t xml:space="preserve">analyses around model assumptions as outlined in Table 1.</w:t>
      </w:r>
    </w:p>
    <w:p>
      <w:pPr>
        <w:pStyle w:val="BodyText"/>
      </w:pPr>
      <w:r>
        <w:t xml:space="preserve">All the analysis was performed using publicly-available data and code.</w:t>
      </w:r>
      <w:r>
        <w:t xml:space="preserve"> </w:t>
      </w:r>
      <w:r>
        <w:t xml:space="preserve">This manuscript is produced by an open-source and reproducible R</w:t>
      </w:r>
      <w:r>
        <w:t xml:space="preserve"> </w:t>
      </w:r>
      <w:r>
        <w:t xml:space="preserve">Markdown script, which is available on</w:t>
      </w:r>
      <w:r>
        <w:t xml:space="preserve"> </w:t>
      </w:r>
      <w:hyperlink r:id="rId22">
        <w:r>
          <w:rPr>
            <w:rStyle w:val="Hyperlink"/>
          </w:rPr>
          <w:t xml:space="preserve">Github</w:t>
        </w:r>
      </w:hyperlink>
      <w:r>
        <w:t xml:space="preserve">.</w:t>
      </w:r>
    </w:p>
    <w:bookmarkEnd w:id="23"/>
    <w:bookmarkStart w:id="33" w:name="results"/>
    <w:p>
      <w:pPr>
        <w:pStyle w:val="Heading1"/>
      </w:pPr>
      <w:r>
        <w:t xml:space="preserve">Results</w:t>
      </w:r>
    </w:p>
    <w:bookmarkStart w:id="24" w:name="model-validation"/>
    <w:p>
      <w:pPr>
        <w:pStyle w:val="Heading2"/>
      </w:pPr>
      <w:r>
        <w:t xml:space="preserve">Model validation</w:t>
      </w:r>
    </w:p>
    <w:bookmarkEnd w:id="24"/>
    <w:p>
      <w:pPr>
        <w:pStyle w:val="CaptionedFigure"/>
      </w:pPr>
      <w:bookmarkStart w:id="26" w:name="fig:figValidation"/>
      <w:r>
        <w:drawing>
          <wp:inline>
            <wp:extent cx="5334000" cy="3810000"/>
            <wp:effectExtent b="0" l="0" r="0" t="0"/>
            <wp:docPr descr="Validation of model case counts" title="" id="1" name="Picture"/>
            <a:graphic>
              <a:graphicData uri="http://schemas.openxmlformats.org/drawingml/2006/picture">
                <pic:pic>
                  <pic:nvPicPr>
                    <pic:cNvPr descr="../figures/fig-validation.pdf" id="0" name="Picture"/>
                    <pic:cNvPicPr>
                      <a:picLocks noChangeArrowheads="1" noChangeAspect="1"/>
                    </pic:cNvPicPr>
                  </pic:nvPicPr>
                  <pic:blipFill>
                    <a:blip r:embed="rId25"/>
                    <a:stretch>
                      <a:fillRect/>
                    </a:stretch>
                  </pic:blipFill>
                  <pic:spPr bwMode="auto">
                    <a:xfrm>
                      <a:off x="0" y="0"/>
                      <a:ext cx="5334000" cy="3810000"/>
                    </a:xfrm>
                    <a:prstGeom prst="rect">
                      <a:avLst/>
                    </a:prstGeom>
                    <a:noFill/>
                    <a:ln w="9525">
                      <a:noFill/>
                      <a:headEnd/>
                      <a:tailEnd/>
                    </a:ln>
                  </pic:spPr>
                </pic:pic>
              </a:graphicData>
            </a:graphic>
          </wp:inline>
        </w:drawing>
      </w:r>
      <w:bookmarkEnd w:id="26"/>
    </w:p>
    <w:p>
      <w:pPr>
        <w:pStyle w:val="ImageCaption"/>
      </w:pPr>
      <w:r>
        <w:t xml:space="preserve">Validation of model case counts</w:t>
      </w:r>
    </w:p>
    <w:p>
      <w:pPr>
        <w:pStyle w:val="BodyText"/>
      </w:pPr>
      <w:r>
        <w:t xml:space="preserve">Predicted epidemiological curve and age-stratified case counts showed</w:t>
      </w:r>
      <w:r>
        <w:t xml:space="preserve"> </w:t>
      </w:r>
      <w:r>
        <w:t xml:space="preserve">good agreement with observed counts reported by BC CDC, except for the</w:t>
      </w:r>
      <w:r>
        <w:t xml:space="preserve"> </w:t>
      </w:r>
      <w:r>
        <w:t xml:space="preserve">80 and above age category where the model underestimated case counts</w:t>
      </w:r>
      <w:r>
        <w:t xml:space="preserve"> </w:t>
      </w:r>
      <w:r>
        <w:t xml:space="preserve">(Figure 1), however, this age group had almost no implications on the</w:t>
      </w:r>
      <w:r>
        <w:t xml:space="preserve"> </w:t>
      </w:r>
      <w:r>
        <w:t xml:space="preserve">compared scenarios.</w:t>
      </w:r>
    </w:p>
    <w:bookmarkStart w:id="27" w:name="harm-benefit-from-a-societal-perspective"/>
    <w:p>
      <w:pPr>
        <w:pStyle w:val="Heading2"/>
      </w:pPr>
      <w:r>
        <w:t xml:space="preserve">Harm-benefit from a societal</w:t>
      </w:r>
      <w:r>
        <w:t xml:space="preserve"> </w:t>
      </w:r>
      <w:r>
        <w:t xml:space="preserve">perspective</w:t>
      </w:r>
    </w:p>
    <w:bookmarkEnd w:id="27"/>
    <w:p>
      <w:pPr>
        <w:pStyle w:val="FirstParagraph"/>
      </w:pPr>
      <w:r>
        <w:t xml:space="preserve">EMA evidence as of April 4th, 2021 suggests that if we immediately offer</w:t>
      </w:r>
      <w:r>
        <w:t xml:space="preserve"> </w:t>
      </w:r>
      <w:r>
        <w:t xml:space="preserve">a first dose of the AZ vaccine to all eligible front-line workers in BC,</w:t>
      </w:r>
      <w:r>
        <w:t xml:space="preserve"> </w:t>
      </w:r>
      <w:r>
        <w:t xml:space="preserve">the expected number of VIPIT-related deaths by the end of June 2021 is</w:t>
      </w:r>
      <w:r>
        <w:t xml:space="preserve"> </w:t>
      </w:r>
      <w:r>
        <w:t xml:space="preserve">0.338</w:t>
      </w:r>
      <w:r>
        <w:t xml:space="preserve"> </w:t>
      </w:r>
      <w:r>
        <w:t xml:space="preserve">[</w:t>
      </w:r>
      <w:r>
        <w:t xml:space="preserve">95% CI 0.206-0.493</w:t>
      </w:r>
      <w:r>
        <w:t xml:space="preserve">]</w:t>
      </w:r>
      <w:r>
        <w:t xml:space="preserve">, which means the probability of</w:t>
      </w:r>
      <w:r>
        <w:t xml:space="preserve"> </w:t>
      </w:r>
      <w:r>
        <w:t xml:space="preserve">observing at least one VIPIT-related death in the same period is 28.6%.</w:t>
      </w:r>
      <w:r>
        <w:t xml:space="preserve"> </w:t>
      </w:r>
      <w:r>
        <w:t xml:space="preserve">Adding the risk from the second dose, the expected number of</w:t>
      </w:r>
      <w:r>
        <w:t xml:space="preserve"> </w:t>
      </w:r>
      <w:r>
        <w:t xml:space="preserve">VIPIT-related deaths until the end of summer is 0.675</w:t>
      </w:r>
      <w:r>
        <w:t xml:space="preserve"> </w:t>
      </w:r>
      <w:r>
        <w:t xml:space="preserve">[</w:t>
      </w:r>
      <w:r>
        <w:t xml:space="preserve">95% CI</w:t>
      </w:r>
      <w:r>
        <w:t xml:space="preserve"> </w:t>
      </w:r>
      <w:r>
        <w:t xml:space="preserve">0.414-0.995</w:t>
      </w:r>
      <w:r>
        <w:t xml:space="preserve">]</w:t>
      </w:r>
      <w:r>
        <w:t xml:space="preserve">. The probability of observing at least one VIPIT-related</w:t>
      </w:r>
      <w:r>
        <w:t xml:space="preserve"> </w:t>
      </w:r>
      <w:r>
        <w:t xml:space="preserve">death till the end of the summer will be 49.1%.</w:t>
      </w:r>
    </w:p>
    <w:p>
      <w:pPr>
        <w:pStyle w:val="BodyText"/>
      </w:pPr>
      <w:r>
        <w:t xml:space="preserve">NACI had based its analysis on the PEI estimates of a chance of 1 in</w:t>
      </w:r>
      <w:r>
        <w:t xml:space="preserve"> </w:t>
      </w:r>
      <w:r>
        <w:t xml:space="preserve">100,000 for VIPIT, and a mortality probability of 40%, based on the</w:t>
      </w:r>
      <w:r>
        <w:t xml:space="preserve"> </w:t>
      </w:r>
      <w:r>
        <w:t xml:space="preserve">data that was available in late March. In this worst-case scenario, the</w:t>
      </w:r>
      <w:r>
        <w:t xml:space="preserve"> </w:t>
      </w:r>
      <w:r>
        <w:t xml:space="preserve">expected number of deaths in BC would be 1 after the first dose is</w:t>
      </w:r>
      <w:r>
        <w:t xml:space="preserve"> </w:t>
      </w:r>
      <w:r>
        <w:t xml:space="preserve">completed for all front-line workers and 2 after the second doses are</w:t>
      </w:r>
      <w:r>
        <w:t xml:space="preserve"> </w:t>
      </w:r>
      <w:r>
        <w:t xml:space="preserve">delivered. Details of the calculations can be found in Appendix A.</w:t>
      </w:r>
    </w:p>
    <w:p>
      <w:pPr>
        <w:pStyle w:val="CaptionedFigure"/>
      </w:pPr>
      <w:bookmarkStart w:id="29" w:name="fig:fig1"/>
      <w:r>
        <w:drawing>
          <wp:inline>
            <wp:extent cx="5334000" cy="3556000"/>
            <wp:effectExtent b="0" l="0" r="0" t="0"/>
            <wp:docPr descr="Top Panel: Projection of the progression of the vaccination for different age groups and front-line workers (FLW). Bottom Panel: Projection of COVID-19 cases, hospitalizations, and deaths from January 1st to October 1st, 2021." title="" id="1" name="Picture"/>
            <a:graphic>
              <a:graphicData uri="http://schemas.openxmlformats.org/drawingml/2006/picture">
                <pic:pic>
                  <pic:nvPicPr>
                    <pic:cNvPr descr="../figures/fig-trajectoriesFull.pdf" id="0" name="Picture"/>
                    <pic:cNvPicPr>
                      <a:picLocks noChangeArrowheads="1" noChangeAspect="1"/>
                    </pic:cNvPicPr>
                  </pic:nvPicPr>
                  <pic:blipFill>
                    <a:blip r:embed="rId28"/>
                    <a:stretch>
                      <a:fillRect/>
                    </a:stretch>
                  </pic:blipFill>
                  <pic:spPr bwMode="auto">
                    <a:xfrm>
                      <a:off x="0" y="0"/>
                      <a:ext cx="5334000" cy="3556000"/>
                    </a:xfrm>
                    <a:prstGeom prst="rect">
                      <a:avLst/>
                    </a:prstGeom>
                    <a:noFill/>
                    <a:ln w="9525">
                      <a:noFill/>
                      <a:headEnd/>
                      <a:tailEnd/>
                    </a:ln>
                  </pic:spPr>
                </pic:pic>
              </a:graphicData>
            </a:graphic>
          </wp:inline>
        </w:drawing>
      </w:r>
      <w:bookmarkEnd w:id="29"/>
    </w:p>
    <w:p>
      <w:pPr>
        <w:pStyle w:val="ImageCaption"/>
      </w:pPr>
      <w:r>
        <w:t xml:space="preserve">Top Panel: Projection of the progression of the vaccination for different age groups and front-line workers (FLW). Bottom Panel: Projection of COVID-19 cases, hospitalizations, and deaths from January 1st to October 1st, 2021.</w:t>
      </w:r>
    </w:p>
    <w:p>
      <w:pPr>
        <w:pStyle w:val="BodyText"/>
      </w:pPr>
      <w:r>
        <w:t xml:space="preserve">Figure 2 shows the progression of the vaccination campaign, as well as</w:t>
      </w:r>
      <w:r>
        <w:t xml:space="preserve"> </w:t>
      </w:r>
      <w:r>
        <w:t xml:space="preserve">projections for COVID-19 cases, hospitalizations, and deaths under the</w:t>
      </w:r>
      <w:r>
        <w:t xml:space="preserve"> </w:t>
      </w:r>
      <w:r>
        <w:t xml:space="preserve">two scenarios of immediately prioritizing front-line workers (A) and the</w:t>
      </w:r>
      <w:r>
        <w:t xml:space="preserve"> </w:t>
      </w:r>
      <w:r>
        <w:t xml:space="preserve">current scenario of asking them to wait to receive mRNA vaccines as part</w:t>
      </w:r>
      <w:r>
        <w:t xml:space="preserve"> </w:t>
      </w:r>
      <w:r>
        <w:t xml:space="preserve">of the current age-based vaccination program (B).</w:t>
      </w:r>
    </w:p>
    <w:p>
      <w:pPr>
        <w:pStyle w:val="BodyText"/>
      </w:pPr>
      <w:r>
        <w:t xml:space="preserve">In our analysis, Scenario A led to 45755 fewer cases of COVID-19, 811</w:t>
      </w:r>
      <w:r>
        <w:t xml:space="preserve"> </w:t>
      </w:r>
      <w:r>
        <w:t xml:space="preserve">fewer hospitalizations, 127 fewer deaths, and 2321 fewer cases of Long</w:t>
      </w:r>
      <w:r>
        <w:t xml:space="preserve"> </w:t>
      </w:r>
      <w:r>
        <w:t xml:space="preserve">COVID, assuming</w:t>
      </w:r>
      <w:r>
        <w:t xml:space="preserve"> </w:t>
      </w:r>
      <m:oMath>
        <m:sSub>
          <m:e>
            <m:r>
              <m:t>R</m:t>
            </m:r>
          </m:e>
          <m:sub>
            <m:r>
              <m:t>0</m:t>
            </m:r>
          </m:sub>
        </m:sSub>
        <m:r>
          <m:rPr>
            <m:sty m:val="p"/>
          </m:rPr>
          <m:t>=</m:t>
        </m:r>
        <m:r>
          <m:t>1.35</m:t>
        </m:r>
      </m:oMath>
      <w:r>
        <w:t xml:space="preserve">. Appendix B includes results of the</w:t>
      </w:r>
      <w:r>
        <w:t xml:space="preserve"> </w:t>
      </w:r>
      <w:r>
        <w:t xml:space="preserve">sensitivity analysis for a wider range of values for</w:t>
      </w:r>
      <w:r>
        <w:t xml:space="preserve"> </w:t>
      </w:r>
      <m:oMath>
        <m:sSub>
          <m:e>
            <m:r>
              <m:t>R</m:t>
            </m:r>
          </m:e>
          <m:sub>
            <m:r>
              <m:t>0</m:t>
            </m:r>
          </m:sub>
        </m:sSub>
      </m:oMath>
      <w:r>
        <w:t xml:space="preserve"> </w:t>
      </w:r>
      <w:r>
        <w:t xml:space="preserve">and the</w:t>
      </w:r>
      <w:r>
        <w:t xml:space="preserve"> </w:t>
      </w:r>
      <w:r>
        <w:t xml:space="preserve">effectiveness of the vaccine against transmission,</w:t>
      </w:r>
      <w:r>
        <w:t xml:space="preserve"> </w:t>
      </w:r>
      <m:oMath>
        <m:sSub>
          <m:e>
            <m:r>
              <m:t>v</m:t>
            </m:r>
          </m:e>
          <m:sub>
            <m:r>
              <m:t>e</m:t>
            </m:r>
          </m:sub>
        </m:sSub>
      </m:oMath>
      <w:r>
        <w:t xml:space="preserve">.</w:t>
      </w:r>
    </w:p>
    <w:bookmarkStart w:id="30" w:name="Xe85750f01256a2e214afa20fb83329b9c8cc9ea"/>
    <w:p>
      <w:pPr>
        <w:pStyle w:val="Heading2"/>
      </w:pPr>
      <w:r>
        <w:t xml:space="preserve">Harm-benefit from an individual risk</w:t>
      </w:r>
      <w:r>
        <w:t xml:space="preserve"> </w:t>
      </w:r>
      <w:r>
        <w:t xml:space="preserve">perspective</w:t>
      </w:r>
    </w:p>
    <w:bookmarkEnd w:id="30"/>
    <w:p>
      <w:pPr>
        <w:pStyle w:val="CaptionedFigure"/>
      </w:pPr>
      <w:bookmarkStart w:id="32" w:name="fig:covidvsvipit"/>
      <w:r>
        <w:drawing>
          <wp:inline>
            <wp:extent cx="3810000" cy="2540000"/>
            <wp:effectExtent b="0" l="0" r="0" t="0"/>
            <wp:docPr descr=" Comparison of excess mortality risk for different age groups based on the COVID-19 risk caused by delayed vaccination (B) and estimated residual COVID-19 and VIPIT risk (A) by the EMA and NACI" title="" id="1" name="Picture"/>
            <a:graphic>
              <a:graphicData uri="http://schemas.openxmlformats.org/drawingml/2006/picture">
                <pic:pic>
                  <pic:nvPicPr>
                    <pic:cNvPr descr="CMAJOPen_files/figure-latex/covidvsvipit-1.pdf" id="0" name="Picture"/>
                    <pic:cNvPicPr>
                      <a:picLocks noChangeArrowheads="1" noChangeAspect="1"/>
                    </pic:cNvPicPr>
                  </pic:nvPicPr>
                  <pic:blipFill>
                    <a:blip r:embed="rId31"/>
                    <a:stretch>
                      <a:fillRect/>
                    </a:stretch>
                  </pic:blipFill>
                  <pic:spPr bwMode="auto">
                    <a:xfrm>
                      <a:off x="0" y="0"/>
                      <a:ext cx="3810000" cy="2540000"/>
                    </a:xfrm>
                    <a:prstGeom prst="rect">
                      <a:avLst/>
                    </a:prstGeom>
                    <a:noFill/>
                    <a:ln w="9525">
                      <a:noFill/>
                      <a:headEnd/>
                      <a:tailEnd/>
                    </a:ln>
                  </pic:spPr>
                </pic:pic>
              </a:graphicData>
            </a:graphic>
          </wp:inline>
        </w:drawing>
      </w:r>
      <w:bookmarkEnd w:id="32"/>
    </w:p>
    <w:p>
      <w:pPr>
        <w:pStyle w:val="ImageCaption"/>
      </w:pPr>
      <w:r>
        <w:t xml:space="preserve"> </w:t>
      </w:r>
      <w:r>
        <w:t xml:space="preserve">Comparison of excess mortality risk for different age groups based on the COVID-19 risk caused by delayed vaccination (B) and estimated residual COVID-19 and VIPIT risk (A) by the EMA and NACI</w:t>
      </w:r>
    </w:p>
    <w:p>
      <w:pPr>
        <w:pStyle w:val="BodyText"/>
      </w:pPr>
      <w:r>
        <w:t xml:space="preserve">Figure 3 compares the risk of VIPIT-related mortality from 2 doses of</w:t>
      </w:r>
      <w:r>
        <w:t xml:space="preserve"> </w:t>
      </w:r>
      <w:r>
        <w:t xml:space="preserve">the AZ vaccine and residual risk from COVID-19, with the mortality risk</w:t>
      </w:r>
      <w:r>
        <w:t xml:space="preserve"> </w:t>
      </w:r>
      <w:r>
        <w:t xml:space="preserve">from COVID-19 due to delayed vaccination from April 1st to October 1st,</w:t>
      </w:r>
      <w:r>
        <w:t xml:space="preserve"> </w:t>
      </w:r>
      <w:r>
        <w:t xml:space="preserve">2021. We did the comparison under two scenarios of an</w:t>
      </w:r>
      <w:r>
        <w:t xml:space="preserve"> </w:t>
      </w:r>
      <m:oMath>
        <m:sSub>
          <m:e>
            <m:r>
              <m:t>R</m:t>
            </m:r>
          </m:e>
          <m:sub>
            <m:r>
              <m:t>0</m:t>
            </m:r>
          </m:sub>
        </m:sSub>
      </m:oMath>
      <w:r>
        <w:t xml:space="preserve"> </w:t>
      </w:r>
      <w:r>
        <w:t xml:space="preserve">of 1.15 or</w:t>
      </w:r>
      <w:r>
        <w:t xml:space="preserve"> </w:t>
      </w:r>
      <w:r>
        <w:t xml:space="preserve">1.35, to represent different intensities for the third wave, or</w:t>
      </w:r>
      <w:r>
        <w:t xml:space="preserve"> </w:t>
      </w:r>
      <w:r>
        <w:t xml:space="preserve">alternatively to represent different geographical parts of the province</w:t>
      </w:r>
      <w:r>
        <w:t xml:space="preserve"> </w:t>
      </w:r>
      <w:r>
        <w:t xml:space="preserve">during the third wave. We calculated the mortality risk associated with</w:t>
      </w:r>
      <w:r>
        <w:t xml:space="preserve"> </w:t>
      </w:r>
      <w:r>
        <w:t xml:space="preserve">VIPIT using both the latest and most comprehensive evidence by EMA, and</w:t>
      </w:r>
      <w:r>
        <w:t xml:space="preserve"> </w:t>
      </w:r>
      <w:r>
        <w:t xml:space="preserve">the worst-case scenario using the evidence considered by NACI. Using EMA</w:t>
      </w:r>
      <w:r>
        <w:t xml:space="preserve"> </w:t>
      </w:r>
      <w:r>
        <w:t xml:space="preserve">estimates, we found that under both</w:t>
      </w:r>
      <w:r>
        <w:t xml:space="preserve"> </w:t>
      </w:r>
      <m:oMath>
        <m:sSub>
          <m:e>
            <m:r>
              <m:t>R</m:t>
            </m:r>
          </m:e>
          <m:sub>
            <m:r>
              <m:t>0</m:t>
            </m:r>
          </m:sub>
        </m:sSub>
      </m:oMath>
      <w:r>
        <w:t xml:space="preserve"> </w:t>
      </w:r>
      <w:r>
        <w:t xml:space="preserve">scenarios, the mortality</w:t>
      </w:r>
      <w:r>
        <w:t xml:space="preserve"> </w:t>
      </w:r>
      <w:r>
        <w:t xml:space="preserve">risk due to COVID-19 to be much higher than the mortality risk</w:t>
      </w:r>
      <w:r>
        <w:t xml:space="preserve"> </w:t>
      </w:r>
      <w:r>
        <w:t xml:space="preserve">associated with VIPIT in those over 40. Mortality risk from COVID-19 was</w:t>
      </w:r>
      <w:r>
        <w:t xml:space="preserve"> </w:t>
      </w:r>
      <w:r>
        <w:t xml:space="preserve">also higher than that of VIPIT for the 30-39 age group, although the</w:t>
      </w:r>
      <w:r>
        <w:t xml:space="preserve"> </w:t>
      </w:r>
      <w:r>
        <w:t xml:space="preserve">difference was negligible under</w:t>
      </w:r>
      <w:r>
        <w:t xml:space="preserve"> </w:t>
      </w:r>
      <m:oMath>
        <m:sSub>
          <m:e>
            <m:r>
              <m:t>R</m:t>
            </m:r>
          </m:e>
          <m:sub>
            <m:r>
              <m:t>0</m:t>
            </m:r>
          </m:sub>
        </m:sSub>
      </m:oMath>
      <w:r>
        <w:t xml:space="preserve"> </w:t>
      </w:r>
      <w:r>
        <w:t xml:space="preserve">of 1.15 scenario. For the 20-29</w:t>
      </w:r>
      <w:r>
        <w:t xml:space="preserve"> </w:t>
      </w:r>
      <w:r>
        <w:t xml:space="preserve">age group, the estimated mortality risk of vaccination with the AZ</w:t>
      </w:r>
      <w:r>
        <w:t xml:space="preserve"> </w:t>
      </w:r>
      <w:r>
        <w:t xml:space="preserve">vaccine was higher than that of COVID-19. Using the worst-case VIPIT</w:t>
      </w:r>
      <w:r>
        <w:t xml:space="preserve"> </w:t>
      </w:r>
      <w:r>
        <w:t xml:space="preserve">estimates considered by NACI, mortality risk from COVID-19 was</w:t>
      </w:r>
      <w:r>
        <w:t xml:space="preserve"> </w:t>
      </w:r>
      <w:r>
        <w:t xml:space="preserve">considerably higher than that of VIPIT for those over 60 in all areas</w:t>
      </w:r>
      <w:r>
        <w:t xml:space="preserve"> </w:t>
      </w:r>
      <w:r>
        <w:t xml:space="preserve">and those over 30 in high-risk areas (</w:t>
      </w:r>
      <m:oMath>
        <m:sSub>
          <m:e>
            <m:r>
              <m:t>R</m:t>
            </m:r>
          </m:e>
          <m:sub>
            <m:r>
              <m:t>0</m:t>
            </m:r>
          </m:sub>
        </m:sSub>
        <m:r>
          <m:rPr>
            <m:sty m:val="p"/>
          </m:rPr>
          <m:t>=</m:t>
        </m:r>
        <m:r>
          <m:t>1.35</m:t>
        </m:r>
      </m:oMath>
      <w:r>
        <w:t xml:space="preserve">).</w:t>
      </w:r>
    </w:p>
    <w:bookmarkEnd w:id="33"/>
    <w:bookmarkStart w:id="34" w:name="discussion"/>
    <w:p>
      <w:pPr>
        <w:pStyle w:val="Heading1"/>
      </w:pPr>
      <w:r>
        <w:t xml:space="preserve">Discussion</w:t>
      </w:r>
    </w:p>
    <w:p>
      <w:pPr>
        <w:pStyle w:val="FirstParagraph"/>
      </w:pPr>
      <w:r>
        <w:t xml:space="preserve">In its analysis of AZ vaccine published on March 29th, 2021, NACI</w:t>
      </w:r>
      <w:r>
        <w:t xml:space="preserve"> </w:t>
      </w:r>
      <w:r>
        <w:t xml:space="preserve">weighed the risk of adverse events against the age-stratified risk of</w:t>
      </w:r>
      <w:r>
        <w:t xml:space="preserve"> </w:t>
      </w:r>
      <w:r>
        <w:t xml:space="preserve">mortality due to COVID-19, and concluded that the AZ vaccine should not</w:t>
      </w:r>
      <w:r>
        <w:t xml:space="preserve"> </w:t>
      </w:r>
      <w:r>
        <w:t xml:space="preserve">be used in adults under 55 years of age pending an overall</w:t>
      </w:r>
      <w:r>
        <w:t xml:space="preserve"> </w:t>
      </w:r>
      <w:r>
        <w:t xml:space="preserve">risk-assessment. Our analysis confirms that given the evidence available</w:t>
      </w:r>
      <w:r>
        <w:t xml:space="preserve"> </w:t>
      </w:r>
      <w:r>
        <w:t xml:space="preserve">in late March (a risk of 1 in 100,000 for VIPIT and a 40% case</w:t>
      </w:r>
      <w:r>
        <w:t xml:space="preserve"> </w:t>
      </w:r>
      <w:r>
        <w:t xml:space="preserve">fatality) and the lower rates of transmission (i.e. a lower</w:t>
      </w:r>
      <w:r>
        <w:t xml:space="preserve"> </w:t>
      </w:r>
      <m:oMath>
        <m:sSub>
          <m:e>
            <m:r>
              <m:t>R</m:t>
            </m:r>
          </m:e>
          <m:sub>
            <m:r>
              <m:t>0</m:t>
            </m:r>
          </m:sub>
        </m:sSub>
      </m:oMath>
      <w:r>
        <w:t xml:space="preserve">) at</w:t>
      </w:r>
      <w:r>
        <w:t xml:space="preserve"> </w:t>
      </w:r>
      <w:r>
        <w:t xml:space="preserve">that time, suspending the use of AZ vaccine in younger adults would have</w:t>
      </w:r>
      <w:r>
        <w:t xml:space="preserve"> </w:t>
      </w:r>
      <w:r>
        <w:t xml:space="preserve">been advisable. However, as of April 8th, 2021, the evidence has evolved</w:t>
      </w:r>
      <w:r>
        <w:t xml:space="preserve"> </w:t>
      </w:r>
      <w:r>
        <w:t xml:space="preserve">and the EMA is now reporting a risk of 1 in 153,000 for VIPIT and a 20%</w:t>
      </w:r>
      <w:r>
        <w:t xml:space="preserve"> </w:t>
      </w:r>
      <w:r>
        <w:t xml:space="preserve">case fatality. These latest estimates together with a new wave of the</w:t>
      </w:r>
      <w:r>
        <w:t xml:space="preserve"> </w:t>
      </w:r>
      <w:r>
        <w:t xml:space="preserve">disease have changed the harm-benefit landscape considerably. In</w:t>
      </w:r>
      <w:r>
        <w:t xml:space="preserve"> </w:t>
      </w:r>
      <w:r>
        <w:t xml:space="preserve">addition, the benefits of the AZ vaccine go beyond preventing</w:t>
      </w:r>
      <w:r>
        <w:t xml:space="preserve"> </w:t>
      </w:r>
      <w:r>
        <w:t xml:space="preserve">COVID-related mortality and include protection against other possible</w:t>
      </w:r>
      <w:r>
        <w:t xml:space="preserve"> </w:t>
      </w:r>
      <w:r>
        <w:t xml:space="preserve">COVID-19 complications in younger adults including hospitalizations and</w:t>
      </w:r>
      <w:r>
        <w:t xml:space="preserve"> </w:t>
      </w:r>
      <w:r>
        <w:t xml:space="preserve">associated risk of venous thromboembolism (VTE; Rates are about 2 folds</w:t>
      </w:r>
      <w:r>
        <w:t xml:space="preserve"> </w:t>
      </w:r>
      <w:r>
        <w:t xml:space="preserve">higher in hospitalized COVID-19 patients than that of medical</w:t>
      </w:r>
      <w:r>
        <w:t xml:space="preserve"> </w:t>
      </w:r>
      <w:r>
        <w:t xml:space="preserve">non-COVID-19 inpatients</w:t>
      </w:r>
      <w:r>
        <w:t xml:space="preserve"> </w:t>
      </w:r>
      <w:r>
        <w:t xml:space="preserve">[</w:t>
      </w:r>
      <w:r>
        <w:t xml:space="preserve">16</w:t>
      </w:r>
      <w:r>
        <w:t xml:space="preserve">]</w:t>
      </w:r>
      <w:r>
        <w:t xml:space="preserve">), and Long COVID, as well as preventing</w:t>
      </w:r>
      <w:r>
        <w:t xml:space="preserve"> </w:t>
      </w:r>
      <w:r>
        <w:t xml:space="preserve">onward transmission of the virus, as as suggested by the recent sharp</w:t>
      </w:r>
      <w:r>
        <w:t xml:space="preserve"> </w:t>
      </w:r>
      <w:r>
        <w:t xml:space="preserve">decline of COVID-19 cases in the UK</w:t>
      </w:r>
      <w:r>
        <w:t xml:space="preserve"> </w:t>
      </w:r>
      <w:r>
        <w:t xml:space="preserve">[</w:t>
      </w:r>
      <w:r>
        <w:t xml:space="preserve">17</w:t>
      </w:r>
      <w:r>
        <w:t xml:space="preserve">]</w:t>
      </w:r>
      <w:r>
        <w:t xml:space="preserve"> </w:t>
      </w:r>
      <w:r>
        <w:t xml:space="preserve">and possible emerging</w:t>
      </w:r>
      <w:r>
        <w:t xml:space="preserve"> </w:t>
      </w:r>
      <w:r>
        <w:t xml:space="preserve">signal in a recent observational healthcare worker/household study</w:t>
      </w:r>
      <w:r>
        <w:t xml:space="preserve"> </w:t>
      </w:r>
      <w:r>
        <w:t xml:space="preserve">[</w:t>
      </w:r>
      <w:r>
        <w:t xml:space="preserve">18</w:t>
      </w:r>
      <w:r>
        <w:t xml:space="preserve">]</w:t>
      </w:r>
      <w:r>
        <w:t xml:space="preserve">.</w:t>
      </w:r>
    </w:p>
    <w:p>
      <w:pPr>
        <w:pStyle w:val="BodyText"/>
      </w:pPr>
      <w:r>
        <w:t xml:space="preserve">The UK vaccination program started on December 8th with the</w:t>
      </w:r>
      <w:r>
        <w:t xml:space="preserve"> </w:t>
      </w:r>
      <w:r>
        <w:t xml:space="preserve">Pfizer-BioNTech vaccine and was complemented with the AZ vaccine since</w:t>
      </w:r>
      <w:r>
        <w:t xml:space="preserve"> </w:t>
      </w:r>
      <w:r>
        <w:t xml:space="preserve">January 4th. The number of confirmed daily COVID-19 cases in the UK has</w:t>
      </w:r>
      <w:r>
        <w:t xml:space="preserve"> </w:t>
      </w:r>
      <w:r>
        <w:t xml:space="preserve">plummeted from about 60,000 cases a day in early January 2021 when a</w:t>
      </w:r>
      <w:r>
        <w:t xml:space="preserve"> </w:t>
      </w:r>
      <w:r>
        <w:t xml:space="preserve">national lockdown was imposed and about 3% of the population had</w:t>
      </w:r>
      <w:r>
        <w:t xml:space="preserve"> </w:t>
      </w:r>
      <w:r>
        <w:t xml:space="preserve">received at least one vaccine dose, to about 11,000 cases per day on</w:t>
      </w:r>
      <w:r>
        <w:t xml:space="preserve"> </w:t>
      </w:r>
      <w:r>
        <w:t xml:space="preserve">February 22, 2021 when a roadmap to easing the lockdown was announced,</w:t>
      </w:r>
      <w:r>
        <w:t xml:space="preserve"> </w:t>
      </w:r>
      <w:r>
        <w:t xml:space="preserve">to about 6000 cases per day on March 8, 2021 when the first phase of</w:t>
      </w:r>
      <w:r>
        <w:t xml:space="preserve"> </w:t>
      </w:r>
      <w:r>
        <w:t xml:space="preserve">easing public health restrictions was commenced</w:t>
      </w:r>
      <w:r>
        <w:t xml:space="preserve"> </w:t>
      </w:r>
      <w:r>
        <w:t xml:space="preserve">[</w:t>
      </w:r>
      <w:r>
        <w:t xml:space="preserve">19</w:t>
      </w:r>
      <w:r>
        <w:t xml:space="preserve">]</w:t>
      </w:r>
      <w:r>
        <w:t xml:space="preserve"> </w:t>
      </w:r>
      <w:r>
        <w:t xml:space="preserve">and has</w:t>
      </w:r>
      <w:r>
        <w:t xml:space="preserve"> </w:t>
      </w:r>
      <w:r>
        <w:t xml:space="preserve">continuously declined since then to just under 2500 cases as of April</w:t>
      </w:r>
      <w:r>
        <w:t xml:space="preserve"> </w:t>
      </w:r>
      <w:r>
        <w:t xml:space="preserve">14th, 2021, when 61.4% of the UK population had received one dose of a</w:t>
      </w:r>
      <w:r>
        <w:t xml:space="preserve"> </w:t>
      </w:r>
      <w:r>
        <w:t xml:space="preserve">COVID-19 vaccine</w:t>
      </w:r>
      <w:r>
        <w:t xml:space="preserve"> </w:t>
      </w:r>
      <w:r>
        <w:t xml:space="preserve">[</w:t>
      </w:r>
      <w:r>
        <w:t xml:space="preserve">17</w:t>
      </w:r>
      <w:r>
        <w:t xml:space="preserve">]</w:t>
      </w:r>
      <w:r>
        <w:t xml:space="preserve">.</w:t>
      </w:r>
    </w:p>
    <w:p>
      <w:pPr>
        <w:pStyle w:val="BodyText"/>
      </w:pPr>
      <w:r>
        <w:t xml:space="preserve">In addition to the death aversion resulting from strict public health</w:t>
      </w:r>
      <w:r>
        <w:t xml:space="preserve"> </w:t>
      </w:r>
      <w:r>
        <w:t xml:space="preserve">measures, based on a recent analysis by Public Health England and the</w:t>
      </w:r>
      <w:r>
        <w:t xml:space="preserve"> </w:t>
      </w:r>
      <w:r>
        <w:t xml:space="preserve">University of Warwick, it has been estimated that as of March 31, 2021,</w:t>
      </w:r>
      <w:r>
        <w:t xml:space="preserve"> </w:t>
      </w:r>
      <w:r>
        <w:t xml:space="preserve">10,400 deaths have been avoided in the UK solely due to the direct</w:t>
      </w:r>
      <w:r>
        <w:t xml:space="preserve"> </w:t>
      </w:r>
      <w:r>
        <w:t xml:space="preserve">implementation of a nationwide vaccination program (indirect effects</w:t>
      </w:r>
      <w:r>
        <w:t xml:space="preserve"> </w:t>
      </w:r>
      <w:r>
        <w:t xml:space="preserve">were not measured; 87.5% of these averted deaths were in the 80+ years</w:t>
      </w:r>
      <w:r>
        <w:t xml:space="preserve"> </w:t>
      </w:r>
      <w:r>
        <w:t xml:space="preserve">old age group, 11.5% of them in 70-79, and 1% in 60-69 years old age</w:t>
      </w:r>
      <w:r>
        <w:t xml:space="preserve"> </w:t>
      </w:r>
      <w:r>
        <w:t xml:space="preserve">group)</w:t>
      </w:r>
      <w:r>
        <w:t xml:space="preserve"> </w:t>
      </w:r>
      <w:r>
        <w:t xml:space="preserve">[</w:t>
      </w:r>
      <w:r>
        <w:t xml:space="preserve">20</w:t>
      </w:r>
      <w:r>
        <w:t xml:space="preserve">]</w:t>
      </w:r>
      <w:r>
        <w:t xml:space="preserve">. As about half of all vaccine doses administered in the</w:t>
      </w:r>
      <w:r>
        <w:t xml:space="preserve"> </w:t>
      </w:r>
      <w:r>
        <w:t xml:space="preserve">UK have been AZ vaccines, and based on the estimated AZ vaccine efficacy</w:t>
      </w:r>
      <w:r>
        <w:t xml:space="preserve"> </w:t>
      </w:r>
      <w:r>
        <w:t xml:space="preserve">of about 76% against symptomatic COVID-19 and 64% against any</w:t>
      </w:r>
      <w:r>
        <w:t xml:space="preserve"> </w:t>
      </w:r>
      <w:r>
        <w:t xml:space="preserve">NAAT-positive COVID-19 infection between 22 and 90 days after the first</w:t>
      </w:r>
      <w:r>
        <w:t xml:space="preserve"> </w:t>
      </w:r>
      <w:r>
        <w:t xml:space="preserve">dose</w:t>
      </w:r>
      <w:r>
        <w:t xml:space="preserve"> </w:t>
      </w:r>
      <w:r>
        <w:t xml:space="preserve">[</w:t>
      </w:r>
      <w:r>
        <w:t xml:space="preserve">21</w:t>
      </w:r>
      <w:r>
        <w:t xml:space="preserve">]</w:t>
      </w:r>
      <w:r>
        <w:t xml:space="preserve">, and real-world single-dose AZ vaccine effectiveness of</w:t>
      </w:r>
      <w:r>
        <w:t xml:space="preserve"> </w:t>
      </w:r>
      <w:r>
        <w:t xml:space="preserve">about 60% against symptomatic COVID-19 and 80% against COVID-19</w:t>
      </w:r>
      <w:r>
        <w:t xml:space="preserve"> </w:t>
      </w:r>
      <w:r>
        <w:t xml:space="preserve">hospitalization</w:t>
      </w:r>
      <w:r>
        <w:t xml:space="preserve"> </w:t>
      </w:r>
      <w:r>
        <w:t xml:space="preserve">[</w:t>
      </w:r>
      <w:r>
        <w:t xml:space="preserve">22</w:t>
      </w:r>
      <w:r>
        <w:t xml:space="preserve">]</w:t>
      </w:r>
      <w:r>
        <w:t xml:space="preserve">, it is clear that the AZ vaccine is effective</w:t>
      </w:r>
      <w:r>
        <w:t xml:space="preserve"> </w:t>
      </w:r>
      <w:r>
        <w:t xml:space="preserve">in reducing the overall burden of COVID-19.</w:t>
      </w:r>
    </w:p>
    <w:p>
      <w:pPr>
        <w:pStyle w:val="BodyText"/>
      </w:pPr>
      <w:r>
        <w:t xml:space="preserve">Potential prevention of onward transmission with the AZ vaccine could be</w:t>
      </w:r>
      <w:r>
        <w:t xml:space="preserve"> </w:t>
      </w:r>
      <w:r>
        <w:t xml:space="preserve">especially critical for front-line workers during the current wave of</w:t>
      </w:r>
      <w:r>
        <w:t xml:space="preserve"> </w:t>
      </w:r>
      <w:r>
        <w:t xml:space="preserve">COVID cases. Of note, two recent studies from Toronto, Ontario have</w:t>
      </w:r>
      <w:r>
        <w:t xml:space="preserve"> </w:t>
      </w:r>
      <w:r>
        <w:t xml:space="preserve">shown that neighbourhoods with the highest proportion of front-line</w:t>
      </w:r>
      <w:r>
        <w:t xml:space="preserve"> </w:t>
      </w:r>
      <w:r>
        <w:t xml:space="preserve">workers had per capita COVID-19 case and death rates that were 2.5-3</w:t>
      </w:r>
      <w:r>
        <w:t xml:space="preserve"> </w:t>
      </w:r>
      <w:r>
        <w:t xml:space="preserve">folds higher than that of neighbourhoods with the lowest share of</w:t>
      </w:r>
      <w:r>
        <w:t xml:space="preserve"> </w:t>
      </w:r>
      <w:r>
        <w:t xml:space="preserve">front-line workers</w:t>
      </w:r>
      <w:r>
        <w:t xml:space="preserve"> </w:t>
      </w:r>
      <w:r>
        <w:t xml:space="preserve">[</w:t>
      </w:r>
      <w:r>
        <w:t xml:space="preserve">24</w:t>
      </w:r>
      <w:r>
        <w:t xml:space="preserve">]</w:t>
      </w:r>
      <w:r>
        <w:t xml:space="preserve">.</w:t>
      </w:r>
    </w:p>
    <w:p>
      <w:pPr>
        <w:pStyle w:val="BodyText"/>
      </w:pPr>
      <w:r>
        <w:t xml:space="preserve">Based on our analysis, immediately making the AZ vaccine available to</w:t>
      </w:r>
      <w:r>
        <w:t xml:space="preserve"> </w:t>
      </w:r>
      <w:r>
        <w:t xml:space="preserve">front-line workers is, assuming optimal uptake, net-beneficial by a wide</w:t>
      </w:r>
      <w:r>
        <w:t xml:space="preserve"> </w:t>
      </w:r>
      <w:r>
        <w:t xml:space="preserve">margin from a societal perspective. Our analysis from an individual risk</w:t>
      </w:r>
      <w:r>
        <w:t xml:space="preserve"> </w:t>
      </w:r>
      <w:r>
        <w:t xml:space="preserve">perspective shows that the risk of contracting COVID-19 and dying from</w:t>
      </w:r>
      <w:r>
        <w:t xml:space="preserve"> </w:t>
      </w:r>
      <w:r>
        <w:t xml:space="preserve">it due to delayed vaccination is considerably higher than the risk of</w:t>
      </w:r>
      <w:r>
        <w:t xml:space="preserve"> </w:t>
      </w:r>
      <w:r>
        <w:t xml:space="preserve">dying from VIPIT in those over 40, and also in those over 30 in</w:t>
      </w:r>
      <w:r>
        <w:t xml:space="preserve"> </w:t>
      </w:r>
      <w:r>
        <w:t xml:space="preserve">high-risk areas.</w:t>
      </w:r>
    </w:p>
    <w:p>
      <w:pPr>
        <w:pStyle w:val="BodyText"/>
      </w:pPr>
      <w:r>
        <w:t xml:space="preserve">For a public health intervention to be deemed ethically acceptable,</w:t>
      </w:r>
      <w:r>
        <w:t xml:space="preserve"> </w:t>
      </w:r>
      <w:r>
        <w:t xml:space="preserve">being net-beneficial at a societal level is not enough in and of itself.</w:t>
      </w:r>
      <w:r>
        <w:t xml:space="preserve"> </w:t>
      </w:r>
      <w:r>
        <w:t xml:space="preserve">Not all interventions that are net-beneficial at a societal level are</w:t>
      </w:r>
      <w:r>
        <w:t xml:space="preserve"> </w:t>
      </w:r>
      <w:r>
        <w:t xml:space="preserve">net-beneficial for each member of the society, as those who carry the</w:t>
      </w:r>
      <w:r>
        <w:t xml:space="preserve"> </w:t>
      </w:r>
      <w:r>
        <w:t xml:space="preserve">burden of the risk of adverse events may not be the same people who reap</w:t>
      </w:r>
      <w:r>
        <w:t xml:space="preserve"> </w:t>
      </w:r>
      <w:r>
        <w:t xml:space="preserve">the benefits. We also recognize that many might intuitively consider</w:t>
      </w:r>
      <w:r>
        <w:t xml:space="preserve"> </w:t>
      </w:r>
      <w:r>
        <w:t xml:space="preserve">mortality due a public health intervention in an otherwise healthy</w:t>
      </w:r>
      <w:r>
        <w:t xml:space="preserve"> </w:t>
      </w:r>
      <w:r>
        <w:t xml:space="preserve">person to be ethically worse than failing to protect someone from</w:t>
      </w:r>
      <w:r>
        <w:t xml:space="preserve"> </w:t>
      </w:r>
      <w:r>
        <w:t xml:space="preserve">mortality due to COVID-19. While we are not going to solve the trolley</w:t>
      </w:r>
      <w:r>
        <w:t xml:space="preserve"> </w:t>
      </w:r>
      <w:r>
        <w:t xml:space="preserve">problem here, we believe that our conclusions hold regardless of the</w:t>
      </w:r>
      <w:r>
        <w:t xml:space="preserve"> </w:t>
      </w:r>
      <w:r>
        <w:t xml:space="preserve">position we take with respect to the</w:t>
      </w:r>
      <w:r>
        <w:t xml:space="preserve"> </w:t>
      </w:r>
      <w:r>
        <w:rPr>
          <w:iCs/>
          <w:i/>
        </w:rPr>
        <w:t xml:space="preserve">doing vs. allowing harm</w:t>
      </w:r>
      <w:r>
        <w:t xml:space="preserve"> </w:t>
      </w:r>
      <w:r>
        <w:t xml:space="preserve">problem</w:t>
      </w:r>
      <w:r>
        <w:t xml:space="preserve"> </w:t>
      </w:r>
      <w:r>
        <w:t xml:space="preserve">[</w:t>
      </w:r>
      <w:r>
        <w:t xml:space="preserve">25</w:t>
      </w:r>
      <w:r>
        <w:t xml:space="preserve">]</w:t>
      </w:r>
      <w:r>
        <w:t xml:space="preserve">, as long as the expected benefits outweigh the risk at</w:t>
      </w:r>
      <w:r>
        <w:t xml:space="preserve"> </w:t>
      </w:r>
      <w:r>
        <w:t xml:space="preserve">a personal level, as seems to be the case for most age groups in our</w:t>
      </w:r>
      <w:r>
        <w:t xml:space="preserve"> </w:t>
      </w:r>
      <w:r>
        <w:t xml:space="preserve">study.</w:t>
      </w:r>
    </w:p>
    <w:p>
      <w:pPr>
        <w:pStyle w:val="BodyText"/>
      </w:pPr>
      <w:r>
        <w:t xml:space="preserve">Our analysis was based on the assumption that immediate deployment of</w:t>
      </w:r>
      <w:r>
        <w:t xml:space="preserve"> </w:t>
      </w:r>
      <w:r>
        <w:t xml:space="preserve">alternative mRNA vaccines for front-line workers was not logistically</w:t>
      </w:r>
      <w:r>
        <w:t xml:space="preserve"> </w:t>
      </w:r>
      <w:r>
        <w:t xml:space="preserve">feasible. If feasible, offering mRNA vaccines to front-line workers will</w:t>
      </w:r>
      <w:r>
        <w:t xml:space="preserve"> </w:t>
      </w:r>
      <w:r>
        <w:t xml:space="preserve">be more in line with the principle of reciprocity outlined in the BC</w:t>
      </w:r>
      <w:r>
        <w:t xml:space="preserve"> </w:t>
      </w:r>
      <w:r>
        <w:t xml:space="preserve">COVID-19 Ethical Decision-Making Framework</w:t>
      </w:r>
      <w:r>
        <w:t xml:space="preserve"> </w:t>
      </w:r>
      <w:r>
        <w:t xml:space="preserve">[</w:t>
      </w:r>
      <w:r>
        <w:t xml:space="preserve">26</w:t>
      </w:r>
      <w:r>
        <w:t xml:space="preserve">]</w:t>
      </w:r>
      <w:r>
        <w:t xml:space="preserve">, and the more</w:t>
      </w:r>
      <w:r>
        <w:t xml:space="preserve"> </w:t>
      </w:r>
      <w:r>
        <w:t xml:space="preserve">general principle of justice in bioethics</w:t>
      </w:r>
      <w:r>
        <w:t xml:space="preserve"> </w:t>
      </w:r>
      <w:r>
        <w:t xml:space="preserve">[</w:t>
      </w:r>
      <w:r>
        <w:t xml:space="preserve">27</w:t>
      </w:r>
      <w:r>
        <w:t xml:space="preserve">]</w:t>
      </w:r>
      <w:r>
        <w:t xml:space="preserve">, based on the fact</w:t>
      </w:r>
      <w:r>
        <w:t xml:space="preserve"> </w:t>
      </w:r>
      <w:r>
        <w:t xml:space="preserve">that as of April 10th, 2021, no VIPIT cases have been linked to COVID-19</w:t>
      </w:r>
      <w:r>
        <w:t xml:space="preserve"> </w:t>
      </w:r>
      <w:r>
        <w:t xml:space="preserve">mRNA vaccines. From a vaccine efficacy point of view, determining the</w:t>
      </w:r>
      <w:r>
        <w:t xml:space="preserve"> </w:t>
      </w:r>
      <w:r>
        <w:rPr>
          <w:iCs/>
          <w:i/>
        </w:rPr>
        <w:t xml:space="preserve">superiority</w:t>
      </w:r>
      <w:r>
        <w:t xml:space="preserve"> </w:t>
      </w:r>
      <w:r>
        <w:t xml:space="preserve">of one vaccine to the other is not straightforward;</w:t>
      </w:r>
      <w:r>
        <w:t xml:space="preserve"> </w:t>
      </w:r>
      <w:r>
        <w:t xml:space="preserve">there is more to the apparent but variable 4%-33% efficacy gap</w:t>
      </w:r>
      <w:r>
        <w:t xml:space="preserve"> </w:t>
      </w:r>
      <w:r>
        <w:t xml:space="preserve">(symptomatic COVID-19; 7-14 days after second dose) between mRNA and AZ</w:t>
      </w:r>
      <w:r>
        <w:t xml:space="preserve"> </w:t>
      </w:r>
      <w:r>
        <w:t xml:space="preserve">COVID-19 vaccines</w:t>
      </w:r>
      <w:r>
        <w:t xml:space="preserve"> </w:t>
      </w:r>
      <w:r>
        <w:t xml:space="preserve">[</w:t>
      </w:r>
      <w:r>
        <w:t xml:space="preserve">28–31</w:t>
      </w:r>
      <w:r>
        <w:t xml:space="preserve">]</w:t>
      </w:r>
      <w:r>
        <w:t xml:space="preserve"> </w:t>
      </w:r>
      <w:r>
        <w:t xml:space="preserve">than meets the eye, including differences</w:t>
      </w:r>
      <w:r>
        <w:t xml:space="preserve"> </w:t>
      </w:r>
      <w:r>
        <w:t xml:space="preserve">in study populations, settings, time periods (i.e. different incidence</w:t>
      </w:r>
      <w:r>
        <w:t xml:space="preserve"> </w:t>
      </w:r>
      <w:r>
        <w:t xml:space="preserve">rates of COVID-19 from both non-variant of concern</w:t>
      </w:r>
      <w:r>
        <w:t xml:space="preserve"> </w:t>
      </w:r>
      <w:r>
        <w:t xml:space="preserve">[</w:t>
      </w:r>
      <w:r>
        <w:t xml:space="preserve">VOC</w:t>
      </w:r>
      <w:r>
        <w:t xml:space="preserve">]</w:t>
      </w:r>
      <w:r>
        <w:t xml:space="preserve"> </w:t>
      </w:r>
      <w:r>
        <w:t xml:space="preserve">and VOC</w:t>
      </w:r>
      <w:r>
        <w:t xml:space="preserve"> </w:t>
      </w:r>
      <w:r>
        <w:t xml:space="preserve">SARS-CoV-2) at different times of the year), and vaccine storage</w:t>
      </w:r>
      <w:r>
        <w:t xml:space="preserve"> </w:t>
      </w:r>
      <w:r>
        <w:t xml:space="preserve">requirements</w:t>
      </w:r>
      <w:r>
        <w:t xml:space="preserve"> </w:t>
      </w:r>
      <w:r>
        <w:t xml:space="preserve">[</w:t>
      </w:r>
      <w:r>
        <w:t xml:space="preserve">32</w:t>
      </w:r>
      <w:r>
        <w:t xml:space="preserve">]</w:t>
      </w:r>
      <w:r>
        <w:t xml:space="preserve">. Importantly, these vaccines were comparable in</w:t>
      </w:r>
      <w:r>
        <w:t xml:space="preserve"> </w:t>
      </w:r>
      <w:r>
        <w:t xml:space="preserve">efficacy against severe COVID-19 in phase 3 trials</w:t>
      </w:r>
      <w:r>
        <w:t xml:space="preserve"> </w:t>
      </w:r>
      <w:r>
        <w:t xml:space="preserve">[</w:t>
      </w:r>
      <w:r>
        <w:t xml:space="preserve">30,33</w:t>
      </w:r>
      <w:r>
        <w:t xml:space="preserve">]</w:t>
      </w:r>
      <w:r>
        <w:t xml:space="preserve">.</w:t>
      </w:r>
      <w:r>
        <w:t xml:space="preserve"> </w:t>
      </w:r>
      <w:r>
        <w:t xml:space="preserve">Considering emerging real-world vaccine effectiveness data, two studies</w:t>
      </w:r>
      <w:r>
        <w:t xml:space="preserve"> </w:t>
      </w:r>
      <w:r>
        <w:t xml:space="preserve">in the UK demonstrated that one dose of the Pfizer-BioNTech mRNA vaccine</w:t>
      </w:r>
      <w:r>
        <w:t xml:space="preserve"> </w:t>
      </w:r>
      <w:r>
        <w:t xml:space="preserve">or the AZ vaccine have a comparable performance in terms of reducing</w:t>
      </w:r>
      <w:r>
        <w:t xml:space="preserve"> </w:t>
      </w:r>
      <w:r>
        <w:t xml:space="preserve">rates of PCR-positive SARS-CoV-2 infection, symptomatic COVID-19, and</w:t>
      </w:r>
      <w:r>
        <w:t xml:space="preserve"> </w:t>
      </w:r>
      <w:r>
        <w:t xml:space="preserve">COVID-19-related hospitalizations</w:t>
      </w:r>
      <w:r>
        <w:t xml:space="preserve"> </w:t>
      </w:r>
      <w:r>
        <w:t xml:space="preserve">[</w:t>
      </w:r>
      <w:r>
        <w:t xml:space="preserve">34,35</w:t>
      </w:r>
      <w:r>
        <w:t xml:space="preserve">]</w:t>
      </w:r>
      <w:r>
        <w:t xml:space="preserve">.</w:t>
      </w:r>
    </w:p>
    <w:p>
      <w:pPr>
        <w:pStyle w:val="BodyText"/>
      </w:pPr>
      <w:r>
        <w:t xml:space="preserve">On April 14th, 2021, Health Canada issued an advisory concluding that</w:t>
      </w:r>
      <w:r>
        <w:t xml:space="preserve"> </w:t>
      </w:r>
      <w:r>
        <w:t xml:space="preserve">rare VIPIT events may be linked to the AZ COVID-19 vaccine and updated</w:t>
      </w:r>
      <w:r>
        <w:t xml:space="preserve"> </w:t>
      </w:r>
      <w:r>
        <w:t xml:space="preserve">its label accordingly. Health Canada did not identify any specific risk</w:t>
      </w:r>
      <w:r>
        <w:t xml:space="preserve"> </w:t>
      </w:r>
      <w:r>
        <w:t xml:space="preserve">factors and did not restrict the use of vaccine at this time</w:t>
      </w:r>
      <w:r>
        <w:t xml:space="preserve"> </w:t>
      </w:r>
      <w:r>
        <w:t xml:space="preserve">[</w:t>
      </w:r>
      <w:r>
        <w:t xml:space="preserve">36</w:t>
      </w:r>
      <w:r>
        <w:t xml:space="preserve">]</w:t>
      </w:r>
      <w:r>
        <w:t xml:space="preserve">.</w:t>
      </w:r>
      <w:r>
        <w:t xml:space="preserve"> </w:t>
      </w:r>
      <w:r>
        <w:t xml:space="preserve">Health Canada’s conclusions are consistent with our assumption that the</w:t>
      </w:r>
      <w:r>
        <w:t xml:space="preserve"> </w:t>
      </w:r>
      <w:r>
        <w:t xml:space="preserve">risk of VIPIT is uniform across age groups and pave the way for Canadian</w:t>
      </w:r>
      <w:r>
        <w:t xml:space="preserve"> </w:t>
      </w:r>
      <w:r>
        <w:t xml:space="preserve">provinces to make the AZ vaccine available to those under the age of 55.</w:t>
      </w:r>
      <w:r>
        <w:t xml:space="preserve"> </w:t>
      </w:r>
      <w:r>
        <w:t xml:space="preserve">However, while the risk from VIPIT might be similar across age group,</w:t>
      </w:r>
      <w:r>
        <w:t xml:space="preserve"> </w:t>
      </w:r>
      <w:r>
        <w:t xml:space="preserve">the risk from COVID-19 is not, and as such our age-based harm-benefit</w:t>
      </w:r>
      <w:r>
        <w:t xml:space="preserve"> </w:t>
      </w:r>
      <w:r>
        <w:t xml:space="preserve">approach remains valid. Our findings are further corroborated by the the</w:t>
      </w:r>
      <w:r>
        <w:t xml:space="preserve"> </w:t>
      </w:r>
      <w:r>
        <w:t xml:space="preserve">recent recommendation of the UK Joint Committee on Vaccination and</w:t>
      </w:r>
      <w:r>
        <w:t xml:space="preserve"> </w:t>
      </w:r>
      <w:r>
        <w:t xml:space="preserve">Immunisation (JCVI) that the benefits of the AZ vaccine far outweigh the</w:t>
      </w:r>
      <w:r>
        <w:t xml:space="preserve"> </w:t>
      </w:r>
      <w:r>
        <w:t xml:space="preserve">risk in 30 years old or older recipients</w:t>
      </w:r>
      <w:r>
        <w:t xml:space="preserve"> </w:t>
      </w:r>
      <w:r>
        <w:t xml:space="preserve">[</w:t>
      </w:r>
      <w:r>
        <w:t xml:space="preserve">37</w:t>
      </w:r>
      <w:r>
        <w:t xml:space="preserve">]</w:t>
      </w:r>
      <w:r>
        <w:t xml:space="preserve">.</w:t>
      </w:r>
    </w:p>
    <w:bookmarkEnd w:id="34"/>
    <w:bookmarkStart w:id="35" w:name="limitations"/>
    <w:p>
      <w:pPr>
        <w:pStyle w:val="Heading1"/>
      </w:pPr>
      <w:r>
        <w:t xml:space="preserve">Limitations</w:t>
      </w:r>
    </w:p>
    <w:p>
      <w:pPr>
        <w:pStyle w:val="FirstParagraph"/>
      </w:pPr>
      <w:r>
        <w:t xml:space="preserve">Our analysis from an individual risk perspective was based on average</w:t>
      </w:r>
      <w:r>
        <w:t xml:space="preserve"> </w:t>
      </w:r>
      <w:r>
        <w:t xml:space="preserve">rates of COVID-19 and its related outcomes per age group. However, the</w:t>
      </w:r>
      <w:r>
        <w:t xml:space="preserve"> </w:t>
      </w:r>
      <w:r>
        <w:t xml:space="preserve">true risk within age groups is still heterogeneous and is affected by</w:t>
      </w:r>
      <w:r>
        <w:t xml:space="preserve"> </w:t>
      </w:r>
      <w:r>
        <w:t xml:space="preserve">many factors including but not limited to exposure, medical history,</w:t>
      </w:r>
      <w:r>
        <w:t xml:space="preserve"> </w:t>
      </w:r>
      <w:r>
        <w:t xml:space="preserve">work environment, and socioeconomic status.</w:t>
      </w:r>
    </w:p>
    <w:p>
      <w:pPr>
        <w:pStyle w:val="BodyText"/>
      </w:pPr>
      <w:r>
        <w:t xml:space="preserve">Our analysis did not consider social aspects of vaccine roll-out such as</w:t>
      </w:r>
      <w:r>
        <w:t xml:space="preserve"> </w:t>
      </w:r>
      <w:r>
        <w:t xml:space="preserve">the effect of different roll-out strategies on uptake and vaccine</w:t>
      </w:r>
      <w:r>
        <w:t xml:space="preserve"> </w:t>
      </w:r>
      <w:r>
        <w:t xml:space="preserve">hesitancy, as they were beyond our expertise. However, we recognize that</w:t>
      </w:r>
      <w:r>
        <w:t xml:space="preserve"> </w:t>
      </w:r>
      <w:r>
        <w:t xml:space="preserve">each time a recommendation for vaccine safety is reversed, there might</w:t>
      </w:r>
      <w:r>
        <w:t xml:space="preserve"> </w:t>
      </w:r>
      <w:r>
        <w:t xml:space="preserve">be a penalty in public trust which could fuel vaccine hesitancy.</w:t>
      </w:r>
      <w:r>
        <w:t xml:space="preserve"> </w:t>
      </w:r>
      <w:r>
        <w:t xml:space="preserve">Potential for these effects should be weighed carefully by policy</w:t>
      </w:r>
      <w:r>
        <w:t xml:space="preserve"> </w:t>
      </w:r>
      <w:r>
        <w:t xml:space="preserve">makers.</w:t>
      </w:r>
    </w:p>
    <w:p>
      <w:pPr>
        <w:pStyle w:val="BodyText"/>
      </w:pPr>
      <w:r>
        <w:t xml:space="preserve">Our analysis is based on currently available estimated rates of 1 in</w:t>
      </w:r>
      <w:r>
        <w:t xml:space="preserve"> </w:t>
      </w:r>
      <w:r>
        <w:t xml:space="preserve">million to 1 in 100,000 for VIPIT and might need correction should</w:t>
      </w:r>
      <w:r>
        <w:t xml:space="preserve"> </w:t>
      </w:r>
      <w:r>
        <w:t xml:space="preserve">higher rates of this complication be reported.</w:t>
      </w:r>
    </w:p>
    <w:p>
      <w:pPr>
        <w:pStyle w:val="BodyText"/>
      </w:pPr>
      <w:r>
        <w:t xml:space="preserve">We have not considered potential sex differences in the risk for VIPIT.</w:t>
      </w:r>
      <w:r>
        <w:t xml:space="preserve"> </w:t>
      </w:r>
      <w:r>
        <w:t xml:space="preserve">Although cases identified to date have been predominantly female, it</w:t>
      </w:r>
      <w:r>
        <w:t xml:space="preserve"> </w:t>
      </w:r>
      <w:r>
        <w:t xml:space="preserve">remains unclear whether this was due to more females receiving the AZ</w:t>
      </w:r>
      <w:r>
        <w:t xml:space="preserve"> </w:t>
      </w:r>
      <w:r>
        <w:t xml:space="preserve">vaccine or due to an intrinsic difference in risk.</w:t>
      </w:r>
    </w:p>
    <w:bookmarkEnd w:id="35"/>
    <w:bookmarkStart w:id="36" w:name="conclusions"/>
    <w:p>
      <w:pPr>
        <w:pStyle w:val="Heading1"/>
      </w:pPr>
      <w:r>
        <w:t xml:space="preserve">Conclusions</w:t>
      </w:r>
    </w:p>
    <w:p>
      <w:pPr>
        <w:pStyle w:val="FirstParagraph"/>
      </w:pPr>
      <w:r>
        <w:t xml:space="preserve">Current evidence suggests that benefits of immediate prioritization of</w:t>
      </w:r>
      <w:r>
        <w:t xml:space="preserve"> </w:t>
      </w:r>
      <w:r>
        <w:t xml:space="preserve">front-line workers for vaccination with the AZ vaccine far outweigh the</w:t>
      </w:r>
      <w:r>
        <w:t xml:space="preserve"> </w:t>
      </w:r>
      <w:r>
        <w:t xml:space="preserve">risk, both at a societal and at a personal level for those over 40 years</w:t>
      </w:r>
      <w:r>
        <w:t xml:space="preserve"> </w:t>
      </w:r>
      <w:r>
        <w:t xml:space="preserve">of age, and those over 30 years of age in high-risk areas. Ultimately,</w:t>
      </w:r>
      <w:r>
        <w:t xml:space="preserve"> </w:t>
      </w:r>
      <w:r>
        <w:t xml:space="preserve">in dynamic situations like this where the evidence is uncertain and</w:t>
      </w:r>
      <w:r>
        <w:t xml:space="preserve"> </w:t>
      </w:r>
      <w:r>
        <w:t xml:space="preserve">evolving, vaccine roll-out decisions are judgment calls that need to</w:t>
      </w:r>
      <w:r>
        <w:t xml:space="preserve"> </w:t>
      </w:r>
      <w:r>
        <w:t xml:space="preserve">take a complex network of medical, epidemiological, ethical, logistical,</w:t>
      </w:r>
      <w:r>
        <w:t xml:space="preserve"> </w:t>
      </w:r>
      <w:r>
        <w:t xml:space="preserve">and societal considerations into account.</w:t>
      </w:r>
    </w:p>
    <w:bookmarkEnd w:id="36"/>
    <w:bookmarkStart w:id="109" w:name="references"/>
    <w:p>
      <w:pPr>
        <w:pStyle w:val="Heading1"/>
      </w:pPr>
      <w:r>
        <w:t xml:space="preserve">References</w:t>
      </w:r>
    </w:p>
    <w:bookmarkStart w:id="37" w:name="refs"/>
    <w:bookmarkEnd w:id="37"/>
    <w:p>
      <w:pPr>
        <w:pStyle w:val="FirstParagraph"/>
      </w:pPr>
      <w:r>
        <w:t xml:space="preserve">&gt; 0</w:t>
      </w:r>
      <w:r>
        <w:t xml:space="preserve"> </w:t>
      </w:r>
      <w:bookmarkStart w:id="38" w:name="ref-naci_naci_2021"/>
      <w:bookmarkEnd w:id="38"/>
    </w:p>
    <w:p>
      <w:pPr>
        <w:pStyle w:val="BodyText"/>
      </w:pPr>
      <w:r>
        <w:t xml:space="preserve">1.</w:t>
      </w:r>
    </w:p>
    <w:p>
      <w:pPr>
        <w:pStyle w:val="BodyText"/>
      </w:pPr>
      <w:r>
        <w:t xml:space="preserve">NACI.</w:t>
      </w:r>
      <w:r>
        <w:t xml:space="preserve"> </w:t>
      </w:r>
      <w:r>
        <w:t xml:space="preserve">NACI</w:t>
      </w:r>
      <w:r>
        <w:t xml:space="preserve"> </w:t>
      </w:r>
      <w:r>
        <w:t xml:space="preserve">rapid response:</w:t>
      </w:r>
      <w:r>
        <w:t xml:space="preserve"> </w:t>
      </w:r>
      <w:r>
        <w:t xml:space="preserve">Recommended</w:t>
      </w:r>
      <w:r>
        <w:t xml:space="preserve"> </w:t>
      </w:r>
      <w:r>
        <w:t xml:space="preserve">use of</w:t>
      </w:r>
      <w:r>
        <w:t xml:space="preserve"> </w:t>
      </w:r>
      <w:r>
        <w:t xml:space="preserve">AstraZeneca</w:t>
      </w:r>
      <w:r>
        <w:t xml:space="preserve"> </w:t>
      </w:r>
      <w:r>
        <w:t xml:space="preserve">COVID</w:t>
      </w:r>
      <w:r>
        <w:t xml:space="preserve">-19 vaccine in younger adults</w:t>
      </w:r>
      <w:r>
        <w:t xml:space="preserve"> </w:t>
      </w:r>
      <w:r>
        <w:t xml:space="preserve">[</w:t>
      </w:r>
      <w:r>
        <w:t xml:space="preserve">Internet</w:t>
      </w:r>
      <w:r>
        <w:t xml:space="preserve">]</w:t>
      </w:r>
      <w:r>
        <w:t xml:space="preserve">.</w:t>
      </w:r>
      <w:r>
        <w:t xml:space="preserve"> </w:t>
      </w:r>
      <w:r>
        <w:t xml:space="preserve">National Advisory Committee on Immunization (NACI); 2021 Mar</w:t>
      </w:r>
      <w:r>
        <w:t xml:space="preserve"> </w:t>
      </w:r>
      <w:r>
        <w:t xml:space="preserve">[</w:t>
      </w:r>
      <w:r>
        <w:t xml:space="preserve">cited</w:t>
      </w:r>
      <w:r>
        <w:t xml:space="preserve"> </w:t>
      </w:r>
      <w:r>
        <w:t xml:space="preserve">2021 Apr 3</w:t>
      </w:r>
      <w:r>
        <w:t xml:space="preserve">]</w:t>
      </w:r>
      <w:r>
        <w:t xml:space="preserve">. Available from:</w:t>
      </w:r>
      <w:r>
        <w:t xml:space="preserve"> </w:t>
      </w:r>
      <w:hyperlink r:id="rId39">
        <w:r>
          <w:rPr>
            <w:rStyle w:val="Hyperlink"/>
          </w:rPr>
          <w:t xml:space="preserve">https://www.canada.ca/en/public-health/services/immunization/national-advisory-committee-on-immunization-naci/rapid-response-recommended-use-astrazeneca-covid-19-vaccine-younger-adults.html</w:t>
        </w:r>
      </w:hyperlink>
    </w:p>
    <w:p>
      <w:pPr>
        <w:pStyle w:val="BodyText"/>
      </w:pPr>
      <w:bookmarkStart w:id="40" w:name="ref-greinacher_thrombotic_2021"/>
      <w:bookmarkEnd w:id="40"/>
    </w:p>
    <w:p>
      <w:pPr>
        <w:pStyle w:val="BodyText"/>
      </w:pPr>
      <w:r>
        <w:t xml:space="preserve">2.</w:t>
      </w:r>
    </w:p>
    <w:p>
      <w:pPr>
        <w:pStyle w:val="BodyText"/>
      </w:pPr>
      <w:r>
        <w:t xml:space="preserve">Greinacher A, Thiele T, Warkentin TE, Weisser K, Kyrle</w:t>
      </w:r>
      <w:r>
        <w:t xml:space="preserve"> </w:t>
      </w:r>
      <w:r>
        <w:t xml:space="preserve">PA, Eichinger S. Thrombotic</w:t>
      </w:r>
      <w:r>
        <w:t xml:space="preserve"> </w:t>
      </w:r>
      <w:r>
        <w:t xml:space="preserve">Thrombocytopenia</w:t>
      </w:r>
      <w:r>
        <w:t xml:space="preserve"> </w:t>
      </w:r>
      <w:r>
        <w:t xml:space="preserve">after</w:t>
      </w:r>
      <w:r>
        <w:t xml:space="preserve"> </w:t>
      </w:r>
      <w:r>
        <w:t xml:space="preserve">ChAdOx1</w:t>
      </w:r>
      <w:r>
        <w:t xml:space="preserve"> </w:t>
      </w:r>
      <w:r>
        <w:t xml:space="preserve">nCov</w:t>
      </w:r>
      <w:r>
        <w:t xml:space="preserve">-19</w:t>
      </w:r>
      <w:r>
        <w:t xml:space="preserve"> </w:t>
      </w:r>
      <w:r>
        <w:t xml:space="preserve">Vaccination</w:t>
      </w:r>
      <w:r>
        <w:t xml:space="preserve">. New England Journal of Medicine</w:t>
      </w:r>
      <w:r>
        <w:t xml:space="preserve"> </w:t>
      </w:r>
      <w:r>
        <w:t xml:space="preserve">[</w:t>
      </w:r>
      <w:r>
        <w:t xml:space="preserve">Internet</w:t>
      </w:r>
      <w:r>
        <w:t xml:space="preserve">]</w:t>
      </w:r>
      <w:r>
        <w:t xml:space="preserve">. 2021 Apr</w:t>
      </w:r>
      <w:r>
        <w:t xml:space="preserve"> </w:t>
      </w:r>
      <w:r>
        <w:t xml:space="preserve">[</w:t>
      </w:r>
      <w:r>
        <w:t xml:space="preserve">cited 2021 Apr 11</w:t>
      </w:r>
      <w:r>
        <w:t xml:space="preserve">]</w:t>
      </w:r>
      <w:r>
        <w:t xml:space="preserve">;0(0):null. Available from:</w:t>
      </w:r>
      <w:r>
        <w:t xml:space="preserve"> </w:t>
      </w:r>
      <w:hyperlink r:id="rId41">
        <w:r>
          <w:rPr>
            <w:rStyle w:val="Hyperlink"/>
          </w:rPr>
          <w:t xml:space="preserve">https://doi.org/10.1056/NEJMoa2104840</w:t>
        </w:r>
      </w:hyperlink>
    </w:p>
    <w:p>
      <w:pPr>
        <w:pStyle w:val="BodyText"/>
      </w:pPr>
      <w:bookmarkStart w:id="42" w:name="ref-schultz_thrombosis_2021"/>
      <w:bookmarkEnd w:id="42"/>
    </w:p>
    <w:p>
      <w:pPr>
        <w:pStyle w:val="BodyText"/>
      </w:pPr>
      <w:r>
        <w:t xml:space="preserve">3.</w:t>
      </w:r>
    </w:p>
    <w:p>
      <w:pPr>
        <w:pStyle w:val="BodyText"/>
      </w:pPr>
      <w:r>
        <w:t xml:space="preserve">Schultz NH, Sørvoll IH, Michelsen AE, Munthe LA,</w:t>
      </w:r>
      <w:r>
        <w:t xml:space="preserve"> </w:t>
      </w:r>
      <w:r>
        <w:t xml:space="preserve">Lund-Johansen F, Ahlen MT, et al. Thrombosis and</w:t>
      </w:r>
      <w:r>
        <w:t xml:space="preserve"> </w:t>
      </w:r>
      <w:r>
        <w:t xml:space="preserve">Thrombocytopenia</w:t>
      </w:r>
      <w:r>
        <w:t xml:space="preserve"> </w:t>
      </w:r>
      <w:r>
        <w:t xml:space="preserve">after</w:t>
      </w:r>
      <w:r>
        <w:t xml:space="preserve"> </w:t>
      </w:r>
      <w:r>
        <w:t xml:space="preserve">ChAdOx1</w:t>
      </w:r>
      <w:r>
        <w:t xml:space="preserve"> </w:t>
      </w:r>
      <w:r>
        <w:t xml:space="preserve">nCoV</w:t>
      </w:r>
      <w:r>
        <w:t xml:space="preserve">-19</w:t>
      </w:r>
      <w:r>
        <w:t xml:space="preserve"> </w:t>
      </w:r>
      <w:r>
        <w:t xml:space="preserve">Vaccination</w:t>
      </w:r>
      <w:r>
        <w:t xml:space="preserve">. New England Journal of Medicine</w:t>
      </w:r>
      <w:r>
        <w:t xml:space="preserve"> </w:t>
      </w:r>
      <w:r>
        <w:t xml:space="preserve">[</w:t>
      </w:r>
      <w:r>
        <w:t xml:space="preserve">Internet</w:t>
      </w:r>
      <w:r>
        <w:t xml:space="preserve">]</w:t>
      </w:r>
      <w:r>
        <w:t xml:space="preserve">. 2021 Apr</w:t>
      </w:r>
      <w:r>
        <w:t xml:space="preserve"> </w:t>
      </w:r>
      <w:r>
        <w:t xml:space="preserve">[</w:t>
      </w:r>
      <w:r>
        <w:t xml:space="preserve">cited 2021 Apr 11</w:t>
      </w:r>
      <w:r>
        <w:t xml:space="preserve">]</w:t>
      </w:r>
      <w:r>
        <w:t xml:space="preserve">;0(0):null. Available</w:t>
      </w:r>
      <w:r>
        <w:t xml:space="preserve"> </w:t>
      </w:r>
      <w:r>
        <w:t xml:space="preserve">from:</w:t>
      </w:r>
      <w:r>
        <w:t xml:space="preserve"> </w:t>
      </w:r>
      <w:hyperlink r:id="rId43">
        <w:r>
          <w:rPr>
            <w:rStyle w:val="Hyperlink"/>
          </w:rPr>
          <w:t xml:space="preserve">https://doi.org/10.1056/NEJMoa2104882</w:t>
        </w:r>
      </w:hyperlink>
    </w:p>
    <w:p>
      <w:pPr>
        <w:pStyle w:val="BodyText"/>
      </w:pPr>
      <w:bookmarkStart w:id="44" w:name="ref-ema_covid-19_2021"/>
      <w:bookmarkEnd w:id="44"/>
    </w:p>
    <w:p>
      <w:pPr>
        <w:pStyle w:val="BodyText"/>
      </w:pPr>
      <w:r>
        <w:t xml:space="preserve">4.</w:t>
      </w:r>
    </w:p>
    <w:p>
      <w:pPr>
        <w:pStyle w:val="BodyText"/>
      </w:pPr>
      <w:r>
        <w:t xml:space="preserve">EMA.</w:t>
      </w:r>
      <w:r>
        <w:t xml:space="preserve"> </w:t>
      </w:r>
      <w:r>
        <w:t xml:space="preserve">COVID</w:t>
      </w:r>
      <w:r>
        <w:t xml:space="preserve">-19</w:t>
      </w:r>
      <w:r>
        <w:t xml:space="preserve"> </w:t>
      </w:r>
      <w:r>
        <w:t xml:space="preserve">Vaccine</w:t>
      </w:r>
      <w:r>
        <w:t xml:space="preserve"> </w:t>
      </w:r>
      <w:r>
        <w:t xml:space="preserve">AstraZeneca</w:t>
      </w:r>
      <w:r>
        <w:t xml:space="preserve">: Benefits still</w:t>
      </w:r>
      <w:r>
        <w:t xml:space="preserve"> </w:t>
      </w:r>
      <w:r>
        <w:t xml:space="preserve">outweigh the risks despite possible link to rare blood clots with low</w:t>
      </w:r>
      <w:r>
        <w:t xml:space="preserve"> </w:t>
      </w:r>
      <w:r>
        <w:t xml:space="preserve">blood platelets</w:t>
      </w:r>
      <w:r>
        <w:t xml:space="preserve"> </w:t>
      </w:r>
      <w:r>
        <w:t xml:space="preserve">[</w:t>
      </w:r>
      <w:r>
        <w:t xml:space="preserve">Internet</w:t>
      </w:r>
      <w:r>
        <w:t xml:space="preserve">]</w:t>
      </w:r>
      <w:r>
        <w:t xml:space="preserve">. European Medicines Agency; 2021 Mar</w:t>
      </w:r>
      <w:r>
        <w:t xml:space="preserve"> </w:t>
      </w:r>
      <w:r>
        <w:t xml:space="preserve">[</w:t>
      </w:r>
      <w:r>
        <w:t xml:space="preserve">cited 2021 Apr 2</w:t>
      </w:r>
      <w:r>
        <w:t xml:space="preserve">]</w:t>
      </w:r>
      <w:r>
        <w:t xml:space="preserve">. Available from:</w:t>
      </w:r>
      <w:r>
        <w:t xml:space="preserve"> </w:t>
      </w:r>
      <w:hyperlink r:id="rId45">
        <w:r>
          <w:rPr>
            <w:rStyle w:val="Hyperlink"/>
          </w:rPr>
          <w:t xml:space="preserve">https://bit.ly/3s0pM8j</w:t>
        </w:r>
      </w:hyperlink>
    </w:p>
    <w:p>
      <w:pPr>
        <w:pStyle w:val="BodyText"/>
      </w:pPr>
      <w:bookmarkStart w:id="46" w:name="ref-pei_covid-19_2021"/>
      <w:bookmarkEnd w:id="46"/>
    </w:p>
    <w:p>
      <w:pPr>
        <w:pStyle w:val="BodyText"/>
      </w:pPr>
      <w:r>
        <w:t xml:space="preserve">5.</w:t>
      </w:r>
    </w:p>
    <w:p>
      <w:pPr>
        <w:pStyle w:val="BodyText"/>
      </w:pPr>
      <w:r>
        <w:t xml:space="preserve">PEI.</w:t>
      </w:r>
      <w:r>
        <w:t xml:space="preserve"> </w:t>
      </w:r>
      <w:r>
        <w:t xml:space="preserve">COVID</w:t>
      </w:r>
      <w:r>
        <w:t xml:space="preserve">-19</w:t>
      </w:r>
      <w:r>
        <w:t xml:space="preserve"> </w:t>
      </w:r>
      <w:r>
        <w:t xml:space="preserve">Vaccine</w:t>
      </w:r>
      <w:r>
        <w:t xml:space="preserve"> </w:t>
      </w:r>
      <w:r>
        <w:t xml:space="preserve">AstraZeneca</w:t>
      </w:r>
      <w:r>
        <w:t xml:space="preserve"> </w:t>
      </w:r>
      <w:r>
        <w:t xml:space="preserve">-</w:t>
      </w:r>
      <w:r>
        <w:t xml:space="preserve"> </w:t>
      </w:r>
      <w:r>
        <w:t xml:space="preserve">Safety</w:t>
      </w:r>
      <w:r>
        <w:t xml:space="preserve"> </w:t>
      </w:r>
      <w:r>
        <w:t xml:space="preserve">assessment result:</w:t>
      </w:r>
      <w:r>
        <w:t xml:space="preserve"> </w:t>
      </w:r>
      <w:r>
        <w:t xml:space="preserve">The</w:t>
      </w:r>
      <w:r>
        <w:t xml:space="preserve"> </w:t>
      </w:r>
      <w:r>
        <w:t xml:space="preserve">vaccine is safe and effective in the fight</w:t>
      </w:r>
      <w:r>
        <w:t xml:space="preserve"> </w:t>
      </w:r>
      <w:r>
        <w:t xml:space="preserve">against</w:t>
      </w:r>
      <w:r>
        <w:t xml:space="preserve"> </w:t>
      </w:r>
      <w:r>
        <w:t xml:space="preserve">COVID</w:t>
      </w:r>
      <w:r>
        <w:t xml:space="preserve">-19</w:t>
      </w:r>
      <w:r>
        <w:t xml:space="preserve"> </w:t>
      </w:r>
      <w:r>
        <w:t xml:space="preserve">[</w:t>
      </w:r>
      <w:r>
        <w:t xml:space="preserve">Internet</w:t>
      </w:r>
      <w:r>
        <w:t xml:space="preserve">]</w:t>
      </w:r>
      <w:r>
        <w:t xml:space="preserve">. Paul-Ehrlich-Institut (PEI), Federal</w:t>
      </w:r>
      <w:r>
        <w:t xml:space="preserve"> </w:t>
      </w:r>
      <w:r>
        <w:t xml:space="preserve">Institute for Vaccines; Biomedicine; 2021 Mar</w:t>
      </w:r>
      <w:r>
        <w:t xml:space="preserve"> </w:t>
      </w:r>
      <w:r>
        <w:t xml:space="preserve">[</w:t>
      </w:r>
      <w:r>
        <w:t xml:space="preserve">cited 2021 Apr 2</w:t>
      </w:r>
      <w:r>
        <w:t xml:space="preserve">]</w:t>
      </w:r>
      <w:r>
        <w:t xml:space="preserve">.</w:t>
      </w:r>
      <w:r>
        <w:t xml:space="preserve"> </w:t>
      </w:r>
      <w:r>
        <w:t xml:space="preserve">Available from:</w:t>
      </w:r>
      <w:r>
        <w:t xml:space="preserve"> </w:t>
      </w:r>
      <w:hyperlink r:id="rId47">
        <w:r>
          <w:rPr>
            <w:rStyle w:val="Hyperlink"/>
          </w:rPr>
          <w:t xml:space="preserve">https://bit.ly/3dJ7OSQ</w:t>
        </w:r>
      </w:hyperlink>
    </w:p>
    <w:p>
      <w:pPr>
        <w:pStyle w:val="BodyText"/>
      </w:pPr>
      <w:bookmarkStart w:id="48" w:name="ref-mhra_coronavirus_2021"/>
      <w:bookmarkEnd w:id="48"/>
    </w:p>
    <w:p>
      <w:pPr>
        <w:pStyle w:val="BodyText"/>
      </w:pPr>
      <w:r>
        <w:t xml:space="preserve">6.</w:t>
      </w:r>
    </w:p>
    <w:p>
      <w:pPr>
        <w:pStyle w:val="BodyText"/>
      </w:pPr>
      <w:r>
        <w:t xml:space="preserve">MHRA. Coronavirus vaccine - weekly summary of</w:t>
      </w:r>
      <w:r>
        <w:t xml:space="preserve"> </w:t>
      </w:r>
      <w:r>
        <w:t xml:space="preserve">Yellow</w:t>
      </w:r>
      <w:r>
        <w:t xml:space="preserve"> </w:t>
      </w:r>
      <w:r>
        <w:t xml:space="preserve">Card</w:t>
      </w:r>
      <w:r>
        <w:t xml:space="preserve"> </w:t>
      </w:r>
      <w:r>
        <w:t xml:space="preserve">reporting</w:t>
      </w:r>
      <w:r>
        <w:t xml:space="preserve"> </w:t>
      </w:r>
      <w:r>
        <w:t xml:space="preserve">[</w:t>
      </w:r>
      <w:r>
        <w:t xml:space="preserve">Internet</w:t>
      </w:r>
      <w:r>
        <w:t xml:space="preserve">]</w:t>
      </w:r>
      <w:r>
        <w:t xml:space="preserve">. Medicines &amp; Healthcare Products</w:t>
      </w:r>
      <w:r>
        <w:t xml:space="preserve"> </w:t>
      </w:r>
      <w:r>
        <w:t xml:space="preserve">Regulatory Agency; 2021 Apr</w:t>
      </w:r>
      <w:r>
        <w:t xml:space="preserve"> </w:t>
      </w:r>
      <w:r>
        <w:t xml:space="preserve">[</w:t>
      </w:r>
      <w:r>
        <w:t xml:space="preserve">cited 2021 Apr 3</w:t>
      </w:r>
      <w:r>
        <w:t xml:space="preserve">]</w:t>
      </w:r>
      <w:r>
        <w:t xml:space="preserve">. Available from:</w:t>
      </w:r>
      <w:r>
        <w:t xml:space="preserve"> </w:t>
      </w:r>
      <w:hyperlink r:id="rId49">
        <w:r>
          <w:rPr>
            <w:rStyle w:val="Hyperlink"/>
          </w:rPr>
          <w:t xml:space="preserve">https://bit.ly/3dOW80z</w:t>
        </w:r>
      </w:hyperlink>
    </w:p>
    <w:p>
      <w:pPr>
        <w:pStyle w:val="BodyText"/>
      </w:pPr>
      <w:bookmarkStart w:id="50" w:name="ref-mhra_mhra_2021"/>
      <w:bookmarkEnd w:id="50"/>
    </w:p>
    <w:p>
      <w:pPr>
        <w:pStyle w:val="BodyText"/>
      </w:pPr>
      <w:r>
        <w:t xml:space="preserve">7.</w:t>
      </w:r>
    </w:p>
    <w:p>
      <w:pPr>
        <w:pStyle w:val="BodyText"/>
      </w:pPr>
      <w:r>
        <w:t xml:space="preserve">MHRA.</w:t>
      </w:r>
      <w:r>
        <w:t xml:space="preserve"> </w:t>
      </w:r>
      <w:r>
        <w:t xml:space="preserve">MHRA</w:t>
      </w:r>
      <w:r>
        <w:t xml:space="preserve"> </w:t>
      </w:r>
      <w:r>
        <w:t xml:space="preserve">issues new advice, concluding a possible</w:t>
      </w:r>
      <w:r>
        <w:t xml:space="preserve"> </w:t>
      </w:r>
      <w:r>
        <w:t xml:space="preserve">link between</w:t>
      </w:r>
      <w:r>
        <w:t xml:space="preserve"> </w:t>
      </w:r>
      <w:r>
        <w:t xml:space="preserve">COVID</w:t>
      </w:r>
      <w:r>
        <w:t xml:space="preserve">-19</w:t>
      </w:r>
      <w:r>
        <w:t xml:space="preserve"> </w:t>
      </w:r>
      <w:r>
        <w:t xml:space="preserve">Vaccine</w:t>
      </w:r>
      <w:r>
        <w:t xml:space="preserve"> </w:t>
      </w:r>
      <w:r>
        <w:t xml:space="preserve">AstraZeneca</w:t>
      </w:r>
      <w:r>
        <w:t xml:space="preserve"> </w:t>
      </w:r>
      <w:r>
        <w:t xml:space="preserve">and extremely rare,</w:t>
      </w:r>
      <w:r>
        <w:t xml:space="preserve"> </w:t>
      </w:r>
      <w:r>
        <w:t xml:space="preserve">unlikely to occur blood clots</w:t>
      </w:r>
      <w:r>
        <w:t xml:space="preserve"> </w:t>
      </w:r>
      <w:r>
        <w:t xml:space="preserve">[</w:t>
      </w:r>
      <w:r>
        <w:t xml:space="preserve">Internet</w:t>
      </w:r>
      <w:r>
        <w:t xml:space="preserve">]</w:t>
      </w:r>
      <w:r>
        <w:t xml:space="preserve">. GOV.UK. 2021</w:t>
      </w:r>
      <w:r>
        <w:t xml:space="preserve"> </w:t>
      </w:r>
      <w:r>
        <w:t xml:space="preserve">[</w:t>
      </w:r>
      <w:r>
        <w:t xml:space="preserve">cited 2021</w:t>
      </w:r>
      <w:r>
        <w:t xml:space="preserve"> </w:t>
      </w:r>
      <w:r>
        <w:t xml:space="preserve">Apr 8</w:t>
      </w:r>
      <w:r>
        <w:t xml:space="preserve">]</w:t>
      </w:r>
      <w:r>
        <w:t xml:space="preserve">. Available from:</w:t>
      </w:r>
      <w:r>
        <w:t xml:space="preserve"> </w:t>
      </w:r>
      <w:hyperlink r:id="rId51">
        <w:r>
          <w:rPr>
            <w:rStyle w:val="Hyperlink"/>
          </w:rPr>
          <w:t xml:space="preserve">https://bit.ly/39XSDUu</w:t>
        </w:r>
      </w:hyperlink>
    </w:p>
    <w:p>
      <w:pPr>
        <w:pStyle w:val="BodyText"/>
      </w:pPr>
      <w:bookmarkStart w:id="52" w:name="ref-ema_astrazenecas_2021"/>
      <w:bookmarkEnd w:id="52"/>
    </w:p>
    <w:p>
      <w:pPr>
        <w:pStyle w:val="BodyText"/>
      </w:pPr>
      <w:r>
        <w:t xml:space="preserve">8.</w:t>
      </w:r>
    </w:p>
    <w:p>
      <w:pPr>
        <w:pStyle w:val="BodyText"/>
      </w:pPr>
      <w:r>
        <w:t xml:space="preserve">EMA.</w:t>
      </w:r>
      <w:r>
        <w:t xml:space="preserve"> </w:t>
      </w:r>
      <w:r>
        <w:t xml:space="preserve">AstraZeneca</w:t>
      </w:r>
      <w:r>
        <w:t xml:space="preserve">’s</w:t>
      </w:r>
      <w:r>
        <w:t xml:space="preserve"> </w:t>
      </w:r>
      <w:r>
        <w:t xml:space="preserve">COVID</w:t>
      </w:r>
      <w:r>
        <w:t xml:space="preserve">-19 vaccine:</w:t>
      </w:r>
      <w:r>
        <w:t xml:space="preserve"> </w:t>
      </w:r>
      <w:r>
        <w:t xml:space="preserve">EMA</w:t>
      </w:r>
      <w:r>
        <w:t xml:space="preserve"> </w:t>
      </w:r>
      <w:r>
        <w:t xml:space="preserve">finds</w:t>
      </w:r>
      <w:r>
        <w:t xml:space="preserve"> </w:t>
      </w:r>
      <w:r>
        <w:t xml:space="preserve">possible link to very rare cases of unusual blood clots with low</w:t>
      </w:r>
      <w:r>
        <w:t xml:space="preserve"> </w:t>
      </w:r>
      <w:r>
        <w:t xml:space="preserve">platelets</w:t>
      </w:r>
      <w:r>
        <w:t xml:space="preserve"> </w:t>
      </w:r>
      <w:r>
        <w:t xml:space="preserve">[</w:t>
      </w:r>
      <w:r>
        <w:t xml:space="preserve">Internet</w:t>
      </w:r>
      <w:r>
        <w:t xml:space="preserve">]</w:t>
      </w:r>
      <w:r>
        <w:t xml:space="preserve">. European Medicines Agency. 2021</w:t>
      </w:r>
      <w:r>
        <w:t xml:space="preserve"> </w:t>
      </w:r>
      <w:r>
        <w:t xml:space="preserve">[</w:t>
      </w:r>
      <w:r>
        <w:t xml:space="preserve">cited 2021</w:t>
      </w:r>
      <w:r>
        <w:t xml:space="preserve"> </w:t>
      </w:r>
      <w:r>
        <w:t xml:space="preserve">Apr 8</w:t>
      </w:r>
      <w:r>
        <w:t xml:space="preserve">]</w:t>
      </w:r>
      <w:r>
        <w:t xml:space="preserve">. Available from:</w:t>
      </w:r>
      <w:r>
        <w:t xml:space="preserve"> </w:t>
      </w:r>
      <w:hyperlink r:id="rId53">
        <w:r>
          <w:rPr>
            <w:rStyle w:val="Hyperlink"/>
          </w:rPr>
          <w:t xml:space="preserve">https://bit.ly/3s3ikJu</w:t>
        </w:r>
      </w:hyperlink>
    </w:p>
    <w:p>
      <w:pPr>
        <w:pStyle w:val="BodyText"/>
      </w:pPr>
      <w:bookmarkStart w:id="54" w:name="ref-government_of_canada_vaccines_2021"/>
      <w:bookmarkEnd w:id="54"/>
    </w:p>
    <w:p>
      <w:pPr>
        <w:pStyle w:val="BodyText"/>
      </w:pPr>
      <w:r>
        <w:t xml:space="preserve">9.</w:t>
      </w:r>
    </w:p>
    <w:p>
      <w:pPr>
        <w:pStyle w:val="BodyText"/>
      </w:pPr>
      <w:r>
        <w:t xml:space="preserve">Government of Canada. Vaccines for</w:t>
      </w:r>
      <w:r>
        <w:t xml:space="preserve"> </w:t>
      </w:r>
      <w:r>
        <w:t xml:space="preserve">COVID</w:t>
      </w:r>
      <w:r>
        <w:t xml:space="preserve">-19:</w:t>
      </w:r>
      <w:r>
        <w:t xml:space="preserve"> </w:t>
      </w:r>
      <w:r>
        <w:t xml:space="preserve">Shipments</w:t>
      </w:r>
      <w:r>
        <w:t xml:space="preserve"> </w:t>
      </w:r>
      <w:r>
        <w:t xml:space="preserve">and deliveries</w:t>
      </w:r>
      <w:r>
        <w:t xml:space="preserve"> </w:t>
      </w:r>
      <w:r>
        <w:t xml:space="preserve">[</w:t>
      </w:r>
      <w:r>
        <w:t xml:space="preserve">Internet</w:t>
      </w:r>
      <w:r>
        <w:t xml:space="preserve">]</w:t>
      </w:r>
      <w:r>
        <w:t xml:space="preserve">. Government of Canada; 2021</w:t>
      </w:r>
      <w:r>
        <w:t xml:space="preserve"> </w:t>
      </w:r>
      <w:r>
        <w:t xml:space="preserve">Apr</w:t>
      </w:r>
      <w:r>
        <w:t xml:space="preserve"> </w:t>
      </w:r>
      <w:r>
        <w:t xml:space="preserve">[</w:t>
      </w:r>
      <w:r>
        <w:t xml:space="preserve">cited 2021 Apr 3</w:t>
      </w:r>
      <w:r>
        <w:t xml:space="preserve">]</w:t>
      </w:r>
      <w:r>
        <w:t xml:space="preserve">. Available from:</w:t>
      </w:r>
      <w:r>
        <w:t xml:space="preserve"> </w:t>
      </w:r>
      <w:hyperlink r:id="rId55">
        <w:r>
          <w:rPr>
            <w:rStyle w:val="Hyperlink"/>
          </w:rPr>
          <w:t xml:space="preserve">https://www.canada.ca/en/public-health/services/diseases/2019-novel-coronavirus-infection/prevention-risks/covid-19-vaccine-treatment/vaccine-rollout.html#a4e</w:t>
        </w:r>
      </w:hyperlink>
    </w:p>
    <w:p>
      <w:pPr>
        <w:pStyle w:val="BodyText"/>
      </w:pPr>
      <w:bookmarkStart w:id="56" w:name="ref-mulberry_vaccine_2021"/>
      <w:bookmarkEnd w:id="56"/>
    </w:p>
    <w:p>
      <w:pPr>
        <w:pStyle w:val="BodyText"/>
      </w:pPr>
      <w:r>
        <w:t xml:space="preserve">10.</w:t>
      </w:r>
    </w:p>
    <w:p>
      <w:pPr>
        <w:pStyle w:val="BodyText"/>
      </w:pPr>
      <w:r>
        <w:t xml:space="preserve">Mulberry N, Tupper P, Kirwin E, McCabe C, Colijn C.</w:t>
      </w:r>
      <w:r>
        <w:t xml:space="preserve"> </w:t>
      </w:r>
      <w:r>
        <w:t xml:space="preserve">Vaccine</w:t>
      </w:r>
      <w:r>
        <w:t xml:space="preserve"> </w:t>
      </w:r>
      <w:r>
        <w:t xml:space="preserve">Rollout</w:t>
      </w:r>
      <w:r>
        <w:t xml:space="preserve"> </w:t>
      </w:r>
      <w:r>
        <w:t xml:space="preserve">Strategies</w:t>
      </w:r>
      <w:r>
        <w:t xml:space="preserve">:</w:t>
      </w:r>
      <w:r>
        <w:t xml:space="preserve"> </w:t>
      </w:r>
      <w:r>
        <w:t xml:space="preserve">The</w:t>
      </w:r>
      <w:r>
        <w:t xml:space="preserve"> </w:t>
      </w:r>
      <w:r>
        <w:t xml:space="preserve">Case</w:t>
      </w:r>
      <w:r>
        <w:t xml:space="preserve"> </w:t>
      </w:r>
      <w:r>
        <w:t xml:space="preserve">for</w:t>
      </w:r>
      <w:r>
        <w:t xml:space="preserve"> </w:t>
      </w:r>
      <w:r>
        <w:t xml:space="preserve">Vaccinating</w:t>
      </w:r>
      <w:r>
        <w:t xml:space="preserve"> </w:t>
      </w:r>
      <w:r>
        <w:t xml:space="preserve">Essential</w:t>
      </w:r>
      <w:r>
        <w:t xml:space="preserve"> </w:t>
      </w:r>
      <w:r>
        <w:t xml:space="preserve">Workers</w:t>
      </w:r>
      <w:r>
        <w:t xml:space="preserve"> </w:t>
      </w:r>
      <w:r>
        <w:t xml:space="preserve">Early</w:t>
      </w:r>
      <w:r>
        <w:t xml:space="preserve">. medRxiv</w:t>
      </w:r>
      <w:r>
        <w:t xml:space="preserve"> </w:t>
      </w:r>
      <w:r>
        <w:t xml:space="preserve">[</w:t>
      </w:r>
      <w:r>
        <w:t xml:space="preserve">Internet</w:t>
      </w:r>
      <w:r>
        <w:t xml:space="preserve">]</w:t>
      </w:r>
      <w:r>
        <w:t xml:space="preserve">. 2021 Feb</w:t>
      </w:r>
      <w:r>
        <w:t xml:space="preserve"> </w:t>
      </w:r>
      <w:r>
        <w:t xml:space="preserve">[</w:t>
      </w:r>
      <w:r>
        <w:t xml:space="preserve">cited</w:t>
      </w:r>
      <w:r>
        <w:t xml:space="preserve"> </w:t>
      </w:r>
      <w:r>
        <w:t xml:space="preserve">2021 Apr 3</w:t>
      </w:r>
      <w:r>
        <w:t xml:space="preserve">]</w:t>
      </w:r>
      <w:r>
        <w:t xml:space="preserve">;2021.02.23.21252309. Available from:</w:t>
      </w:r>
      <w:r>
        <w:t xml:space="preserve"> </w:t>
      </w:r>
      <w:hyperlink r:id="rId57">
        <w:r>
          <w:rPr>
            <w:rStyle w:val="Hyperlink"/>
          </w:rPr>
          <w:t xml:space="preserve">https://www.medrxiv.org/content/10.1101/2021.02.23.21252309v1</w:t>
        </w:r>
      </w:hyperlink>
    </w:p>
    <w:p>
      <w:pPr>
        <w:pStyle w:val="BodyText"/>
      </w:pPr>
      <w:bookmarkStart w:id="58" w:name="ref-bubar_model-informed_2021"/>
      <w:bookmarkEnd w:id="58"/>
    </w:p>
    <w:p>
      <w:pPr>
        <w:pStyle w:val="BodyText"/>
      </w:pPr>
      <w:r>
        <w:t xml:space="preserve">11.</w:t>
      </w:r>
    </w:p>
    <w:p>
      <w:pPr>
        <w:pStyle w:val="BodyText"/>
      </w:pPr>
      <w:r>
        <w:t xml:space="preserve">Bubar KM, Reinholt K, Kissler SM, Lipsitch M, Cobey S,</w:t>
      </w:r>
      <w:r>
        <w:t xml:space="preserve"> </w:t>
      </w:r>
      <w:r>
        <w:t xml:space="preserve">Grad YH, et al. Model-informed</w:t>
      </w:r>
      <w:r>
        <w:t xml:space="preserve"> </w:t>
      </w:r>
      <w:r>
        <w:t xml:space="preserve">COVID</w:t>
      </w:r>
      <w:r>
        <w:t xml:space="preserve">-19 vaccine prioritization</w:t>
      </w:r>
      <w:r>
        <w:t xml:space="preserve"> </w:t>
      </w:r>
      <w:r>
        <w:t xml:space="preserve">strategies by age and serostatus. Science (New York, NY). 2021</w:t>
      </w:r>
      <w:r>
        <w:t xml:space="preserve"> </w:t>
      </w:r>
      <w:r>
        <w:t xml:space="preserve">Feb;371(6532):916–21.</w:t>
      </w:r>
    </w:p>
    <w:p>
      <w:pPr>
        <w:pStyle w:val="BodyText"/>
      </w:pPr>
      <w:bookmarkStart w:id="59" w:name="ref-bccdc_british_2021"/>
      <w:bookmarkEnd w:id="59"/>
    </w:p>
    <w:p>
      <w:pPr>
        <w:pStyle w:val="BodyText"/>
      </w:pPr>
      <w:r>
        <w:t xml:space="preserve">12.</w:t>
      </w:r>
    </w:p>
    <w:p>
      <w:pPr>
        <w:pStyle w:val="BodyText"/>
      </w:pPr>
      <w:r>
        <w:t xml:space="preserve">BCCDC. British</w:t>
      </w:r>
      <w:r>
        <w:t xml:space="preserve"> </w:t>
      </w:r>
      <w:r>
        <w:t xml:space="preserve">Columbia</w:t>
      </w:r>
      <w:r>
        <w:t xml:space="preserve"> </w:t>
      </w:r>
      <w:r>
        <w:t xml:space="preserve">(</w:t>
      </w:r>
      <w:r>
        <w:t xml:space="preserve">BC</w:t>
      </w:r>
      <w:r>
        <w:t xml:space="preserve">)</w:t>
      </w:r>
      <w:r>
        <w:t xml:space="preserve"> </w:t>
      </w:r>
      <w:r>
        <w:t xml:space="preserve">COVID</w:t>
      </w:r>
      <w:r>
        <w:t xml:space="preserve">-19</w:t>
      </w:r>
      <w:r>
        <w:t xml:space="preserve"> </w:t>
      </w:r>
      <w:r>
        <w:t xml:space="preserve">Situation</w:t>
      </w:r>
      <w:r>
        <w:t xml:space="preserve"> </w:t>
      </w:r>
      <w:r>
        <w:t xml:space="preserve">Report</w:t>
      </w:r>
      <w:r>
        <w:t xml:space="preserve">.</w:t>
      </w:r>
      <w:r>
        <w:t xml:space="preserve"> </w:t>
      </w:r>
      <w:r>
        <w:t xml:space="preserve">Week</w:t>
      </w:r>
      <w:r>
        <w:t xml:space="preserve"> </w:t>
      </w:r>
      <w:r>
        <w:t xml:space="preserve">12:</w:t>
      </w:r>
      <w:r>
        <w:t xml:space="preserve"> </w:t>
      </w:r>
      <w:r>
        <w:t xml:space="preserve">March</w:t>
      </w:r>
      <w:r>
        <w:t xml:space="preserve"> </w:t>
      </w:r>
      <w:r>
        <w:t xml:space="preserve">21–</w:t>
      </w:r>
      <w:r>
        <w:t xml:space="preserve">March</w:t>
      </w:r>
      <w:r>
        <w:t xml:space="preserve"> </w:t>
      </w:r>
      <w:r>
        <w:t xml:space="preserve">27, 2021</w:t>
      </w:r>
      <w:r>
        <w:t xml:space="preserve"> </w:t>
      </w:r>
      <w:r>
        <w:t xml:space="preserve">[</w:t>
      </w:r>
      <w:r>
        <w:t xml:space="preserve">Internet</w:t>
      </w:r>
      <w:r>
        <w:t xml:space="preserve">]</w:t>
      </w:r>
      <w:r>
        <w:t xml:space="preserve">. 2021</w:t>
      </w:r>
      <w:r>
        <w:t xml:space="preserve"> </w:t>
      </w:r>
      <w:r>
        <w:t xml:space="preserve">Apr</w:t>
      </w:r>
      <w:r>
        <w:t xml:space="preserve"> </w:t>
      </w:r>
      <w:r>
        <w:t xml:space="preserve">[</w:t>
      </w:r>
      <w:r>
        <w:t xml:space="preserve">cited 2021 Apr 10</w:t>
      </w:r>
      <w:r>
        <w:t xml:space="preserve">]</w:t>
      </w:r>
      <w:r>
        <w:t xml:space="preserve">. Available from:</w:t>
      </w:r>
      <w:r>
        <w:t xml:space="preserve"> </w:t>
      </w:r>
      <w:hyperlink r:id="rId60">
        <w:r>
          <w:rPr>
            <w:rStyle w:val="Hyperlink"/>
          </w:rPr>
          <w:t xml:space="preserve">http://www.bccdc.ca/Health-Info-Site/Documents/COVID_sitrep/Week_12_2021_BC_COVID-19_Situation_Report.pdf</w:t>
        </w:r>
      </w:hyperlink>
    </w:p>
    <w:p>
      <w:pPr>
        <w:pStyle w:val="BodyText"/>
      </w:pPr>
      <w:bookmarkStart w:id="61" w:name="ref-statistics_canada_preliminary_2021"/>
      <w:bookmarkEnd w:id="61"/>
    </w:p>
    <w:p>
      <w:pPr>
        <w:pStyle w:val="BodyText"/>
      </w:pPr>
      <w:r>
        <w:t xml:space="preserve">13.</w:t>
      </w:r>
    </w:p>
    <w:p>
      <w:pPr>
        <w:pStyle w:val="BodyText"/>
      </w:pPr>
      <w:r>
        <w:t xml:space="preserve">Statistics Canada. Preliminary dataset on confirmed</w:t>
      </w:r>
      <w:r>
        <w:t xml:space="preserve"> </w:t>
      </w:r>
      <w:r>
        <w:t xml:space="preserve">cases of</w:t>
      </w:r>
      <w:r>
        <w:t xml:space="preserve"> </w:t>
      </w:r>
      <w:r>
        <w:t xml:space="preserve">COVID</w:t>
      </w:r>
      <w:r>
        <w:t xml:space="preserve">-19,</w:t>
      </w:r>
      <w:r>
        <w:t xml:space="preserve"> </w:t>
      </w:r>
      <w:r>
        <w:t xml:space="preserve">Public</w:t>
      </w:r>
      <w:r>
        <w:t xml:space="preserve"> </w:t>
      </w:r>
      <w:r>
        <w:t xml:space="preserve">Health</w:t>
      </w:r>
      <w:r>
        <w:t xml:space="preserve"> </w:t>
      </w:r>
      <w:r>
        <w:t xml:space="preserve">Agency</w:t>
      </w:r>
      <w:r>
        <w:t xml:space="preserve"> </w:t>
      </w:r>
      <w:r>
        <w:t xml:space="preserve">of</w:t>
      </w:r>
      <w:r>
        <w:t xml:space="preserve"> </w:t>
      </w:r>
      <w:r>
        <w:t xml:space="preserve">Canada</w:t>
      </w:r>
      <w:r>
        <w:t xml:space="preserve"> </w:t>
      </w:r>
      <w:r>
        <w:t xml:space="preserve">Tables</w:t>
      </w:r>
      <w:r>
        <w:t xml:space="preserve">:</w:t>
      </w:r>
      <w:r>
        <w:t xml:space="preserve"> </w:t>
      </w:r>
      <w:r>
        <w:t xml:space="preserve">13-26-0003</w:t>
      </w:r>
      <w:r>
        <w:t xml:space="preserve"> </w:t>
      </w:r>
      <w:r>
        <w:t xml:space="preserve">[</w:t>
      </w:r>
      <w:r>
        <w:t xml:space="preserve">Internet</w:t>
      </w:r>
      <w:r>
        <w:t xml:space="preserve">]</w:t>
      </w:r>
      <w:r>
        <w:t xml:space="preserve">. 2021</w:t>
      </w:r>
      <w:r>
        <w:t xml:space="preserve"> </w:t>
      </w:r>
      <w:r>
        <w:t xml:space="preserve">[</w:t>
      </w:r>
      <w:r>
        <w:t xml:space="preserve">cited 2021 Apr 10</w:t>
      </w:r>
      <w:r>
        <w:t xml:space="preserve">]</w:t>
      </w:r>
      <w:r>
        <w:t xml:space="preserve">. Available from:</w:t>
      </w:r>
      <w:r>
        <w:t xml:space="preserve"> </w:t>
      </w:r>
      <w:hyperlink r:id="rId62">
        <w:r>
          <w:rPr>
            <w:rStyle w:val="Hyperlink"/>
          </w:rPr>
          <w:t xml:space="preserve">https://www150.statcan.gc.ca/n1/en/catalogue/13260003</w:t>
        </w:r>
      </w:hyperlink>
    </w:p>
    <w:p>
      <w:pPr>
        <w:pStyle w:val="BodyText"/>
      </w:pPr>
      <w:bookmarkStart w:id="63" w:name="ref-sudre_attributes_2021"/>
      <w:bookmarkEnd w:id="63"/>
    </w:p>
    <w:p>
      <w:pPr>
        <w:pStyle w:val="BodyText"/>
      </w:pPr>
      <w:r>
        <w:t xml:space="preserve">14.</w:t>
      </w:r>
    </w:p>
    <w:p>
      <w:pPr>
        <w:pStyle w:val="BodyText"/>
      </w:pPr>
      <w:r>
        <w:t xml:space="preserve">Sudre CH, Murray B, Varsavsky T, Graham MS, Penfold RS,</w:t>
      </w:r>
      <w:r>
        <w:t xml:space="preserve"> </w:t>
      </w:r>
      <w:r>
        <w:t xml:space="preserve">Bowyer RC, et al. Attributes and predictors of long</w:t>
      </w:r>
      <w:r>
        <w:t xml:space="preserve"> </w:t>
      </w:r>
      <w:r>
        <w:t xml:space="preserve">COVID</w:t>
      </w:r>
      <w:r>
        <w:t xml:space="preserve">. Nature</w:t>
      </w:r>
      <w:r>
        <w:t xml:space="preserve"> </w:t>
      </w:r>
      <w:r>
        <w:t xml:space="preserve">Medicine. 2021 Mar;</w:t>
      </w:r>
    </w:p>
    <w:p>
      <w:pPr>
        <w:pStyle w:val="BodyText"/>
      </w:pPr>
      <w:bookmarkStart w:id="64" w:name="ref-statistics_canada_census_2017"/>
      <w:bookmarkEnd w:id="64"/>
    </w:p>
    <w:p>
      <w:pPr>
        <w:pStyle w:val="BodyText"/>
      </w:pPr>
      <w:r>
        <w:t xml:space="preserve">15.</w:t>
      </w:r>
    </w:p>
    <w:p>
      <w:pPr>
        <w:pStyle w:val="BodyText"/>
      </w:pPr>
      <w:r>
        <w:t xml:space="preserve">Statistics Canada. Census</w:t>
      </w:r>
      <w:r>
        <w:t xml:space="preserve"> </w:t>
      </w:r>
      <w:r>
        <w:t xml:space="preserve">Profile</w:t>
      </w:r>
      <w:r>
        <w:t xml:space="preserve">, 2016</w:t>
      </w:r>
      <w:r>
        <w:t xml:space="preserve"> </w:t>
      </w:r>
      <w:r>
        <w:t xml:space="preserve">Census</w:t>
      </w:r>
      <w:r>
        <w:t xml:space="preserve"> </w:t>
      </w:r>
      <w:r>
        <w:t xml:space="preserve">-</w:t>
      </w:r>
      <w:r>
        <w:t xml:space="preserve"> </w:t>
      </w:r>
      <w:r>
        <w:t xml:space="preserve">British</w:t>
      </w:r>
      <w:r>
        <w:t xml:space="preserve"> </w:t>
      </w:r>
      <w:r>
        <w:t xml:space="preserve">Columbia</w:t>
      </w:r>
      <w:r>
        <w:t xml:space="preserve"> </w:t>
      </w:r>
      <w:r>
        <w:t xml:space="preserve">[</w:t>
      </w:r>
      <w:r>
        <w:t xml:space="preserve">Province</w:t>
      </w:r>
      <w:r>
        <w:t xml:space="preserve">]</w:t>
      </w:r>
      <w:r>
        <w:t xml:space="preserve"> </w:t>
      </w:r>
      <w:r>
        <w:t xml:space="preserve">and</w:t>
      </w:r>
      <w:r>
        <w:t xml:space="preserve"> </w:t>
      </w:r>
      <w:r>
        <w:t xml:space="preserve">Canada</w:t>
      </w:r>
      <w:r>
        <w:t xml:space="preserve"> </w:t>
      </w:r>
      <w:r>
        <w:t xml:space="preserve">[</w:t>
      </w:r>
      <w:r>
        <w:t xml:space="preserve">Country</w:t>
      </w:r>
      <w:r>
        <w:t xml:space="preserve">]</w:t>
      </w:r>
      <w:r>
        <w:t xml:space="preserve"> </w:t>
      </w:r>
      <w:r>
        <w:t xml:space="preserve">[</w:t>
      </w:r>
      <w:r>
        <w:t xml:space="preserve">Internet</w:t>
      </w:r>
      <w:r>
        <w:t xml:space="preserve">]</w:t>
      </w:r>
      <w:r>
        <w:t xml:space="preserve">. 2017</w:t>
      </w:r>
      <w:r>
        <w:t xml:space="preserve"> </w:t>
      </w:r>
      <w:r>
        <w:t xml:space="preserve">[</w:t>
      </w:r>
      <w:r>
        <w:t xml:space="preserve">cited 2021 Apr 9</w:t>
      </w:r>
      <w:r>
        <w:t xml:space="preserve">]</w:t>
      </w:r>
      <w:r>
        <w:t xml:space="preserve">. Available from:</w:t>
      </w:r>
      <w:r>
        <w:t xml:space="preserve"> </w:t>
      </w:r>
      <w:hyperlink r:id="rId65">
        <w:r>
          <w:rPr>
            <w:rStyle w:val="Hyperlink"/>
          </w:rPr>
          <w:t xml:space="preserve">https://www12.statcan.gc.ca/census-recensement/2016/dp-pd/prof/details/page.cfm?Lang=E&amp;Geo1=PR&amp;Code1=59&amp;Geo2=PR&amp;Code2=01&amp;SearchText=Canada&amp;SearchType=Begins&amp;SearchPR=01&amp;B1=All&amp;type=0</w:t>
        </w:r>
      </w:hyperlink>
    </w:p>
    <w:p>
      <w:pPr>
        <w:pStyle w:val="BodyText"/>
      </w:pPr>
      <w:bookmarkStart w:id="66" w:name="X641a1bc9444436dba2527a40fe12a0ec3b17a22"/>
      <w:bookmarkEnd w:id="66"/>
    </w:p>
    <w:p>
      <w:pPr>
        <w:pStyle w:val="BodyText"/>
      </w:pPr>
      <w:r>
        <w:t xml:space="preserve">16.</w:t>
      </w:r>
    </w:p>
    <w:p>
      <w:pPr>
        <w:pStyle w:val="BodyText"/>
      </w:pPr>
      <w:r>
        <w:t xml:space="preserve">Alberta Health Services.</w:t>
      </w:r>
      <w:r>
        <w:t xml:space="preserve"> </w:t>
      </w:r>
      <w:r>
        <w:t xml:space="preserve">COVID</w:t>
      </w:r>
      <w:r>
        <w:t xml:space="preserve">-19</w:t>
      </w:r>
      <w:r>
        <w:t xml:space="preserve"> </w:t>
      </w:r>
      <w:r>
        <w:t xml:space="preserve">Scientific</w:t>
      </w:r>
      <w:r>
        <w:t xml:space="preserve"> </w:t>
      </w:r>
      <w:r>
        <w:t xml:space="preserve">Advisory</w:t>
      </w:r>
      <w:r>
        <w:t xml:space="preserve"> </w:t>
      </w:r>
      <w:r>
        <w:t xml:space="preserve">Group</w:t>
      </w:r>
      <w:r>
        <w:t xml:space="preserve"> </w:t>
      </w:r>
      <w:r>
        <w:t xml:space="preserve">Rapid</w:t>
      </w:r>
      <w:r>
        <w:t xml:space="preserve"> </w:t>
      </w:r>
      <w:r>
        <w:t xml:space="preserve">Evidence</w:t>
      </w:r>
      <w:r>
        <w:t xml:space="preserve"> </w:t>
      </w:r>
      <w:r>
        <w:t xml:space="preserve">Brief</w:t>
      </w:r>
      <w:r>
        <w:t xml:space="preserve">:</w:t>
      </w:r>
      <w:r>
        <w:t xml:space="preserve"> </w:t>
      </w:r>
      <w:r>
        <w:t xml:space="preserve">Evidence</w:t>
      </w:r>
      <w:r>
        <w:t xml:space="preserve"> </w:t>
      </w:r>
      <w:r>
        <w:t xml:space="preserve">for screening</w:t>
      </w:r>
      <w:r>
        <w:t xml:space="preserve"> </w:t>
      </w:r>
      <w:r>
        <w:t xml:space="preserve">and preventing venous thromboembolic events in patients with</w:t>
      </w:r>
      <w:r>
        <w:t xml:space="preserve"> </w:t>
      </w:r>
      <w:r>
        <w:t xml:space="preserve">COVID</w:t>
      </w:r>
      <w:r>
        <w:t xml:space="preserve">-19</w:t>
      </w:r>
      <w:r>
        <w:t xml:space="preserve"> </w:t>
      </w:r>
      <w:r>
        <w:t xml:space="preserve">[</w:t>
      </w:r>
      <w:r>
        <w:t xml:space="preserve">Internet</w:t>
      </w:r>
      <w:r>
        <w:t xml:space="preserve">]</w:t>
      </w:r>
      <w:r>
        <w:t xml:space="preserve">. 2021 Feb</w:t>
      </w:r>
      <w:r>
        <w:t xml:space="preserve"> </w:t>
      </w:r>
      <w:r>
        <w:t xml:space="preserve">[</w:t>
      </w:r>
      <w:r>
        <w:t xml:space="preserve">cited 2021 Apr 11</w:t>
      </w:r>
      <w:r>
        <w:t xml:space="preserve">]</w:t>
      </w:r>
      <w:r>
        <w:t xml:space="preserve">. Available from:</w:t>
      </w:r>
      <w:r>
        <w:t xml:space="preserve"> </w:t>
      </w:r>
      <w:hyperlink r:id="rId67">
        <w:r>
          <w:rPr>
            <w:rStyle w:val="Hyperlink"/>
          </w:rPr>
          <w:t xml:space="preserve">https://www.albertahealthservices.ca/assets/info/ppih/if-ppih-covid-19-sag-rapid-brief-screening-and-preventing-venous-thromboembolic-events.pdf</w:t>
        </w:r>
      </w:hyperlink>
    </w:p>
    <w:p>
      <w:pPr>
        <w:pStyle w:val="BodyText"/>
      </w:pPr>
      <w:bookmarkStart w:id="68" w:name="ref-govuk_official_2021"/>
      <w:bookmarkEnd w:id="68"/>
    </w:p>
    <w:p>
      <w:pPr>
        <w:pStyle w:val="BodyText"/>
      </w:pPr>
      <w:r>
        <w:t xml:space="preserve">17.</w:t>
      </w:r>
    </w:p>
    <w:p>
      <w:pPr>
        <w:pStyle w:val="BodyText"/>
      </w:pPr>
      <w:r>
        <w:t xml:space="preserve">GOV.uk. Official</w:t>
      </w:r>
      <w:r>
        <w:t xml:space="preserve"> </w:t>
      </w:r>
      <w:r>
        <w:t xml:space="preserve">UK</w:t>
      </w:r>
      <w:r>
        <w:t xml:space="preserve"> </w:t>
      </w:r>
      <w:r>
        <w:t xml:space="preserve">Coronavirus</w:t>
      </w:r>
      <w:r>
        <w:t xml:space="preserve"> </w:t>
      </w:r>
      <w:r>
        <w:t xml:space="preserve">Dashboard</w:t>
      </w:r>
      <w:r>
        <w:t xml:space="preserve"> </w:t>
      </w:r>
      <w:r>
        <w:t xml:space="preserve">[</w:t>
      </w:r>
      <w:r>
        <w:t xml:space="preserve">Internet</w:t>
      </w:r>
      <w:r>
        <w:t xml:space="preserve">]</w:t>
      </w:r>
      <w:r>
        <w:t xml:space="preserve">. 2021</w:t>
      </w:r>
      <w:r>
        <w:t xml:space="preserve"> </w:t>
      </w:r>
      <w:r>
        <w:t xml:space="preserve">[</w:t>
      </w:r>
      <w:r>
        <w:t xml:space="preserve">cited 2021 Apr 14</w:t>
      </w:r>
      <w:r>
        <w:t xml:space="preserve">]</w:t>
      </w:r>
      <w:r>
        <w:t xml:space="preserve">. Available from:</w:t>
      </w:r>
      <w:r>
        <w:t xml:space="preserve"> </w:t>
      </w:r>
      <w:hyperlink r:id="rId69">
        <w:r>
          <w:rPr>
            <w:rStyle w:val="Hyperlink"/>
          </w:rPr>
          <w:t xml:space="preserve">https://coronavirus.data.gov.uk</w:t>
        </w:r>
      </w:hyperlink>
    </w:p>
    <w:p>
      <w:pPr>
        <w:pStyle w:val="BodyText"/>
      </w:pPr>
      <w:bookmarkStart w:id="70" w:name="ref-shah_effect_2021"/>
      <w:bookmarkEnd w:id="70"/>
    </w:p>
    <w:p>
      <w:pPr>
        <w:pStyle w:val="BodyText"/>
      </w:pPr>
      <w:r>
        <w:t xml:space="preserve">18.</w:t>
      </w:r>
    </w:p>
    <w:p>
      <w:pPr>
        <w:pStyle w:val="BodyText"/>
      </w:pPr>
      <w:r>
        <w:t xml:space="preserve">Shah ASV, Gribben C, Bishop J, Hanlon P, Caldwell D,</w:t>
      </w:r>
      <w:r>
        <w:t xml:space="preserve"> </w:t>
      </w:r>
      <w:r>
        <w:t xml:space="preserve">Wood R, et al. Effect of vaccination on transmission of</w:t>
      </w:r>
      <w:r>
        <w:t xml:space="preserve"> </w:t>
      </w:r>
      <w:r>
        <w:t xml:space="preserve">COVID</w:t>
      </w:r>
      <w:r>
        <w:t xml:space="preserve">-19: An</w:t>
      </w:r>
      <w:r>
        <w:t xml:space="preserve"> </w:t>
      </w:r>
      <w:r>
        <w:t xml:space="preserve">observational study in healthcare workers and their households. medRxiv</w:t>
      </w:r>
      <w:r>
        <w:t xml:space="preserve"> </w:t>
      </w:r>
      <w:r>
        <w:t xml:space="preserve">[</w:t>
      </w:r>
      <w:r>
        <w:t xml:space="preserve">Internet</w:t>
      </w:r>
      <w:r>
        <w:t xml:space="preserve">]</w:t>
      </w:r>
      <w:r>
        <w:t xml:space="preserve">. 2021 Mar</w:t>
      </w:r>
      <w:r>
        <w:t xml:space="preserve"> </w:t>
      </w:r>
      <w:r>
        <w:t xml:space="preserve">[</w:t>
      </w:r>
      <w:r>
        <w:t xml:space="preserve">cited 2021 Apr 14</w:t>
      </w:r>
      <w:r>
        <w:t xml:space="preserve">]</w:t>
      </w:r>
      <w:r>
        <w:t xml:space="preserve">;2021.03.11.21253275.</w:t>
      </w:r>
      <w:r>
        <w:t xml:space="preserve"> </w:t>
      </w:r>
      <w:r>
        <w:t xml:space="preserve">Available from:</w:t>
      </w:r>
      <w:r>
        <w:t xml:space="preserve"> </w:t>
      </w:r>
      <w:hyperlink r:id="rId71">
        <w:r>
          <w:rPr>
            <w:rStyle w:val="Hyperlink"/>
          </w:rPr>
          <w:t xml:space="preserve">https://www.medrxiv.org/content/10.1101/2021.03.11.21253275v1</w:t>
        </w:r>
      </w:hyperlink>
    </w:p>
    <w:p>
      <w:pPr>
        <w:pStyle w:val="BodyText"/>
      </w:pPr>
      <w:bookmarkStart w:id="72" w:name="ref-bbc_lockdown_2021"/>
      <w:bookmarkEnd w:id="72"/>
    </w:p>
    <w:p>
      <w:pPr>
        <w:pStyle w:val="BodyText"/>
      </w:pPr>
      <w:r>
        <w:t xml:space="preserve">19.</w:t>
      </w:r>
    </w:p>
    <w:p>
      <w:pPr>
        <w:pStyle w:val="BodyText"/>
      </w:pPr>
      <w:r>
        <w:t xml:space="preserve">BBC. Lockdown:</w:t>
      </w:r>
      <w:r>
        <w:t xml:space="preserve"> </w:t>
      </w:r>
      <w:r>
        <w:t xml:space="preserve">Boris</w:t>
      </w:r>
      <w:r>
        <w:t xml:space="preserve"> </w:t>
      </w:r>
      <w:r>
        <w:t xml:space="preserve">Johnson</w:t>
      </w:r>
      <w:r>
        <w:t xml:space="preserve"> </w:t>
      </w:r>
      <w:r>
        <w:t xml:space="preserve">unveils plan to end</w:t>
      </w:r>
      <w:r>
        <w:t xml:space="preserve"> </w:t>
      </w:r>
      <w:r>
        <w:t xml:space="preserve">England</w:t>
      </w:r>
      <w:r>
        <w:t xml:space="preserve"> </w:t>
      </w:r>
      <w:r>
        <w:t xml:space="preserve">restrictions by 21</w:t>
      </w:r>
      <w:r>
        <w:t xml:space="preserve"> </w:t>
      </w:r>
      <w:r>
        <w:t xml:space="preserve">June</w:t>
      </w:r>
      <w:r>
        <w:t xml:space="preserve">. 2021 Feb</w:t>
      </w:r>
      <w:r>
        <w:t xml:space="preserve"> </w:t>
      </w:r>
      <w:r>
        <w:t xml:space="preserve">[</w:t>
      </w:r>
      <w:r>
        <w:t xml:space="preserve">cited 2021 Apr 4</w:t>
      </w:r>
      <w:r>
        <w:t xml:space="preserve">]</w:t>
      </w:r>
      <w:r>
        <w:t xml:space="preserve">;</w:t>
      </w:r>
      <w:r>
        <w:t xml:space="preserve"> </w:t>
      </w:r>
      <w:r>
        <w:t xml:space="preserve">Available from:</w:t>
      </w:r>
      <w:r>
        <w:t xml:space="preserve"> </w:t>
      </w:r>
      <w:hyperlink r:id="rId73">
        <w:r>
          <w:rPr>
            <w:rStyle w:val="Hyperlink"/>
          </w:rPr>
          <w:t xml:space="preserve">https://www.bbc.com/news/uk-56158405</w:t>
        </w:r>
      </w:hyperlink>
    </w:p>
    <w:p>
      <w:pPr>
        <w:pStyle w:val="BodyText"/>
      </w:pPr>
      <w:bookmarkStart w:id="74" w:name="ref-public_health_england_impact_2021"/>
      <w:bookmarkEnd w:id="74"/>
    </w:p>
    <w:p>
      <w:pPr>
        <w:pStyle w:val="BodyText"/>
      </w:pPr>
      <w:r>
        <w:t xml:space="preserve">20.</w:t>
      </w:r>
    </w:p>
    <w:p>
      <w:pPr>
        <w:pStyle w:val="BodyText"/>
      </w:pPr>
      <w:r>
        <w:t xml:space="preserve">Public Health England. Impact of</w:t>
      </w:r>
      <w:r>
        <w:t xml:space="preserve"> </w:t>
      </w:r>
      <w:r>
        <w:t xml:space="preserve">COVID</w:t>
      </w:r>
      <w:r>
        <w:t xml:space="preserve">-19 vaccines on</w:t>
      </w:r>
      <w:r>
        <w:t xml:space="preserve"> </w:t>
      </w:r>
      <w:r>
        <w:t xml:space="preserve">mortality in</w:t>
      </w:r>
      <w:r>
        <w:t xml:space="preserve"> </w:t>
      </w:r>
      <w:r>
        <w:t xml:space="preserve">England</w:t>
      </w:r>
      <w:r>
        <w:t xml:space="preserve"> </w:t>
      </w:r>
      <w:r>
        <w:t xml:space="preserve">[</w:t>
      </w:r>
      <w:r>
        <w:t xml:space="preserve">Internet</w:t>
      </w:r>
      <w:r>
        <w:t xml:space="preserve">]</w:t>
      </w:r>
      <w:r>
        <w:t xml:space="preserve">. Public Health England; 2021 Mar</w:t>
      </w:r>
      <w:r>
        <w:t xml:space="preserve"> </w:t>
      </w:r>
      <w:r>
        <w:t xml:space="preserve">[</w:t>
      </w:r>
      <w:r>
        <w:t xml:space="preserve">cited 2021 Apr 9</w:t>
      </w:r>
      <w:r>
        <w:t xml:space="preserve">]</w:t>
      </w:r>
      <w:r>
        <w:t xml:space="preserve">. Available from:</w:t>
      </w:r>
      <w:r>
        <w:t xml:space="preserve"> </w:t>
      </w:r>
      <w:hyperlink r:id="rId75">
        <w:r>
          <w:rPr>
            <w:rStyle w:val="Hyperlink"/>
          </w:rPr>
          <w:t xml:space="preserve">https://assets.publishing.service.gov.uk/government/uploads/system/uploads/attachment_data/file/977249/PHE_COVID-19_vaccine_impact_on_mortality_March.pdf</w:t>
        </w:r>
      </w:hyperlink>
    </w:p>
    <w:p>
      <w:pPr>
        <w:pStyle w:val="BodyText"/>
      </w:pPr>
      <w:bookmarkStart w:id="76" w:name="ref-voysey_single-dose_2021"/>
      <w:bookmarkEnd w:id="76"/>
    </w:p>
    <w:p>
      <w:pPr>
        <w:pStyle w:val="BodyText"/>
      </w:pPr>
      <w:r>
        <w:t xml:space="preserve">21.</w:t>
      </w:r>
    </w:p>
    <w:p>
      <w:pPr>
        <w:pStyle w:val="BodyText"/>
      </w:pPr>
      <w:r>
        <w:t xml:space="preserve">Voysey M, Clemens SAC, Madhi SA, Weckx LY, Folegatti PM,</w:t>
      </w:r>
      <w:r>
        <w:t xml:space="preserve"> </w:t>
      </w:r>
      <w:r>
        <w:t xml:space="preserve">Aley PK, et al. Single-dose administration and the influence of the</w:t>
      </w:r>
      <w:r>
        <w:t xml:space="preserve"> </w:t>
      </w:r>
      <w:r>
        <w:t xml:space="preserve">timing of the booster dose on immunogenicity and efficacy of</w:t>
      </w:r>
      <w:r>
        <w:t xml:space="preserve"> </w:t>
      </w:r>
      <w:r>
        <w:t xml:space="preserve">ChAdOx1</w:t>
      </w:r>
      <w:r>
        <w:t xml:space="preserve"> </w:t>
      </w:r>
      <w:r>
        <w:t xml:space="preserve">nCoV</w:t>
      </w:r>
      <w:r>
        <w:t xml:space="preserve">-19 (</w:t>
      </w:r>
      <w:r>
        <w:t xml:space="preserve">AZD1222</w:t>
      </w:r>
      <w:r>
        <w:t xml:space="preserve">) vaccine: A pooled analysis of four randomised</w:t>
      </w:r>
      <w:r>
        <w:t xml:space="preserve"> </w:t>
      </w:r>
      <w:r>
        <w:t xml:space="preserve">trials. The Lancet</w:t>
      </w:r>
      <w:r>
        <w:t xml:space="preserve"> </w:t>
      </w:r>
      <w:r>
        <w:t xml:space="preserve">[</w:t>
      </w:r>
      <w:r>
        <w:t xml:space="preserve">Internet</w:t>
      </w:r>
      <w:r>
        <w:t xml:space="preserve">]</w:t>
      </w:r>
      <w:r>
        <w:t xml:space="preserve">. 2021 Mar</w:t>
      </w:r>
      <w:r>
        <w:t xml:space="preserve"> </w:t>
      </w:r>
      <w:r>
        <w:t xml:space="preserve">[</w:t>
      </w:r>
      <w:r>
        <w:t xml:space="preserve">cited 2021 Apr</w:t>
      </w:r>
      <w:r>
        <w:t xml:space="preserve"> </w:t>
      </w:r>
      <w:r>
        <w:t xml:space="preserve">4</w:t>
      </w:r>
      <w:r>
        <w:t xml:space="preserve">]</w:t>
      </w:r>
      <w:r>
        <w:t xml:space="preserve">;397(10277):881–91. Available from:</w:t>
      </w:r>
      <w:r>
        <w:t xml:space="preserve"> </w:t>
      </w:r>
      <w:hyperlink r:id="rId77">
        <w:r>
          <w:rPr>
            <w:rStyle w:val="Hyperlink"/>
          </w:rPr>
          <w:t xml:space="preserve">https://www.thelancet.com/journals/lancet/article/PIIS0140-6736(21)00432-3/abstract</w:t>
        </w:r>
      </w:hyperlink>
    </w:p>
    <w:p>
      <w:pPr>
        <w:pStyle w:val="BodyText"/>
      </w:pPr>
      <w:bookmarkStart w:id="78" w:name="ref-public_health_england_1public_2021"/>
      <w:bookmarkEnd w:id="78"/>
    </w:p>
    <w:p>
      <w:pPr>
        <w:pStyle w:val="BodyText"/>
      </w:pPr>
      <w:r>
        <w:t xml:space="preserve">22.</w:t>
      </w:r>
    </w:p>
    <w:p>
      <w:pPr>
        <w:pStyle w:val="BodyText"/>
      </w:pPr>
      <w:r>
        <w:t xml:space="preserve">Public Health England.</w:t>
      </w:r>
      <w:r>
        <w:t xml:space="preserve"> </w:t>
      </w:r>
      <w:r>
        <w:t xml:space="preserve">1Public</w:t>
      </w:r>
      <w:r>
        <w:t xml:space="preserve"> </w:t>
      </w:r>
      <w:r>
        <w:t xml:space="preserve">Health</w:t>
      </w:r>
      <w:r>
        <w:t xml:space="preserve"> </w:t>
      </w:r>
      <w:r>
        <w:t xml:space="preserve">England</w:t>
      </w:r>
      <w:r>
        <w:t xml:space="preserve"> </w:t>
      </w:r>
      <w:r>
        <w:t xml:space="preserve">vaccine effectiveness report</w:t>
      </w:r>
      <w:r>
        <w:t xml:space="preserve"> </w:t>
      </w:r>
      <w:r>
        <w:t xml:space="preserve">[</w:t>
      </w:r>
      <w:r>
        <w:t xml:space="preserve">Internet</w:t>
      </w:r>
      <w:r>
        <w:t xml:space="preserve">]</w:t>
      </w:r>
      <w:r>
        <w:t xml:space="preserve">. 2021 Mar</w:t>
      </w:r>
      <w:r>
        <w:t xml:space="preserve"> </w:t>
      </w:r>
      <w:r>
        <w:t xml:space="preserve">[</w:t>
      </w:r>
      <w:r>
        <w:t xml:space="preserve">cited 2021 Apr</w:t>
      </w:r>
      <w:r>
        <w:t xml:space="preserve"> </w:t>
      </w:r>
      <w:r>
        <w:t xml:space="preserve">4</w:t>
      </w:r>
      <w:r>
        <w:t xml:space="preserve">]</w:t>
      </w:r>
      <w:r>
        <w:t xml:space="preserve">. Available from:</w:t>
      </w:r>
      <w:r>
        <w:t xml:space="preserve"> </w:t>
      </w:r>
      <w:hyperlink r:id="rId79">
        <w:r>
          <w:rPr>
            <w:rStyle w:val="Hyperlink"/>
          </w:rPr>
          <w:t xml:space="preserve">https://assets.publishing.service.gov.uk/government/uploads/system/uploads/attachment_data/file/971017/SP_PH__VE_report_20210317_CC_JLB.pdf</w:t>
        </w:r>
      </w:hyperlink>
    </w:p>
    <w:p>
      <w:pPr>
        <w:pStyle w:val="BodyText"/>
      </w:pPr>
      <w:bookmarkStart w:id="80" w:name="ref-chagla_characterizing_2021"/>
      <w:bookmarkEnd w:id="80"/>
    </w:p>
    <w:p>
      <w:pPr>
        <w:pStyle w:val="BodyText"/>
      </w:pPr>
      <w:r>
        <w:t xml:space="preserve">23.</w:t>
      </w:r>
    </w:p>
    <w:p>
      <w:pPr>
        <w:pStyle w:val="BodyText"/>
      </w:pPr>
      <w:r>
        <w:t xml:space="preserve">Chagla Z, Ma H, Sander B, Baral SD, Mishra S.</w:t>
      </w:r>
      <w:r>
        <w:t xml:space="preserve"> </w:t>
      </w:r>
      <w:r>
        <w:t xml:space="preserve">Characterizing the disproportionate burden of</w:t>
      </w:r>
      <w:r>
        <w:t xml:space="preserve"> </w:t>
      </w:r>
      <w:r>
        <w:t xml:space="preserve">SARS</w:t>
      </w:r>
      <w:r>
        <w:t xml:space="preserve">-</w:t>
      </w:r>
      <w:r>
        <w:t xml:space="preserve">CoV</w:t>
      </w:r>
      <w:r>
        <w:t xml:space="preserve">-2 variants of</w:t>
      </w:r>
      <w:r>
        <w:t xml:space="preserve"> </w:t>
      </w:r>
      <w:r>
        <w:t xml:space="preserve">concern among essential workers in the</w:t>
      </w:r>
      <w:r>
        <w:t xml:space="preserve"> </w:t>
      </w:r>
      <w:r>
        <w:t xml:space="preserve">Greater</w:t>
      </w:r>
      <w:r>
        <w:t xml:space="preserve"> </w:t>
      </w:r>
      <w:r>
        <w:t xml:space="preserve">Toronto</w:t>
      </w:r>
      <w:r>
        <w:t xml:space="preserve"> </w:t>
      </w:r>
      <w:r>
        <w:t xml:space="preserve">Area</w:t>
      </w:r>
      <w:r>
        <w:t xml:space="preserve">,</w:t>
      </w:r>
      <w:r>
        <w:t xml:space="preserve"> </w:t>
      </w:r>
      <w:r>
        <w:t xml:space="preserve">Canada</w:t>
      </w:r>
      <w:r>
        <w:t xml:space="preserve">. medRxiv</w:t>
      </w:r>
      <w:r>
        <w:t xml:space="preserve"> </w:t>
      </w:r>
      <w:r>
        <w:t xml:space="preserve">[</w:t>
      </w:r>
      <w:r>
        <w:t xml:space="preserve">Internet</w:t>
      </w:r>
      <w:r>
        <w:t xml:space="preserve">]</w:t>
      </w:r>
      <w:r>
        <w:t xml:space="preserve">. 2021 Mar</w:t>
      </w:r>
      <w:r>
        <w:t xml:space="preserve"> </w:t>
      </w:r>
      <w:r>
        <w:t xml:space="preserve">[</w:t>
      </w:r>
      <w:r>
        <w:t xml:space="preserve">cited 2021 Apr</w:t>
      </w:r>
      <w:r>
        <w:t xml:space="preserve"> </w:t>
      </w:r>
      <w:r>
        <w:t xml:space="preserve">4</w:t>
      </w:r>
      <w:r>
        <w:t xml:space="preserve">]</w:t>
      </w:r>
      <w:r>
        <w:t xml:space="preserve">;2021.03.22.21254127. Available from:</w:t>
      </w:r>
      <w:r>
        <w:t xml:space="preserve"> </w:t>
      </w:r>
      <w:hyperlink r:id="rId81">
        <w:r>
          <w:rPr>
            <w:rStyle w:val="Hyperlink"/>
          </w:rPr>
          <w:t xml:space="preserve">https://www.medrxiv.org/content/10.1101/2021.03.22.21254127v1</w:t>
        </w:r>
      </w:hyperlink>
    </w:p>
    <w:p>
      <w:pPr>
        <w:pStyle w:val="BodyText"/>
      </w:pPr>
      <w:bookmarkStart w:id="82" w:name="ref-rao_disproportionate_2021"/>
      <w:bookmarkEnd w:id="82"/>
    </w:p>
    <w:p>
      <w:pPr>
        <w:pStyle w:val="BodyText"/>
      </w:pPr>
      <w:r>
        <w:t xml:space="preserve">24.</w:t>
      </w:r>
    </w:p>
    <w:p>
      <w:pPr>
        <w:pStyle w:val="BodyText"/>
      </w:pPr>
      <w:r>
        <w:t xml:space="preserve">Rao A, Ma H, Moloney G, Kwong J, Juni P, Sander B, et</w:t>
      </w:r>
      <w:r>
        <w:t xml:space="preserve"> </w:t>
      </w:r>
      <w:r>
        <w:t xml:space="preserve">al. A disproportionate epidemic:</w:t>
      </w:r>
      <w:r>
        <w:t xml:space="preserve"> </w:t>
      </w:r>
      <w:r>
        <w:t xml:space="preserve">COVID</w:t>
      </w:r>
      <w:r>
        <w:t xml:space="preserve">-19 cases and deaths among</w:t>
      </w:r>
      <w:r>
        <w:t xml:space="preserve"> </w:t>
      </w:r>
      <w:r>
        <w:t xml:space="preserve">essential workers in</w:t>
      </w:r>
      <w:r>
        <w:t xml:space="preserve"> </w:t>
      </w:r>
      <w:r>
        <w:t xml:space="preserve">Toronto</w:t>
      </w:r>
      <w:r>
        <w:t xml:space="preserve">,</w:t>
      </w:r>
      <w:r>
        <w:t xml:space="preserve"> </w:t>
      </w:r>
      <w:r>
        <w:t xml:space="preserve">Canada</w:t>
      </w:r>
      <w:r>
        <w:t xml:space="preserve">. 2021.</w:t>
      </w:r>
    </w:p>
    <w:p>
      <w:pPr>
        <w:pStyle w:val="BodyText"/>
      </w:pPr>
      <w:bookmarkStart w:id="83" w:name="ref-woollard_doing_2016"/>
      <w:bookmarkEnd w:id="83"/>
    </w:p>
    <w:p>
      <w:pPr>
        <w:pStyle w:val="BodyText"/>
      </w:pPr>
      <w:r>
        <w:t xml:space="preserve">25.</w:t>
      </w:r>
    </w:p>
    <w:p>
      <w:pPr>
        <w:pStyle w:val="BodyText"/>
      </w:pPr>
      <w:r>
        <w:t xml:space="preserve">Woollard F, Howard-Snyder F. Doing vs.</w:t>
      </w:r>
      <w:r>
        <w:t xml:space="preserve"> </w:t>
      </w:r>
      <w:r>
        <w:t xml:space="preserve">Allowing</w:t>
      </w:r>
      <w:r>
        <w:t xml:space="preserve"> </w:t>
      </w:r>
      <w:r>
        <w:t xml:space="preserve">Harm</w:t>
      </w:r>
      <w:r>
        <w:t xml:space="preserve">. In: Zalta EN, editor. The</w:t>
      </w:r>
      <w:r>
        <w:t xml:space="preserve"> </w:t>
      </w:r>
      <w:r>
        <w:t xml:space="preserve">Stanford</w:t>
      </w:r>
      <w:r>
        <w:t xml:space="preserve"> </w:t>
      </w:r>
      <w:r>
        <w:t xml:space="preserve">Encyclopedia</w:t>
      </w:r>
      <w:r>
        <w:t xml:space="preserve"> </w:t>
      </w:r>
      <w:r>
        <w:t xml:space="preserve">of</w:t>
      </w:r>
      <w:r>
        <w:t xml:space="preserve"> </w:t>
      </w:r>
      <w:r>
        <w:t xml:space="preserve">Philosophy</w:t>
      </w:r>
      <w:r>
        <w:t xml:space="preserve"> </w:t>
      </w:r>
      <w:r>
        <w:t xml:space="preserve">[</w:t>
      </w:r>
      <w:r>
        <w:t xml:space="preserve">Internet</w:t>
      </w:r>
      <w:r>
        <w:t xml:space="preserve">]</w:t>
      </w:r>
      <w:r>
        <w:t xml:space="preserve">. Winter 2016. Metaphysics Research Lab,</w:t>
      </w:r>
      <w:r>
        <w:t xml:space="preserve"> </w:t>
      </w:r>
      <w:r>
        <w:t xml:space="preserve">Stanford University; 2016</w:t>
      </w:r>
      <w:r>
        <w:t xml:space="preserve"> </w:t>
      </w:r>
      <w:r>
        <w:t xml:space="preserve">[</w:t>
      </w:r>
      <w:r>
        <w:t xml:space="preserve">cited 2021 Apr 6</w:t>
      </w:r>
      <w:r>
        <w:t xml:space="preserve">]</w:t>
      </w:r>
      <w:r>
        <w:t xml:space="preserve">. Available from:</w:t>
      </w:r>
      <w:r>
        <w:t xml:space="preserve"> </w:t>
      </w:r>
      <w:hyperlink r:id="rId84">
        <w:r>
          <w:rPr>
            <w:rStyle w:val="Hyperlink"/>
          </w:rPr>
          <w:t xml:space="preserve">https://plato.stanford.edu/archives/win2016/entries/doing-allowing/</w:t>
        </w:r>
      </w:hyperlink>
    </w:p>
    <w:p>
      <w:pPr>
        <w:pStyle w:val="BodyText"/>
      </w:pPr>
      <w:bookmarkStart w:id="85" w:name="ref-bccdc_covid-19_2020"/>
      <w:bookmarkEnd w:id="85"/>
    </w:p>
    <w:p>
      <w:pPr>
        <w:pStyle w:val="BodyText"/>
      </w:pPr>
      <w:r>
        <w:t xml:space="preserve">26.</w:t>
      </w:r>
    </w:p>
    <w:p>
      <w:pPr>
        <w:pStyle w:val="BodyText"/>
      </w:pPr>
      <w:r>
        <w:t xml:space="preserve">BCCDC.</w:t>
      </w:r>
      <w:r>
        <w:t xml:space="preserve"> </w:t>
      </w:r>
      <w:r>
        <w:t xml:space="preserve">COVID</w:t>
      </w:r>
      <w:r>
        <w:t xml:space="preserve">-19</w:t>
      </w:r>
      <w:r>
        <w:t xml:space="preserve"> </w:t>
      </w:r>
      <w:r>
        <w:t xml:space="preserve">Ethical</w:t>
      </w:r>
      <w:r>
        <w:t xml:space="preserve"> </w:t>
      </w:r>
      <w:r>
        <w:t xml:space="preserve">Decision</w:t>
      </w:r>
      <w:r>
        <w:t xml:space="preserve">-</w:t>
      </w:r>
      <w:r>
        <w:t xml:space="preserve">Making</w:t>
      </w:r>
      <w:r>
        <w:t xml:space="preserve"> </w:t>
      </w:r>
      <w:r>
        <w:t xml:space="preserve">Framework</w:t>
      </w:r>
      <w:r>
        <w:t xml:space="preserve"> </w:t>
      </w:r>
      <w:r>
        <w:t xml:space="preserve">[</w:t>
      </w:r>
      <w:r>
        <w:t xml:space="preserve">Internet</w:t>
      </w:r>
      <w:r>
        <w:t xml:space="preserve">]</w:t>
      </w:r>
      <w:r>
        <w:t xml:space="preserve">. BC Ministry of Health; 2020 Mar</w:t>
      </w:r>
      <w:r>
        <w:t xml:space="preserve"> </w:t>
      </w:r>
      <w:r>
        <w:t xml:space="preserve">[</w:t>
      </w:r>
      <w:r>
        <w:t xml:space="preserve">cited</w:t>
      </w:r>
      <w:r>
        <w:t xml:space="preserve"> </w:t>
      </w:r>
      <w:r>
        <w:t xml:space="preserve">2021 Apr 9</w:t>
      </w:r>
      <w:r>
        <w:t xml:space="preserve">]</w:t>
      </w:r>
      <w:r>
        <w:t xml:space="preserve">. Available from:</w:t>
      </w:r>
      <w:r>
        <w:t xml:space="preserve"> </w:t>
      </w:r>
      <w:hyperlink r:id="rId86">
        <w:r>
          <w:rPr>
            <w:rStyle w:val="Hyperlink"/>
          </w:rPr>
          <w:t xml:space="preserve">https://www2.gov.bc.ca/assets/gov/health/about-bc-s-health-care-system/office-of-the-provincial-health-officer/covid-19/ethics_framework_for_covid_march_28_2020.pdf</w:t>
        </w:r>
      </w:hyperlink>
    </w:p>
    <w:p>
      <w:pPr>
        <w:pStyle w:val="BodyText"/>
      </w:pPr>
      <w:bookmarkStart w:id="87" w:name="ref-mccormick_principles_2021"/>
      <w:bookmarkEnd w:id="87"/>
    </w:p>
    <w:p>
      <w:pPr>
        <w:pStyle w:val="BodyText"/>
      </w:pPr>
      <w:r>
        <w:t xml:space="preserve">27.</w:t>
      </w:r>
    </w:p>
    <w:p>
      <w:pPr>
        <w:pStyle w:val="BodyText"/>
      </w:pPr>
      <w:r>
        <w:t xml:space="preserve">McCormick TR, Min D. Principles of</w:t>
      </w:r>
      <w:r>
        <w:t xml:space="preserve"> </w:t>
      </w:r>
      <w:r>
        <w:t xml:space="preserve">Bioethics</w:t>
      </w:r>
      <w:r>
        <w:t xml:space="preserve"> </w:t>
      </w:r>
      <w:r>
        <w:t xml:space="preserve">[</w:t>
      </w:r>
      <w:r>
        <w:t xml:space="preserve">Internet</w:t>
      </w:r>
      <w:r>
        <w:t xml:space="preserve">]</w:t>
      </w:r>
      <w:r>
        <w:t xml:space="preserve">. 2021</w:t>
      </w:r>
      <w:r>
        <w:t xml:space="preserve"> </w:t>
      </w:r>
      <w:r>
        <w:t xml:space="preserve">[</w:t>
      </w:r>
      <w:r>
        <w:t xml:space="preserve">cited 2021 Apr 9</w:t>
      </w:r>
      <w:r>
        <w:t xml:space="preserve">]</w:t>
      </w:r>
      <w:r>
        <w:t xml:space="preserve">. Available from:</w:t>
      </w:r>
      <w:r>
        <w:t xml:space="preserve"> </w:t>
      </w:r>
      <w:hyperlink r:id="rId88">
        <w:r>
          <w:rPr>
            <w:rStyle w:val="Hyperlink"/>
          </w:rPr>
          <w:t xml:space="preserve">https://depts.washington.edu/bhdept/ethics-medicine/bioethics-topics/articles/principles-bioethics</w:t>
        </w:r>
      </w:hyperlink>
    </w:p>
    <w:p>
      <w:pPr>
        <w:pStyle w:val="BodyText"/>
      </w:pPr>
      <w:bookmarkStart w:id="89" w:name="ref-polack_safety_2020"/>
      <w:bookmarkEnd w:id="89"/>
    </w:p>
    <w:p>
      <w:pPr>
        <w:pStyle w:val="BodyText"/>
      </w:pPr>
      <w:r>
        <w:t xml:space="preserve">28.</w:t>
      </w:r>
    </w:p>
    <w:p>
      <w:pPr>
        <w:pStyle w:val="BodyText"/>
      </w:pPr>
      <w:r>
        <w:t xml:space="preserve">Polack FP, Thomas SJ, Kitchin N, Absalon J, Gurtman A,</w:t>
      </w:r>
      <w:r>
        <w:t xml:space="preserve"> </w:t>
      </w:r>
      <w:r>
        <w:t xml:space="preserve">Lockhart S, et al. Safety and</w:t>
      </w:r>
      <w:r>
        <w:t xml:space="preserve"> </w:t>
      </w:r>
      <w:r>
        <w:t xml:space="preserve">Efficacy</w:t>
      </w:r>
      <w:r>
        <w:t xml:space="preserve"> </w:t>
      </w:r>
      <w:r>
        <w:t xml:space="preserve">of the</w:t>
      </w:r>
      <w:r>
        <w:t xml:space="preserve"> </w:t>
      </w:r>
      <w:r>
        <w:t xml:space="preserve">BNT162b2</w:t>
      </w:r>
      <w:r>
        <w:t xml:space="preserve"> </w:t>
      </w:r>
      <w:r>
        <w:t xml:space="preserve">mRNA</w:t>
      </w:r>
      <w:r>
        <w:t xml:space="preserve"> </w:t>
      </w:r>
      <w:r>
        <w:t xml:space="preserve">Covid</w:t>
      </w:r>
      <w:r>
        <w:t xml:space="preserve">-19</w:t>
      </w:r>
      <w:r>
        <w:t xml:space="preserve"> </w:t>
      </w:r>
      <w:r>
        <w:t xml:space="preserve">Vaccine</w:t>
      </w:r>
      <w:r>
        <w:t xml:space="preserve">. New England Journal of Medicine</w:t>
      </w:r>
      <w:r>
        <w:t xml:space="preserve"> </w:t>
      </w:r>
      <w:r>
        <w:t xml:space="preserve">[</w:t>
      </w:r>
      <w:r>
        <w:t xml:space="preserve">Internet</w:t>
      </w:r>
      <w:r>
        <w:t xml:space="preserve">]</w:t>
      </w:r>
      <w:r>
        <w:t xml:space="preserve">.</w:t>
      </w:r>
      <w:r>
        <w:t xml:space="preserve"> </w:t>
      </w:r>
      <w:r>
        <w:t xml:space="preserve">2020 Dec</w:t>
      </w:r>
      <w:r>
        <w:t xml:space="preserve"> </w:t>
      </w:r>
      <w:r>
        <w:t xml:space="preserve">[</w:t>
      </w:r>
      <w:r>
        <w:t xml:space="preserve">cited 2021 Apr 11</w:t>
      </w:r>
      <w:r>
        <w:t xml:space="preserve">]</w:t>
      </w:r>
      <w:r>
        <w:t xml:space="preserve">;383(27):2603–15. Available from:</w:t>
      </w:r>
      <w:r>
        <w:t xml:space="preserve"> </w:t>
      </w:r>
      <w:hyperlink r:id="rId90">
        <w:r>
          <w:rPr>
            <w:rStyle w:val="Hyperlink"/>
          </w:rPr>
          <w:t xml:space="preserve">https://doi.org/10.1056/NEJMoa2034577</w:t>
        </w:r>
      </w:hyperlink>
    </w:p>
    <w:p>
      <w:pPr>
        <w:pStyle w:val="BodyText"/>
      </w:pPr>
      <w:bookmarkStart w:id="91" w:name="ref-baden_efficacy_2021"/>
      <w:bookmarkEnd w:id="91"/>
    </w:p>
    <w:p>
      <w:pPr>
        <w:pStyle w:val="BodyText"/>
      </w:pPr>
      <w:r>
        <w:t xml:space="preserve">29.</w:t>
      </w:r>
    </w:p>
    <w:p>
      <w:pPr>
        <w:pStyle w:val="BodyText"/>
      </w:pPr>
      <w:r>
        <w:t xml:space="preserve">Baden LR, El Sahly HM, Essink B, Kotloff K, Frey S,</w:t>
      </w:r>
      <w:r>
        <w:t xml:space="preserve"> </w:t>
      </w:r>
      <w:r>
        <w:t xml:space="preserve">Novak R, et al. Efficacy and</w:t>
      </w:r>
      <w:r>
        <w:t xml:space="preserve"> </w:t>
      </w:r>
      <w:r>
        <w:t xml:space="preserve">Safety</w:t>
      </w:r>
      <w:r>
        <w:t xml:space="preserve"> </w:t>
      </w:r>
      <w:r>
        <w:t xml:space="preserve">of the</w:t>
      </w:r>
      <w:r>
        <w:t xml:space="preserve"> </w:t>
      </w:r>
      <w:r>
        <w:t xml:space="preserve">mRNA</w:t>
      </w:r>
      <w:r>
        <w:t xml:space="preserve">-1273</w:t>
      </w:r>
      <w:r>
        <w:t xml:space="preserve"> </w:t>
      </w:r>
      <w:r>
        <w:t xml:space="preserve">SARS</w:t>
      </w:r>
      <w:r>
        <w:t xml:space="preserve">-</w:t>
      </w:r>
      <w:r>
        <w:t xml:space="preserve">CoV</w:t>
      </w:r>
      <w:r>
        <w:t xml:space="preserve">-2</w:t>
      </w:r>
      <w:r>
        <w:t xml:space="preserve"> </w:t>
      </w:r>
      <w:r>
        <w:t xml:space="preserve">Vaccine</w:t>
      </w:r>
      <w:r>
        <w:t xml:space="preserve">. New England Journal of Medicine</w:t>
      </w:r>
      <w:r>
        <w:t xml:space="preserve"> </w:t>
      </w:r>
      <w:r>
        <w:t xml:space="preserve">[</w:t>
      </w:r>
      <w:r>
        <w:t xml:space="preserve">Internet</w:t>
      </w:r>
      <w:r>
        <w:t xml:space="preserve">]</w:t>
      </w:r>
      <w:r>
        <w:t xml:space="preserve">. 2021 Feb</w:t>
      </w:r>
      <w:r>
        <w:t xml:space="preserve"> </w:t>
      </w:r>
      <w:r>
        <w:t xml:space="preserve">[</w:t>
      </w:r>
      <w:r>
        <w:t xml:space="preserve">cited 2021 Apr 11</w:t>
      </w:r>
      <w:r>
        <w:t xml:space="preserve">]</w:t>
      </w:r>
      <w:r>
        <w:t xml:space="preserve">;384(5):403–16. Available from:</w:t>
      </w:r>
      <w:r>
        <w:t xml:space="preserve"> </w:t>
      </w:r>
      <w:hyperlink r:id="rId92">
        <w:r>
          <w:rPr>
            <w:rStyle w:val="Hyperlink"/>
          </w:rPr>
          <w:t xml:space="preserve">https://doi.org/10.1056/NEJMoa2035389</w:t>
        </w:r>
      </w:hyperlink>
    </w:p>
    <w:p>
      <w:pPr>
        <w:pStyle w:val="BodyText"/>
      </w:pPr>
      <w:bookmarkStart w:id="93" w:name="ref-astrazeneca_azd1222_2021"/>
      <w:bookmarkEnd w:id="93"/>
    </w:p>
    <w:p>
      <w:pPr>
        <w:pStyle w:val="BodyText"/>
      </w:pPr>
      <w:r>
        <w:t xml:space="preserve">30.</w:t>
      </w:r>
    </w:p>
    <w:p>
      <w:pPr>
        <w:pStyle w:val="BodyText"/>
      </w:pPr>
      <w:r>
        <w:t xml:space="preserve">AstraZeneca.</w:t>
      </w:r>
      <w:r>
        <w:t xml:space="preserve"> </w:t>
      </w:r>
      <w:r>
        <w:t xml:space="preserve">AZD1222</w:t>
      </w:r>
      <w:r>
        <w:t xml:space="preserve"> </w:t>
      </w:r>
      <w:r>
        <w:t xml:space="preserve">US</w:t>
      </w:r>
      <w:r>
        <w:t xml:space="preserve"> </w:t>
      </w:r>
      <w:r>
        <w:t xml:space="preserve">Phase</w:t>
      </w:r>
      <w:r>
        <w:t xml:space="preserve"> </w:t>
      </w:r>
      <w:r>
        <w:t xml:space="preserve">III</w:t>
      </w:r>
      <w:r>
        <w:t xml:space="preserve"> </w:t>
      </w:r>
      <w:r>
        <w:t xml:space="preserve">primary</w:t>
      </w:r>
      <w:r>
        <w:t xml:space="preserve"> </w:t>
      </w:r>
      <w:r>
        <w:t xml:space="preserve">analysis confirms safety and efficacy</w:t>
      </w:r>
      <w:r>
        <w:t xml:space="preserve"> </w:t>
      </w:r>
      <w:r>
        <w:t xml:space="preserve">[</w:t>
      </w:r>
      <w:r>
        <w:t xml:space="preserve">Internet</w:t>
      </w:r>
      <w:r>
        <w:t xml:space="preserve">]</w:t>
      </w:r>
      <w:r>
        <w:t xml:space="preserve">. 2021</w:t>
      </w:r>
      <w:r>
        <w:t xml:space="preserve"> </w:t>
      </w:r>
      <w:r>
        <w:t xml:space="preserve">[</w:t>
      </w:r>
      <w:r>
        <w:t xml:space="preserve">cited 2021</w:t>
      </w:r>
      <w:r>
        <w:t xml:space="preserve"> </w:t>
      </w:r>
      <w:r>
        <w:t xml:space="preserve">Apr 11</w:t>
      </w:r>
      <w:r>
        <w:t xml:space="preserve">]</w:t>
      </w:r>
      <w:r>
        <w:t xml:space="preserve">. Available from:</w:t>
      </w:r>
      <w:r>
        <w:t xml:space="preserve"> </w:t>
      </w:r>
      <w:hyperlink r:id="rId94">
        <w:r>
          <w:rPr>
            <w:rStyle w:val="Hyperlink"/>
          </w:rPr>
          <w:t xml:space="preserve">https://www.astrazeneca.com/media-centre/press-releases/2021/azd1222-us-phase-iii-primary-analysis-confirms-safety-and-efficacy.html</w:t>
        </w:r>
      </w:hyperlink>
    </w:p>
    <w:p>
      <w:pPr>
        <w:pStyle w:val="BodyText"/>
      </w:pPr>
      <w:bookmarkStart w:id="95" w:name="ref-emary_efficacy_2021"/>
      <w:bookmarkEnd w:id="95"/>
    </w:p>
    <w:p>
      <w:pPr>
        <w:pStyle w:val="BodyText"/>
      </w:pPr>
      <w:r>
        <w:t xml:space="preserve">31.</w:t>
      </w:r>
    </w:p>
    <w:p>
      <w:pPr>
        <w:pStyle w:val="BodyText"/>
      </w:pPr>
      <w:r>
        <w:t xml:space="preserve">Emary KRW, Golubchik T, Aley PK, Ariani CV, Angus B,</w:t>
      </w:r>
      <w:r>
        <w:t xml:space="preserve"> </w:t>
      </w:r>
      <w:r>
        <w:t xml:space="preserve">Bibi S, et al. Efficacy of</w:t>
      </w:r>
      <w:r>
        <w:t xml:space="preserve"> </w:t>
      </w:r>
      <w:r>
        <w:t xml:space="preserve">ChAdOx1</w:t>
      </w:r>
      <w:r>
        <w:t xml:space="preserve"> </w:t>
      </w:r>
      <w:r>
        <w:t xml:space="preserve">nCoV</w:t>
      </w:r>
      <w:r>
        <w:t xml:space="preserve">-19 (</w:t>
      </w:r>
      <w:r>
        <w:t xml:space="preserve">AZD1222</w:t>
      </w:r>
      <w:r>
        <w:t xml:space="preserve">) vaccine</w:t>
      </w:r>
      <w:r>
        <w:t xml:space="preserve"> </w:t>
      </w:r>
      <w:r>
        <w:t xml:space="preserve">against</w:t>
      </w:r>
      <w:r>
        <w:t xml:space="preserve"> </w:t>
      </w:r>
      <w:r>
        <w:t xml:space="preserve">SARS</w:t>
      </w:r>
      <w:r>
        <w:t xml:space="preserve">-</w:t>
      </w:r>
      <w:r>
        <w:t xml:space="preserve">CoV</w:t>
      </w:r>
      <w:r>
        <w:t xml:space="preserve">-2 variant of concern 202012/01 (</w:t>
      </w:r>
      <w:r>
        <w:t xml:space="preserve">B</w:t>
      </w:r>
      <w:r>
        <w:t xml:space="preserve">.1.1.7): An</w:t>
      </w:r>
      <w:r>
        <w:t xml:space="preserve"> </w:t>
      </w:r>
      <w:r>
        <w:t xml:space="preserve">exploratory analysis of a randomised controlled trial. The Lancet</w:t>
      </w:r>
      <w:r>
        <w:t xml:space="preserve"> </w:t>
      </w:r>
      <w:r>
        <w:t xml:space="preserve">[</w:t>
      </w:r>
      <w:r>
        <w:t xml:space="preserve">Internet</w:t>
      </w:r>
      <w:r>
        <w:t xml:space="preserve">]</w:t>
      </w:r>
      <w:r>
        <w:t xml:space="preserve">. 2021 Apr</w:t>
      </w:r>
      <w:r>
        <w:t xml:space="preserve"> </w:t>
      </w:r>
      <w:r>
        <w:t xml:space="preserve">[</w:t>
      </w:r>
      <w:r>
        <w:t xml:space="preserve">cited 2021 Apr 11</w:t>
      </w:r>
      <w:r>
        <w:t xml:space="preserve">]</w:t>
      </w:r>
      <w:r>
        <w:t xml:space="preserve">;397(10282):1351–62.</w:t>
      </w:r>
      <w:r>
        <w:t xml:space="preserve"> </w:t>
      </w:r>
      <w:r>
        <w:t xml:space="preserve">Available from:</w:t>
      </w:r>
      <w:r>
        <w:t xml:space="preserve"> </w:t>
      </w:r>
      <w:hyperlink r:id="rId96">
        <w:r>
          <w:rPr>
            <w:rStyle w:val="Hyperlink"/>
          </w:rPr>
          <w:t xml:space="preserve">https://www.thelancet.com/journals/lancet/article/PIIS0140-6736(21)00628-0/abstract</w:t>
        </w:r>
      </w:hyperlink>
    </w:p>
    <w:p>
      <w:pPr>
        <w:pStyle w:val="BodyText"/>
      </w:pPr>
      <w:bookmarkStart w:id="97" w:name="ref-ledford_why_2021"/>
      <w:bookmarkEnd w:id="97"/>
    </w:p>
    <w:p>
      <w:pPr>
        <w:pStyle w:val="BodyText"/>
      </w:pPr>
      <w:r>
        <w:t xml:space="preserve">32.</w:t>
      </w:r>
    </w:p>
    <w:p>
      <w:pPr>
        <w:pStyle w:val="BodyText"/>
      </w:pPr>
      <w:r>
        <w:t xml:space="preserve">Ledford H. Why</w:t>
      </w:r>
      <w:r>
        <w:t xml:space="preserve"> </w:t>
      </w:r>
      <w:r>
        <w:t xml:space="preserve">COVID</w:t>
      </w:r>
      <w:r>
        <w:t xml:space="preserve"> </w:t>
      </w:r>
      <w:r>
        <w:t xml:space="preserve">vaccines are so difficult to</w:t>
      </w:r>
      <w:r>
        <w:t xml:space="preserve"> </w:t>
      </w:r>
      <w:r>
        <w:t xml:space="preserve">compare. Nature</w:t>
      </w:r>
      <w:r>
        <w:t xml:space="preserve"> </w:t>
      </w:r>
      <w:r>
        <w:t xml:space="preserve">[</w:t>
      </w:r>
      <w:r>
        <w:t xml:space="preserve">Internet</w:t>
      </w:r>
      <w:r>
        <w:t xml:space="preserve">]</w:t>
      </w:r>
      <w:r>
        <w:t xml:space="preserve">. 2021 Feb</w:t>
      </w:r>
      <w:r>
        <w:t xml:space="preserve"> </w:t>
      </w:r>
      <w:r>
        <w:t xml:space="preserve">[</w:t>
      </w:r>
      <w:r>
        <w:t xml:space="preserve">cited 2021 Apr</w:t>
      </w:r>
      <w:r>
        <w:t xml:space="preserve"> </w:t>
      </w:r>
      <w:r>
        <w:t xml:space="preserve">11</w:t>
      </w:r>
      <w:r>
        <w:t xml:space="preserve">]</w:t>
      </w:r>
      <w:r>
        <w:t xml:space="preserve">;591(7848):16–7. Available from:</w:t>
      </w:r>
      <w:r>
        <w:t xml:space="preserve"> </w:t>
      </w:r>
      <w:hyperlink r:id="rId98">
        <w:r>
          <w:rPr>
            <w:rStyle w:val="Hyperlink"/>
          </w:rPr>
          <w:t xml:space="preserve">https://www.nature.com/articles/d41586-021-00409-0</w:t>
        </w:r>
      </w:hyperlink>
    </w:p>
    <w:p>
      <w:pPr>
        <w:pStyle w:val="BodyText"/>
      </w:pPr>
      <w:bookmarkStart w:id="99" w:name="ref-abdool_karim_new_2021"/>
      <w:bookmarkEnd w:id="99"/>
    </w:p>
    <w:p>
      <w:pPr>
        <w:pStyle w:val="BodyText"/>
      </w:pPr>
      <w:r>
        <w:t xml:space="preserve">33.</w:t>
      </w:r>
    </w:p>
    <w:p>
      <w:pPr>
        <w:pStyle w:val="BodyText"/>
      </w:pPr>
      <w:r>
        <w:t xml:space="preserve">Abdool Karim SS, Oliveira T de. New</w:t>
      </w:r>
      <w:r>
        <w:t xml:space="preserve"> </w:t>
      </w:r>
      <w:r>
        <w:t xml:space="preserve">SARS</w:t>
      </w:r>
      <w:r>
        <w:t xml:space="preserve">-</w:t>
      </w:r>
      <w:r>
        <w:t xml:space="preserve">CoV</w:t>
      </w:r>
      <w:r>
        <w:t xml:space="preserve">-2</w:t>
      </w:r>
      <w:r>
        <w:t xml:space="preserve"> </w:t>
      </w:r>
      <w:r>
        <w:t xml:space="preserve">Variants</w:t>
      </w:r>
      <w:r>
        <w:t xml:space="preserve"> </w:t>
      </w:r>
      <w:r>
        <w:t xml:space="preserve">—</w:t>
      </w:r>
      <w:r>
        <w:t xml:space="preserve"> </w:t>
      </w:r>
      <w:r>
        <w:t xml:space="preserve">Clinical</w:t>
      </w:r>
      <w:r>
        <w:t xml:space="preserve">,</w:t>
      </w:r>
      <w:r>
        <w:t xml:space="preserve"> </w:t>
      </w:r>
      <w:r>
        <w:t xml:space="preserve">Public</w:t>
      </w:r>
      <w:r>
        <w:t xml:space="preserve"> </w:t>
      </w:r>
      <w:r>
        <w:t xml:space="preserve">Health</w:t>
      </w:r>
      <w:r>
        <w:t xml:space="preserve">, and</w:t>
      </w:r>
      <w:r>
        <w:t xml:space="preserve"> </w:t>
      </w:r>
      <w:r>
        <w:t xml:space="preserve">Vaccine</w:t>
      </w:r>
      <w:r>
        <w:t xml:space="preserve"> </w:t>
      </w:r>
      <w:r>
        <w:t xml:space="preserve">Implications</w:t>
      </w:r>
      <w:r>
        <w:t xml:space="preserve">. New England Journal of Medicine</w:t>
      </w:r>
      <w:r>
        <w:t xml:space="preserve"> </w:t>
      </w:r>
      <w:r>
        <w:t xml:space="preserve">[</w:t>
      </w:r>
      <w:r>
        <w:t xml:space="preserve">Internet</w:t>
      </w:r>
      <w:r>
        <w:t xml:space="preserve">]</w:t>
      </w:r>
      <w:r>
        <w:t xml:space="preserve">. 2021 Mar</w:t>
      </w:r>
      <w:r>
        <w:t xml:space="preserve"> </w:t>
      </w:r>
      <w:r>
        <w:t xml:space="preserve">[</w:t>
      </w:r>
      <w:r>
        <w:t xml:space="preserve">cited 2021 Apr 11</w:t>
      </w:r>
      <w:r>
        <w:t xml:space="preserve">]</w:t>
      </w:r>
      <w:r>
        <w:t xml:space="preserve">;0(0):null. Available from:</w:t>
      </w:r>
      <w:r>
        <w:t xml:space="preserve"> </w:t>
      </w:r>
      <w:hyperlink r:id="rId100">
        <w:r>
          <w:rPr>
            <w:rStyle w:val="Hyperlink"/>
          </w:rPr>
          <w:t xml:space="preserve">https://doi.org/10.1056/NEJMc2100362</w:t>
        </w:r>
      </w:hyperlink>
    </w:p>
    <w:p>
      <w:pPr>
        <w:pStyle w:val="BodyText"/>
      </w:pPr>
      <w:bookmarkStart w:id="101" w:name="ref-shrotri_vaccine_2021"/>
      <w:bookmarkEnd w:id="101"/>
    </w:p>
    <w:p>
      <w:pPr>
        <w:pStyle w:val="BodyText"/>
      </w:pPr>
      <w:r>
        <w:t xml:space="preserve">34.</w:t>
      </w:r>
    </w:p>
    <w:p>
      <w:pPr>
        <w:pStyle w:val="BodyText"/>
      </w:pPr>
      <w:r>
        <w:t xml:space="preserve">Shrotri M, Krutikov M, Palmer T, Giddings R, Azmi B,</w:t>
      </w:r>
      <w:r>
        <w:t xml:space="preserve"> </w:t>
      </w:r>
      <w:r>
        <w:t xml:space="preserve">Subbarao S, et al. Vaccine effectiveness of the first dose of</w:t>
      </w:r>
      <w:r>
        <w:t xml:space="preserve"> </w:t>
      </w:r>
      <w:r>
        <w:t xml:space="preserve">ChAdOx1</w:t>
      </w:r>
      <w:r>
        <w:t xml:space="preserve"> </w:t>
      </w:r>
      <w:r>
        <w:t xml:space="preserve">nCoV</w:t>
      </w:r>
      <w:r>
        <w:t xml:space="preserve">-19 and</w:t>
      </w:r>
      <w:r>
        <w:t xml:space="preserve"> </w:t>
      </w:r>
      <w:r>
        <w:t xml:space="preserve">BNT162b2</w:t>
      </w:r>
      <w:r>
        <w:t xml:space="preserve"> </w:t>
      </w:r>
      <w:r>
        <w:t xml:space="preserve">against</w:t>
      </w:r>
      <w:r>
        <w:t xml:space="preserve"> </w:t>
      </w:r>
      <w:r>
        <w:t xml:space="preserve">SARS</w:t>
      </w:r>
      <w:r>
        <w:t xml:space="preserve">-</w:t>
      </w:r>
      <w:r>
        <w:t xml:space="preserve">CoV</w:t>
      </w:r>
      <w:r>
        <w:t xml:space="preserve">-2 infection in residents</w:t>
      </w:r>
      <w:r>
        <w:t xml:space="preserve"> </w:t>
      </w:r>
      <w:r>
        <w:t xml:space="preserve">of</w:t>
      </w:r>
      <w:r>
        <w:t xml:space="preserve"> </w:t>
      </w:r>
      <w:r>
        <w:t xml:space="preserve">Long</w:t>
      </w:r>
      <w:r>
        <w:t xml:space="preserve">-</w:t>
      </w:r>
      <w:r>
        <w:t xml:space="preserve">Term</w:t>
      </w:r>
      <w:r>
        <w:t xml:space="preserve"> </w:t>
      </w:r>
      <w:r>
        <w:t xml:space="preserve">Care</w:t>
      </w:r>
      <w:r>
        <w:t xml:space="preserve"> </w:t>
      </w:r>
      <w:r>
        <w:t xml:space="preserve">Facilities</w:t>
      </w:r>
      <w:r>
        <w:t xml:space="preserve"> </w:t>
      </w:r>
      <w:r>
        <w:t xml:space="preserve">(</w:t>
      </w:r>
      <w:r>
        <w:t xml:space="preserve">VIVALDI</w:t>
      </w:r>
      <w:r>
        <w:t xml:space="preserve"> </w:t>
      </w:r>
      <w:r>
        <w:t xml:space="preserve">study). medRxiv</w:t>
      </w:r>
      <w:r>
        <w:t xml:space="preserve"> </w:t>
      </w:r>
      <w:r>
        <w:t xml:space="preserve">[</w:t>
      </w:r>
      <w:r>
        <w:t xml:space="preserve">Internet</w:t>
      </w:r>
      <w:r>
        <w:t xml:space="preserve">]</w:t>
      </w:r>
      <w:r>
        <w:t xml:space="preserve">. 2021 Mar</w:t>
      </w:r>
      <w:r>
        <w:t xml:space="preserve"> </w:t>
      </w:r>
      <w:r>
        <w:t xml:space="preserve">[</w:t>
      </w:r>
      <w:r>
        <w:t xml:space="preserve">cited 2021 Apr 11</w:t>
      </w:r>
      <w:r>
        <w:t xml:space="preserve">]</w:t>
      </w:r>
      <w:r>
        <w:t xml:space="preserve">;2021.03.26.21254391.</w:t>
      </w:r>
      <w:r>
        <w:t xml:space="preserve"> </w:t>
      </w:r>
      <w:r>
        <w:t xml:space="preserve">Available from:</w:t>
      </w:r>
      <w:r>
        <w:t xml:space="preserve"> </w:t>
      </w:r>
      <w:hyperlink r:id="rId102">
        <w:r>
          <w:rPr>
            <w:rStyle w:val="Hyperlink"/>
          </w:rPr>
          <w:t xml:space="preserve">https://www.medrxiv.org/content/10.1101/2021.03.26.21254391v1</w:t>
        </w:r>
      </w:hyperlink>
    </w:p>
    <w:p>
      <w:pPr>
        <w:pStyle w:val="BodyText"/>
      </w:pPr>
      <w:bookmarkStart w:id="103" w:name="ref-jamie_lopez_bernal_early_2021"/>
      <w:bookmarkEnd w:id="103"/>
    </w:p>
    <w:p>
      <w:pPr>
        <w:pStyle w:val="BodyText"/>
      </w:pPr>
      <w:r>
        <w:t xml:space="preserve">35.</w:t>
      </w:r>
    </w:p>
    <w:p>
      <w:pPr>
        <w:pStyle w:val="BodyText"/>
      </w:pPr>
      <w:r>
        <w:t xml:space="preserve">Jamie Lopez Bernal, Nick Andrews, Charlotte Gower, Julia</w:t>
      </w:r>
      <w:r>
        <w:t xml:space="preserve"> </w:t>
      </w:r>
      <w:r>
        <w:t xml:space="preserve">Stowe, Chris Robertson, Elise Tessier, et al. Early effectiveness of</w:t>
      </w:r>
      <w:r>
        <w:t xml:space="preserve"> </w:t>
      </w:r>
      <w:r>
        <w:t xml:space="preserve">COVID</w:t>
      </w:r>
      <w:r>
        <w:t xml:space="preserve">-19 vaccination with</w:t>
      </w:r>
      <w:r>
        <w:t xml:space="preserve"> </w:t>
      </w:r>
      <w:r>
        <w:t xml:space="preserve">BNT162b2</w:t>
      </w:r>
      <w:r>
        <w:t xml:space="preserve"> </w:t>
      </w:r>
      <w:r>
        <w:t xml:space="preserve">mRNA</w:t>
      </w:r>
      <w:r>
        <w:t xml:space="preserve"> </w:t>
      </w:r>
      <w:r>
        <w:t xml:space="preserve">vaccine and</w:t>
      </w:r>
      <w:r>
        <w:t xml:space="preserve"> </w:t>
      </w:r>
      <w:r>
        <w:t xml:space="preserve">ChAdOx1</w:t>
      </w:r>
      <w:r>
        <w:t xml:space="preserve"> </w:t>
      </w:r>
      <w:r>
        <w:t xml:space="preserve">adenovirus vector vaccine on symptomatic disease, hospitalisations and</w:t>
      </w:r>
      <w:r>
        <w:t xml:space="preserve"> </w:t>
      </w:r>
      <w:r>
        <w:t xml:space="preserve">mortality in older adults in</w:t>
      </w:r>
      <w:r>
        <w:t xml:space="preserve"> </w:t>
      </w:r>
      <w:r>
        <w:t xml:space="preserve">England</w:t>
      </w:r>
      <w:r>
        <w:t xml:space="preserve"> </w:t>
      </w:r>
      <w:r>
        <w:t xml:space="preserve">medRxiv</w:t>
      </w:r>
      <w:r>
        <w:t xml:space="preserve"> </w:t>
      </w:r>
      <w:r>
        <w:t xml:space="preserve">[</w:t>
      </w:r>
      <w:r>
        <w:t xml:space="preserve">Internet</w:t>
      </w:r>
      <w:r>
        <w:t xml:space="preserve">]</w:t>
      </w:r>
      <w:r>
        <w:t xml:space="preserve">.</w:t>
      </w:r>
      <w:r>
        <w:t xml:space="preserve"> </w:t>
      </w:r>
      <w:r>
        <w:t xml:space="preserve">2021</w:t>
      </w:r>
      <w:r>
        <w:t xml:space="preserve"> </w:t>
      </w:r>
      <w:r>
        <w:t xml:space="preserve">[</w:t>
      </w:r>
      <w:r>
        <w:t xml:space="preserve">cited 2021 Apr 11</w:t>
      </w:r>
      <w:r>
        <w:t xml:space="preserve">]</w:t>
      </w:r>
      <w:r>
        <w:t xml:space="preserve">. Available from:</w:t>
      </w:r>
      <w:r>
        <w:t xml:space="preserve"> </w:t>
      </w:r>
      <w:hyperlink r:id="rId104">
        <w:r>
          <w:rPr>
            <w:rStyle w:val="Hyperlink"/>
          </w:rPr>
          <w:t xml:space="preserve">https://www.medrxiv.org/content/10.1101/2021.03.01.21252652v1</w:t>
        </w:r>
      </w:hyperlink>
    </w:p>
    <w:p>
      <w:pPr>
        <w:pStyle w:val="BodyText"/>
      </w:pPr>
      <w:bookmarkStart w:id="105" w:name="ref-health_canada_health_2021"/>
      <w:bookmarkEnd w:id="105"/>
    </w:p>
    <w:p>
      <w:pPr>
        <w:pStyle w:val="BodyText"/>
      </w:pPr>
      <w:r>
        <w:t xml:space="preserve">36.</w:t>
      </w:r>
    </w:p>
    <w:p>
      <w:pPr>
        <w:pStyle w:val="BodyText"/>
      </w:pPr>
      <w:r>
        <w:t xml:space="preserve">Health Canada. Health</w:t>
      </w:r>
      <w:r>
        <w:t xml:space="preserve"> </w:t>
      </w:r>
      <w:r>
        <w:t xml:space="preserve">Canada</w:t>
      </w:r>
      <w:r>
        <w:t xml:space="preserve"> </w:t>
      </w:r>
      <w:r>
        <w:t xml:space="preserve">provides update on the</w:t>
      </w:r>
      <w:r>
        <w:t xml:space="preserve"> </w:t>
      </w:r>
      <w:r>
        <w:t xml:space="preserve">AstraZeneca</w:t>
      </w:r>
      <w:r>
        <w:t xml:space="preserve"> </w:t>
      </w:r>
      <w:r>
        <w:t xml:space="preserve">and</w:t>
      </w:r>
      <w:r>
        <w:t xml:space="preserve"> </w:t>
      </w:r>
      <w:r>
        <w:t xml:space="preserve">COVISHIELD</w:t>
      </w:r>
      <w:r>
        <w:t xml:space="preserve"> </w:t>
      </w:r>
      <w:r>
        <w:t xml:space="preserve">COVID</w:t>
      </w:r>
      <w:r>
        <w:t xml:space="preserve">-19 vaccines</w:t>
      </w:r>
      <w:r>
        <w:t xml:space="preserve"> </w:t>
      </w:r>
      <w:r>
        <w:t xml:space="preserve">[</w:t>
      </w:r>
      <w:r>
        <w:t xml:space="preserve">Internet</w:t>
      </w:r>
      <w:r>
        <w:t xml:space="preserve">]</w:t>
      </w:r>
      <w:r>
        <w:t xml:space="preserve">. 2021</w:t>
      </w:r>
      <w:r>
        <w:t xml:space="preserve"> </w:t>
      </w:r>
      <w:r>
        <w:t xml:space="preserve">[</w:t>
      </w:r>
      <w:r>
        <w:t xml:space="preserve">cited 2021 Apr 14</w:t>
      </w:r>
      <w:r>
        <w:t xml:space="preserve">]</w:t>
      </w:r>
      <w:r>
        <w:t xml:space="preserve">. Available from:</w:t>
      </w:r>
      <w:r>
        <w:t xml:space="preserve"> </w:t>
      </w:r>
      <w:hyperlink r:id="rId106">
        <w:r>
          <w:rPr>
            <w:rStyle w:val="Hyperlink"/>
          </w:rPr>
          <w:t xml:space="preserve">https://healthycanadians.gc.ca/recall-alert-rappel-avis/hc-sc/2021/75389a-eng.php</w:t>
        </w:r>
      </w:hyperlink>
    </w:p>
    <w:p>
      <w:pPr>
        <w:pStyle w:val="BodyText"/>
      </w:pPr>
      <w:bookmarkStart w:id="107" w:name="ref-jcvi_jcvi_2021"/>
      <w:bookmarkEnd w:id="107"/>
    </w:p>
    <w:p>
      <w:pPr>
        <w:pStyle w:val="BodyText"/>
      </w:pPr>
      <w:r>
        <w:t xml:space="preserve">37.</w:t>
      </w:r>
    </w:p>
    <w:p>
      <w:pPr>
        <w:pStyle w:val="BodyText"/>
      </w:pPr>
      <w:r>
        <w:t xml:space="preserve">JCVI.</w:t>
      </w:r>
      <w:r>
        <w:t xml:space="preserve"> </w:t>
      </w:r>
      <w:r>
        <w:t xml:space="preserve">JCVI</w:t>
      </w:r>
      <w:r>
        <w:t xml:space="preserve"> </w:t>
      </w:r>
      <w:r>
        <w:t xml:space="preserve">statement on use of the</w:t>
      </w:r>
      <w:r>
        <w:t xml:space="preserve"> </w:t>
      </w:r>
      <w:r>
        <w:t xml:space="preserve">AstraZeneca</w:t>
      </w:r>
      <w:r>
        <w:t xml:space="preserve"> </w:t>
      </w:r>
      <w:r>
        <w:t xml:space="preserve">COVID</w:t>
      </w:r>
      <w:r>
        <w:t xml:space="preserve">-19 vaccine: 7</w:t>
      </w:r>
      <w:r>
        <w:t xml:space="preserve"> </w:t>
      </w:r>
      <w:r>
        <w:t xml:space="preserve">April</w:t>
      </w:r>
      <w:r>
        <w:t xml:space="preserve"> </w:t>
      </w:r>
      <w:r>
        <w:t xml:space="preserve">2021</w:t>
      </w:r>
      <w:r>
        <w:t xml:space="preserve"> </w:t>
      </w:r>
      <w:r>
        <w:t xml:space="preserve">[</w:t>
      </w:r>
      <w:r>
        <w:t xml:space="preserve">Internet</w:t>
      </w:r>
      <w:r>
        <w:t xml:space="preserve">]</w:t>
      </w:r>
      <w:r>
        <w:t xml:space="preserve">. GOV.UK. 2021</w:t>
      </w:r>
      <w:r>
        <w:t xml:space="preserve"> </w:t>
      </w:r>
      <w:r>
        <w:t xml:space="preserve">[</w:t>
      </w:r>
      <w:r>
        <w:t xml:space="preserve">cited</w:t>
      </w:r>
      <w:r>
        <w:t xml:space="preserve"> </w:t>
      </w:r>
      <w:r>
        <w:t xml:space="preserve">2021 Apr 8</w:t>
      </w:r>
      <w:r>
        <w:t xml:space="preserve">]</w:t>
      </w:r>
      <w:r>
        <w:t xml:space="preserve">. Available from:</w:t>
      </w:r>
      <w:r>
        <w:t xml:space="preserve"> </w:t>
      </w:r>
      <w:hyperlink r:id="rId108">
        <w:r>
          <w:rPr>
            <w:rStyle w:val="Hyperlink"/>
          </w:rPr>
          <w:t xml:space="preserve">https://www.gov.uk/government/publications/use-of-the-astrazeneca-covid-19-vaccine-jcvi-statement/jcvi-statement-on-use-of-the-astrazeneca-covid-19-vaccine-7-april-2021</w:t>
        </w:r>
      </w:hyperlink>
    </w:p>
    <w:bookmarkEnd w:id="10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df" /><Relationship Type="http://schemas.openxmlformats.org/officeDocument/2006/relationships/image" Id="rId25" Target="media/rId25.pdf" /><Relationship Type="http://schemas.openxmlformats.org/officeDocument/2006/relationships/image" Id="rId31" Target="media/rId31.pdf" /><Relationship Type="http://schemas.openxmlformats.org/officeDocument/2006/relationships/hyperlink" Id="rId60" Target="http://www.bccdc.ca/Health-Info-Site/Documents/COVID_sitrep/Week_12_2021_BC_COVID-19_Situation_Report.pdf" TargetMode="External" /><Relationship Type="http://schemas.openxmlformats.org/officeDocument/2006/relationships/hyperlink" Id="rId79" Target="https://assets.publishing.service.gov.uk/government/uploads/system/uploads/attachment_data/file/971017/SP_PH__VE_report_20210317_CC_JLB.pdf" TargetMode="External" /><Relationship Type="http://schemas.openxmlformats.org/officeDocument/2006/relationships/hyperlink" Id="rId75" Target="https://assets.publishing.service.gov.uk/government/uploads/system/uploads/attachment_data/file/977249/PHE_COVID-19_vaccine_impact_on_mortality_March.pdf" TargetMode="External" /><Relationship Type="http://schemas.openxmlformats.org/officeDocument/2006/relationships/hyperlink" Id="rId51" Target="https://bit.ly/39XSDUu" TargetMode="External" /><Relationship Type="http://schemas.openxmlformats.org/officeDocument/2006/relationships/hyperlink" Id="rId47" Target="https://bit.ly/3dJ7OSQ" TargetMode="External" /><Relationship Type="http://schemas.openxmlformats.org/officeDocument/2006/relationships/hyperlink" Id="rId49" Target="https://bit.ly/3dOW80z" TargetMode="External" /><Relationship Type="http://schemas.openxmlformats.org/officeDocument/2006/relationships/hyperlink" Id="rId45" Target="https://bit.ly/3s0pM8j" TargetMode="External" /><Relationship Type="http://schemas.openxmlformats.org/officeDocument/2006/relationships/hyperlink" Id="rId53" Target="https://bit.ly/3s3ikJu" TargetMode="External" /><Relationship Type="http://schemas.openxmlformats.org/officeDocument/2006/relationships/hyperlink" Id="rId69" Target="https://coronavirus.data.gov.uk" TargetMode="External" /><Relationship Type="http://schemas.openxmlformats.org/officeDocument/2006/relationships/hyperlink" Id="rId88" Target="https://depts.washington.edu/bhdept/ethics-medicine/bioethics-topics/articles/principles-bioethics" TargetMode="External" /><Relationship Type="http://schemas.openxmlformats.org/officeDocument/2006/relationships/hyperlink" Id="rId100" Target="https://doi.org/10.1056/NEJMc2100362" TargetMode="External" /><Relationship Type="http://schemas.openxmlformats.org/officeDocument/2006/relationships/hyperlink" Id="rId90" Target="https://doi.org/10.1056/NEJMoa2034577" TargetMode="External" /><Relationship Type="http://schemas.openxmlformats.org/officeDocument/2006/relationships/hyperlink" Id="rId92" Target="https://doi.org/10.1056/NEJMoa2035389" TargetMode="External" /><Relationship Type="http://schemas.openxmlformats.org/officeDocument/2006/relationships/hyperlink" Id="rId41" Target="https://doi.org/10.1056/NEJMoa2104840" TargetMode="External" /><Relationship Type="http://schemas.openxmlformats.org/officeDocument/2006/relationships/hyperlink" Id="rId43" Target="https://doi.org/10.1056/NEJMoa2104882" TargetMode="External" /><Relationship Type="http://schemas.openxmlformats.org/officeDocument/2006/relationships/hyperlink" Id="rId22" Target="https://github.com/aminadibi/astrazenecaVIPIT" TargetMode="External" /><Relationship Type="http://schemas.openxmlformats.org/officeDocument/2006/relationships/hyperlink" Id="rId106" Target="https://healthycanadians.gc.ca/recall-alert-rappel-avis/hc-sc/2021/75389a-eng.php" TargetMode="External" /><Relationship Type="http://schemas.openxmlformats.org/officeDocument/2006/relationships/hyperlink" Id="rId84" Target="https://plato.stanford.edu/archives/win2016/entries/doing-allowing/" TargetMode="External" /><Relationship Type="http://schemas.openxmlformats.org/officeDocument/2006/relationships/hyperlink" Id="rId67" Target="https://www.albertahealthservices.ca/assets/info/ppih/if-ppih-covid-19-sag-rapid-brief-screening-and-preventing-venous-thromboembolic-events.pdf" TargetMode="External" /><Relationship Type="http://schemas.openxmlformats.org/officeDocument/2006/relationships/hyperlink" Id="rId94" Target="https://www.astrazeneca.com/media-centre/press-releases/2021/azd1222-us-phase-iii-primary-analysis-confirms-safety-and-efficacy.html" TargetMode="External" /><Relationship Type="http://schemas.openxmlformats.org/officeDocument/2006/relationships/hyperlink" Id="rId73" Target="https://www.bbc.com/news/uk-56158405" TargetMode="External" /><Relationship Type="http://schemas.openxmlformats.org/officeDocument/2006/relationships/hyperlink" Id="rId55" Target="https://www.canada.ca/en/public-health/services/diseases/2019-novel-coronavirus-infection/prevention-risks/covid-19-vaccine-treatment/vaccine-rollout.html#a4e" TargetMode="External" /><Relationship Type="http://schemas.openxmlformats.org/officeDocument/2006/relationships/hyperlink" Id="rId39" Target="https://www.canada.ca/en/public-health/services/immunization/national-advisory-committee-on-immunization-naci/rapid-response-recommended-use-astrazeneca-covid-19-vaccine-younger-adults.html" TargetMode="External" /><Relationship Type="http://schemas.openxmlformats.org/officeDocument/2006/relationships/hyperlink" Id="rId108" Target="https://www.gov.uk/government/publications/use-of-the-astrazeneca-covid-19-vaccine-jcvi-statement/jcvi-statement-on-use-of-the-astrazeneca-covid-19-vaccine-7-april-2021" TargetMode="External" /><Relationship Type="http://schemas.openxmlformats.org/officeDocument/2006/relationships/hyperlink" Id="rId57" Target="https://www.medrxiv.org/content/10.1101/2021.02.23.21252309v1" TargetMode="External" /><Relationship Type="http://schemas.openxmlformats.org/officeDocument/2006/relationships/hyperlink" Id="rId104" Target="https://www.medrxiv.org/content/10.1101/2021.03.01.21252652v1" TargetMode="External" /><Relationship Type="http://schemas.openxmlformats.org/officeDocument/2006/relationships/hyperlink" Id="rId71" Target="https://www.medrxiv.org/content/10.1101/2021.03.11.21253275v1" TargetMode="External" /><Relationship Type="http://schemas.openxmlformats.org/officeDocument/2006/relationships/hyperlink" Id="rId81" Target="https://www.medrxiv.org/content/10.1101/2021.03.22.21254127v1" TargetMode="External" /><Relationship Type="http://schemas.openxmlformats.org/officeDocument/2006/relationships/hyperlink" Id="rId102" Target="https://www.medrxiv.org/content/10.1101/2021.03.26.21254391v1" TargetMode="External" /><Relationship Type="http://schemas.openxmlformats.org/officeDocument/2006/relationships/hyperlink" Id="rId98" Target="https://www.nature.com/articles/d41586-021-00409-0" TargetMode="External" /><Relationship Type="http://schemas.openxmlformats.org/officeDocument/2006/relationships/hyperlink" Id="rId77" Target="https://www.thelancet.com/journals/lancet/article/PIIS0140-6736(21)00432-3/abstract" TargetMode="External" /><Relationship Type="http://schemas.openxmlformats.org/officeDocument/2006/relationships/hyperlink" Id="rId96" Target="https://www.thelancet.com/journals/lancet/article/PIIS0140-6736(21)00628-0/abstract" TargetMode="External" /><Relationship Type="http://schemas.openxmlformats.org/officeDocument/2006/relationships/hyperlink" Id="rId65" Target="https://www12.statcan.gc.ca/census-recensement/2016/dp-pd/prof/details/page.cfm?Lang=E&amp;Geo1=PR&amp;Code1=59&amp;Geo2=PR&amp;Code2=01&amp;SearchText=Canada&amp;SearchType=Begins&amp;SearchPR=01&amp;B1=All&amp;type=0" TargetMode="External" /><Relationship Type="http://schemas.openxmlformats.org/officeDocument/2006/relationships/hyperlink" Id="rId62" Target="https://www150.statcan.gc.ca/n1/en/catalogue/13260003" TargetMode="External" /><Relationship Type="http://schemas.openxmlformats.org/officeDocument/2006/relationships/hyperlink" Id="rId86" Target="https://www2.gov.bc.ca/assets/gov/health/about-bc-s-health-care-system/office-of-the-provincial-health-officer/covid-19/ethics_framework_for_covid_march_28_2020.pdf" TargetMode="External" /></Relationships>
</file>

<file path=word/_rels/footnotes.xml.rels><?xml version="1.0" encoding="UTF-8"?><Relationships xmlns="http://schemas.openxmlformats.org/package/2006/relationships"><Relationship Type="http://schemas.openxmlformats.org/officeDocument/2006/relationships/hyperlink" Id="rId60" Target="http://www.bccdc.ca/Health-Info-Site/Documents/COVID_sitrep/Week_12_2021_BC_COVID-19_Situation_Report.pdf" TargetMode="External" /><Relationship Type="http://schemas.openxmlformats.org/officeDocument/2006/relationships/hyperlink" Id="rId79" Target="https://assets.publishing.service.gov.uk/government/uploads/system/uploads/attachment_data/file/971017/SP_PH__VE_report_20210317_CC_JLB.pdf" TargetMode="External" /><Relationship Type="http://schemas.openxmlformats.org/officeDocument/2006/relationships/hyperlink" Id="rId75" Target="https://assets.publishing.service.gov.uk/government/uploads/system/uploads/attachment_data/file/977249/PHE_COVID-19_vaccine_impact_on_mortality_March.pdf" TargetMode="External" /><Relationship Type="http://schemas.openxmlformats.org/officeDocument/2006/relationships/hyperlink" Id="rId51" Target="https://bit.ly/39XSDUu" TargetMode="External" /><Relationship Type="http://schemas.openxmlformats.org/officeDocument/2006/relationships/hyperlink" Id="rId47" Target="https://bit.ly/3dJ7OSQ" TargetMode="External" /><Relationship Type="http://schemas.openxmlformats.org/officeDocument/2006/relationships/hyperlink" Id="rId49" Target="https://bit.ly/3dOW80z" TargetMode="External" /><Relationship Type="http://schemas.openxmlformats.org/officeDocument/2006/relationships/hyperlink" Id="rId45" Target="https://bit.ly/3s0pM8j" TargetMode="External" /><Relationship Type="http://schemas.openxmlformats.org/officeDocument/2006/relationships/hyperlink" Id="rId53" Target="https://bit.ly/3s3ikJu" TargetMode="External" /><Relationship Type="http://schemas.openxmlformats.org/officeDocument/2006/relationships/hyperlink" Id="rId69" Target="https://coronavirus.data.gov.uk" TargetMode="External" /><Relationship Type="http://schemas.openxmlformats.org/officeDocument/2006/relationships/hyperlink" Id="rId88" Target="https://depts.washington.edu/bhdept/ethics-medicine/bioethics-topics/articles/principles-bioethics" TargetMode="External" /><Relationship Type="http://schemas.openxmlformats.org/officeDocument/2006/relationships/hyperlink" Id="rId100" Target="https://doi.org/10.1056/NEJMc2100362" TargetMode="External" /><Relationship Type="http://schemas.openxmlformats.org/officeDocument/2006/relationships/hyperlink" Id="rId90" Target="https://doi.org/10.1056/NEJMoa2034577" TargetMode="External" /><Relationship Type="http://schemas.openxmlformats.org/officeDocument/2006/relationships/hyperlink" Id="rId92" Target="https://doi.org/10.1056/NEJMoa2035389" TargetMode="External" /><Relationship Type="http://schemas.openxmlformats.org/officeDocument/2006/relationships/hyperlink" Id="rId41" Target="https://doi.org/10.1056/NEJMoa2104840" TargetMode="External" /><Relationship Type="http://schemas.openxmlformats.org/officeDocument/2006/relationships/hyperlink" Id="rId43" Target="https://doi.org/10.1056/NEJMoa2104882" TargetMode="External" /><Relationship Type="http://schemas.openxmlformats.org/officeDocument/2006/relationships/hyperlink" Id="rId22" Target="https://github.com/aminadibi/astrazenecaVIPIT" TargetMode="External" /><Relationship Type="http://schemas.openxmlformats.org/officeDocument/2006/relationships/hyperlink" Id="rId106" Target="https://healthycanadians.gc.ca/recall-alert-rappel-avis/hc-sc/2021/75389a-eng.php" TargetMode="External" /><Relationship Type="http://schemas.openxmlformats.org/officeDocument/2006/relationships/hyperlink" Id="rId84" Target="https://plato.stanford.edu/archives/win2016/entries/doing-allowing/" TargetMode="External" /><Relationship Type="http://schemas.openxmlformats.org/officeDocument/2006/relationships/hyperlink" Id="rId67" Target="https://www.albertahealthservices.ca/assets/info/ppih/if-ppih-covid-19-sag-rapid-brief-screening-and-preventing-venous-thromboembolic-events.pdf" TargetMode="External" /><Relationship Type="http://schemas.openxmlformats.org/officeDocument/2006/relationships/hyperlink" Id="rId94" Target="https://www.astrazeneca.com/media-centre/press-releases/2021/azd1222-us-phase-iii-primary-analysis-confirms-safety-and-efficacy.html" TargetMode="External" /><Relationship Type="http://schemas.openxmlformats.org/officeDocument/2006/relationships/hyperlink" Id="rId73" Target="https://www.bbc.com/news/uk-56158405" TargetMode="External" /><Relationship Type="http://schemas.openxmlformats.org/officeDocument/2006/relationships/hyperlink" Id="rId55" Target="https://www.canada.ca/en/public-health/services/diseases/2019-novel-coronavirus-infection/prevention-risks/covid-19-vaccine-treatment/vaccine-rollout.html#a4e" TargetMode="External" /><Relationship Type="http://schemas.openxmlformats.org/officeDocument/2006/relationships/hyperlink" Id="rId39" Target="https://www.canada.ca/en/public-health/services/immunization/national-advisory-committee-on-immunization-naci/rapid-response-recommended-use-astrazeneca-covid-19-vaccine-younger-adults.html" TargetMode="External" /><Relationship Type="http://schemas.openxmlformats.org/officeDocument/2006/relationships/hyperlink" Id="rId108" Target="https://www.gov.uk/government/publications/use-of-the-astrazeneca-covid-19-vaccine-jcvi-statement/jcvi-statement-on-use-of-the-astrazeneca-covid-19-vaccine-7-april-2021" TargetMode="External" /><Relationship Type="http://schemas.openxmlformats.org/officeDocument/2006/relationships/hyperlink" Id="rId57" Target="https://www.medrxiv.org/content/10.1101/2021.02.23.21252309v1" TargetMode="External" /><Relationship Type="http://schemas.openxmlformats.org/officeDocument/2006/relationships/hyperlink" Id="rId104" Target="https://www.medrxiv.org/content/10.1101/2021.03.01.21252652v1" TargetMode="External" /><Relationship Type="http://schemas.openxmlformats.org/officeDocument/2006/relationships/hyperlink" Id="rId71" Target="https://www.medrxiv.org/content/10.1101/2021.03.11.21253275v1" TargetMode="External" /><Relationship Type="http://schemas.openxmlformats.org/officeDocument/2006/relationships/hyperlink" Id="rId81" Target="https://www.medrxiv.org/content/10.1101/2021.03.22.21254127v1" TargetMode="External" /><Relationship Type="http://schemas.openxmlformats.org/officeDocument/2006/relationships/hyperlink" Id="rId102" Target="https://www.medrxiv.org/content/10.1101/2021.03.26.21254391v1" TargetMode="External" /><Relationship Type="http://schemas.openxmlformats.org/officeDocument/2006/relationships/hyperlink" Id="rId98" Target="https://www.nature.com/articles/d41586-021-00409-0" TargetMode="External" /><Relationship Type="http://schemas.openxmlformats.org/officeDocument/2006/relationships/hyperlink" Id="rId77" Target="https://www.thelancet.com/journals/lancet/article/PIIS0140-6736(21)00432-3/abstract" TargetMode="External" /><Relationship Type="http://schemas.openxmlformats.org/officeDocument/2006/relationships/hyperlink" Id="rId96" Target="https://www.thelancet.com/journals/lancet/article/PIIS0140-6736(21)00628-0/abstract" TargetMode="External" /><Relationship Type="http://schemas.openxmlformats.org/officeDocument/2006/relationships/hyperlink" Id="rId65" Target="https://www12.statcan.gc.ca/census-recensement/2016/dp-pd/prof/details/page.cfm?Lang=E&amp;Geo1=PR&amp;Code1=59&amp;Geo2=PR&amp;Code2=01&amp;SearchText=Canada&amp;SearchType=Begins&amp;SearchPR=01&amp;B1=All&amp;type=0" TargetMode="External" /><Relationship Type="http://schemas.openxmlformats.org/officeDocument/2006/relationships/hyperlink" Id="rId62" Target="https://www150.statcan.gc.ca/n1/en/catalogue/13260003" TargetMode="External" /><Relationship Type="http://schemas.openxmlformats.org/officeDocument/2006/relationships/hyperlink" Id="rId86" Target="https://www2.gov.bc.ca/assets/gov/health/about-bc-s-health-care-system/office-of-the-provincial-health-officer/covid-19/ethics_framework_for_covid_march_28_2020.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Vaccination of Front-Line Workers with the AstraZeneca COVID-19 Vaccine: Benefits in the Face of Increased Risk for Prothrombotic Thrombocytopenia</dc:title>
  <dc:creator>Amin Adibi; Mohammad Mozafarihashjin; Mohsen Sadatsafavi</dc:creator>
  <cp:keywords/>
  <dcterms:created xsi:type="dcterms:W3CDTF">2021-05-09T07:24:43Z</dcterms:created>
  <dcterms:modified xsi:type="dcterms:W3CDTF">2021-05-09T07:24:43Z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Background: Recently, National Advisory Committee on Immunization (NACI) recommended against using the AstraZeneca COVID-19 vaccine in younger adults pending further review of the risk for vaccine-induced prothrombotic immune thrombocytopenia (VIPIT). In response, British Columbia (BC) halted its front-line workers vaccination program. It remains unclear whether the alternative mRNA vaccines can be immediately made available to front-line workers.Methods: Using latest evidence and compartmental modelling, we compared 1) expected number of deaths due to COVID-19 and VIPIT under the scenarios of immediately continuing vaccination of front-line workers with the AstraZeneca vaccine or delaying it in favour of mRNA vaccines from a societal perspective, and 2) the mortality risk of immediately receiving the AstraZeneca vaccine with waiting to receive an mRNA vaccine later from a personal perspective.Results: If BC restart the front-line worker vaccination program, we expect to see approximately 45,000 fewer cases of COVID-19, 800 fewer hospitalizations, 120 fewer COVID-related deaths, and 2,300 fewer cases of Long COVID, for an expected number of VIPIT-related deaths of 0.674 [95% CI 0.414-0.997]. In high-risk areas, delayed vaccination with mRNA vaccines led to 3.5-4.5 times higher excess mortality risk for those between 30 and 69 years of age. For those under 30, the AstraZeneca vaccine posed a higher risk than delayed vaccination with mRNA vaccines.Interpretation: The benefits of continuing immunization of front-line workers with the AstraZeneca vaccine far outweigh the risk both from a societal and a personal perspective for those over 40, and those over 30 in high-risk areas.</vt:lpwstr>
  </property>
  <property fmtid="{D5CDD505-2E9C-101B-9397-08002B2CF9AE}" pid="3" name="address">
    <vt:lpwstr/>
  </property>
</Properties>
</file>