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Override PartName="/word/media/rId81.png" ContentType="image/png"/>
  <Override PartName="/word/media/rId86.png" ContentType="image/png"/>
  <Override PartName="/word/media/rId72.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Who is healthy anyways? The effect of health disparities on racial gaps in lung function</w:t>
      </w:r>
    </w:p>
    <w:p>
      <w:pPr>
        <w:pStyle w:val="Author"/>
      </w:pPr>
      <w:r>
        <w:t xml:space="preserve">Amin Adibi</w:t>
      </w:r>
    </w:p>
    <w:p>
      <w:pPr>
        <w:pStyle w:val="Author"/>
      </w:pPr>
      <w:r>
        <w:t xml:space="preserve">Christopher Carlsten</w:t>
      </w:r>
    </w:p>
    <w:p>
      <w:pPr>
        <w:pStyle w:val="Author"/>
      </w:pPr>
      <w:r>
        <w:t xml:space="preserve">Emily Brigham</w:t>
      </w:r>
    </w:p>
    <w:p>
      <w:pPr>
        <w:pStyle w:val="Author"/>
      </w:pPr>
      <w:r>
        <w:t xml:space="preserve">Don Sin</w:t>
      </w:r>
    </w:p>
    <w:p>
      <w:pPr>
        <w:pStyle w:val="Author"/>
      </w:pPr>
      <w:r>
        <w:t xml:space="preserve">Peter Loewen</w:t>
      </w:r>
    </w:p>
    <w:p>
      <w:pPr>
        <w:pStyle w:val="Author"/>
      </w:pPr>
      <w:r>
        <w:t xml:space="preserve">Mohsen Sadatsafavi</w:t>
      </w:r>
    </w:p>
    <w:p>
      <w:pPr>
        <w:pStyle w:val="Date"/>
      </w:pPr>
      <w:r>
        <w:t xml:space="preserve">2024-12-11</w:t>
      </w:r>
    </w:p>
    <w:bookmarkStart w:id="20" w:name="abstract"/>
    <w:p>
      <w:pPr>
        <w:pStyle w:val="Heading2"/>
      </w:pPr>
      <w:r>
        <w:t xml:space="preserve">Abstract</w:t>
      </w:r>
    </w:p>
    <w:p>
      <w:pPr>
        <w:pStyle w:val="FirstParagraph"/>
      </w:pPr>
      <w:r>
        <w:rPr>
          <w:b/>
          <w:bCs/>
        </w:rPr>
        <w:t xml:space="preserve">RATIONALE:</w:t>
      </w:r>
      <w:r>
        <w:t xml:space="preserve"> </w:t>
      </w:r>
      <w:r>
        <w:t xml:space="preserve">Racialized populations disproportionately experience exposures that impair lung function. Race-neutral reference equations mitigate bias due to disparities at the cost of reduced precision. However, it is unclear what proportion of racial gaps in lung function is due to known disparities. We hypothesized that measurable disparities will help explain racial gaps in lung function.</w:t>
      </w:r>
    </w:p>
    <w:p>
      <w:pPr>
        <w:pStyle w:val="BodyText"/>
      </w:pPr>
      <w:r>
        <w:rPr>
          <w:b/>
          <w:bCs/>
        </w:rPr>
        <w:t xml:space="preserve">METHODS:</w:t>
      </w:r>
      <w:r>
        <w:t xml:space="preserve"> </w:t>
      </w:r>
      <w:r>
        <w:t xml:space="preserve">We defined reference populations from 18,359 Black and White NHANES 2007-2012 participants. Starting with non-smokers without respiratory symptoms or diagnoses, we sequentially excluded those with occupational exposure to dust/fumes, maternal tobacco use, second-hand smoke exposure,obesity, low physical activity, unhealthy diet, self-assessed poor health, and home ownership. Across successive populations, we compared average age-, sex-, and height-adjusted differences in FEV</w:t>
      </w:r>
      <w:r>
        <w:rPr>
          <w:vertAlign w:val="subscript"/>
        </w:rPr>
        <w:t xml:space="preserve">1</w:t>
      </w:r>
      <w:r>
        <w:t xml:space="preserve"> </w:t>
      </w:r>
      <w:r>
        <w:t xml:space="preserve">and FVC between Black and White adults (≥20) and youth (&lt;20).</w:t>
      </w:r>
    </w:p>
    <w:p>
      <w:pPr>
        <w:pStyle w:val="BodyText"/>
      </w:pPr>
      <w:r>
        <w:rPr>
          <w:b/>
          <w:bCs/>
        </w:rPr>
        <w:t xml:space="preserve">RESULTS:</w:t>
      </w:r>
      <w:r>
        <w:t xml:space="preserve"> </w:t>
      </w:r>
      <w:r>
        <w:t xml:space="preserve">From the base reference population to the most restrictive, the percentage of Black participants decreased from 20% to 16% in youth and 14% to 7% in adults. The racial gap in lung function was reduced from 0.40 L (95%CI 0.36-0.43) to 0.31 L (95%CI 0.26-0.36) in FEV</w:t>
      </w:r>
      <w:r>
        <w:rPr>
          <w:vertAlign w:val="subscript"/>
        </w:rPr>
        <w:t xml:space="preserve">1</w:t>
      </w:r>
      <w:r>
        <w:t xml:space="preserve"> </w:t>
      </w:r>
      <w:r>
        <w:t xml:space="preserve">and from 0.48 L (95%CI 0.44-0.51) to 0.36 (95%CI 0.30-0.42) in FVC in youth but increased in adults.</w:t>
      </w:r>
    </w:p>
    <w:p>
      <w:pPr>
        <w:pStyle w:val="BodyText"/>
      </w:pPr>
      <w:r>
        <w:rPr>
          <w:b/>
          <w:bCs/>
        </w:rPr>
        <w:t xml:space="preserve">CONCLUSIONS:</w:t>
      </w:r>
      <w:r>
        <w:t xml:space="preserve"> </w:t>
      </w:r>
      <w:r>
        <w:t xml:space="preserve">The disparities investigated herein explain up to 25% of the racial gap in lung function among American youth. Further research on adults is required.</w:t>
      </w:r>
    </w:p>
    <w:p>
      <w:r>
        <w:pict>
          <v:rect style="width:0;height:1.5pt" o:hralign="center" o:hrstd="t" o:hr="t"/>
        </w:pict>
      </w:r>
    </w:p>
    <w:bookmarkEnd w:id="20"/>
    <w:bookmarkStart w:id="21" w:name="background"/>
    <w:p>
      <w:pPr>
        <w:pStyle w:val="Heading2"/>
      </w:pPr>
      <w:r>
        <w:t xml:space="preserve">Background</w:t>
      </w:r>
    </w:p>
    <w:p>
      <w:pPr>
        <w:pStyle w:val="FirstParagraph"/>
      </w:pPr>
      <w:r>
        <w:t xml:space="preserve">Racial gaps in measures of lung function have been known since late 18th century. For more than a hundred years, pro-slavery scientists in the US weaponized the lower observed lung function in Black people to argue that Black bodies were inferior and justify White supremacy</w:t>
      </w:r>
      <w:r>
        <w:t xml:space="preserve"> </w:t>
      </w:r>
      <w:r>
        <w:t xml:space="preserve">[1]</w:t>
      </w:r>
      <w:r>
        <w:t xml:space="preserve">. This scientifically racist view was eventually replaced with the notion of innate but benign racial differences in lung function, likely attributable to anthropometric differences. In the twentieth century and with the growing adoption of pre-employment spirometry as a test of fitness for certain workers, occupation standards in the US proposed race-based adjustment of spirometry results to prevent hiring discrimination against Black people</w:t>
      </w:r>
      <w:r>
        <w:t xml:space="preserve"> </w:t>
      </w:r>
      <w:r>
        <w:t xml:space="preserve">[2]</w:t>
      </w:r>
      <w:r>
        <w:t xml:space="preserve">. In 2005, the American Thoracic Society (ATS) and the European Respiratory Society (ERS) started recommending race-specific reference equations for interpreting pulmonary function tests</w:t>
      </w:r>
      <w:r>
        <w:t xml:space="preserve"> </w:t>
      </w:r>
      <w:r>
        <w:t xml:space="preserve">[3]</w:t>
      </w:r>
      <w:r>
        <w:t xml:space="preserve">. In the past two decades, race-based lung function reference values have been widely used to guide diagnosis, severity grading, and management of lung diseases, decide priority for lung transplant surgery, as a fitness for employment eligibility in some industries, and to monitor occupational health and adjudicate insurance claims</w:t>
      </w:r>
      <w:r>
        <w:t xml:space="preserve"> </w:t>
      </w:r>
      <w:r>
        <w:t xml:space="preserve">[4, 5]</w:t>
      </w:r>
      <w:r>
        <w:t xml:space="preserve">.</w:t>
      </w:r>
    </w:p>
    <w:p>
      <w:pPr>
        <w:pStyle w:val="BodyText"/>
      </w:pPr>
      <w:r>
        <w:t xml:space="preserve">In recent years, increased awareness of the history of structural racism and disparities affecting racialized populations has led to calls to revisit race-based equations in medicine</w:t>
      </w:r>
      <w:r>
        <w:t xml:space="preserve"> </w:t>
      </w:r>
      <w:r>
        <w:t xml:space="preserve">[6]</w:t>
      </w:r>
      <w:r>
        <w:t xml:space="preserve">. Of note is the growing body of literature suggesting that racialized populations experience a disproportionate level of harmful environmental exposures that might hinder lung growth and lower lung function</w:t>
      </w:r>
      <w:r>
        <w:t xml:space="preserve"> </w:t>
      </w:r>
      <w:r>
        <w:t xml:space="preserve">[7]</w:t>
      </w:r>
      <w:r>
        <w:t xml:space="preserve">.</w:t>
      </w:r>
    </w:p>
    <w:p>
      <w:pPr>
        <w:pStyle w:val="BodyText"/>
      </w:pPr>
      <w:r>
        <w:t xml:space="preserve">Spirometry reference equations are developed with data from from</w:t>
      </w:r>
      <w:r>
        <w:t xml:space="preserve"> </w:t>
      </w:r>
      <w:r>
        <w:t xml:space="preserve">“healthy”</w:t>
      </w:r>
      <w:r>
        <w:t xml:space="preserve"> </w:t>
      </w:r>
      <w:r>
        <w:t xml:space="preserve">volunteers, who do not smoke, are asymptomatic, and have not been diagnosed with lung diseases</w:t>
      </w:r>
      <w:r>
        <w:t xml:space="preserve"> </w:t>
      </w:r>
      <w:r>
        <w:t xml:space="preserve">[8, 9]</w:t>
      </w:r>
      <w:r>
        <w:t xml:space="preserve">. This rather loose definition of what constitutes as healthy could potentially lead to a biased reference populations in which White volunteers have higher lung function values, simply because they were less likely to have been exposed to environmental and social factors that diminish lung function.</w:t>
      </w:r>
    </w:p>
    <w:p>
      <w:pPr>
        <w:pStyle w:val="BodyText"/>
      </w:pPr>
      <w:r>
        <w:t xml:space="preserve">The effects of social determinants of health on lung function have been discussed in the literature for decades. The 1991 official statements of the American Thoracic Society on interpretative strategies for lung function testing discussed the effects of environmental factors, smoking, indoor and outdoor air pollution, occupational exposures, built environment and socio-economic factors as the main sources of between-individual variability in lung function</w:t>
      </w:r>
      <w:r>
        <w:t xml:space="preserve">[10]</w:t>
      </w:r>
      <w:r>
        <w:t xml:space="preserve">. The statement also mentions racial differences that persist after adjusting for age, height, smoking, air pollution, and altitude, and hypothesizes that these differences may in part be due to body measurements, environmental differences, nutrition, physical activity, and socioeconomic factors</w:t>
      </w:r>
      <w:r>
        <w:t xml:space="preserve"> </w:t>
      </w:r>
      <w:r>
        <w:t xml:space="preserve">[10]</w:t>
      </w:r>
      <w:r>
        <w:t xml:space="preserve">. A 1986 review of between-individual variation in FVC attributed up to 30% of variation to biological sex, up to 30% to age, height, and weight, 10% to race, 3% to measurement error, and 27% to unexplained factors</w:t>
      </w:r>
      <w:r>
        <w:t xml:space="preserve">[11]</w:t>
      </w:r>
      <w:r>
        <w:t xml:space="preserve">. Our study focuses on the proportion of variability that was historically attributed to race can be explained by social determinants of health.</w:t>
      </w:r>
    </w:p>
    <w:p>
      <w:pPr>
        <w:pStyle w:val="BodyText"/>
      </w:pPr>
      <w:r>
        <w:t xml:space="preserve">Our understanding of the contribution of environmental and social factors to racial differences in lung function remains limited. A 2022 systematic review found two representative studies in the US population</w:t>
      </w:r>
      <w:r>
        <w:t xml:space="preserve">[12]</w:t>
      </w:r>
      <w:r>
        <w:t xml:space="preserve">, one focused on adults</w:t>
      </w:r>
      <w:r>
        <w:t xml:space="preserve">[13]</w:t>
      </w:r>
      <w:r>
        <w:t xml:space="preserve"> </w:t>
      </w:r>
      <w:r>
        <w:t xml:space="preserve">and one on children</w:t>
      </w:r>
      <w:r>
        <w:t xml:space="preserve">[14]</w:t>
      </w:r>
      <w:r>
        <w:t xml:space="preserve">. The study on adults attributed 35-39% of the racial gap in lung function to sitting height, 2.5-7.5% to poverty, and 2.0-4.7% to education</w:t>
      </w:r>
      <w:r>
        <w:t xml:space="preserve"> </w:t>
      </w:r>
      <w:r>
        <w:t xml:space="preserve">[13]</w:t>
      </w:r>
      <w:r>
        <w:t xml:space="preserve">. In children, sitting height accounted for 42-53% of the racial gap, while diet and socio-economic status accounted for 7-10% of the racial differences</w:t>
      </w:r>
      <w:r>
        <w:t xml:space="preserve"> </w:t>
      </w:r>
      <w:r>
        <w:t xml:space="preserve">[14]</w:t>
      </w:r>
      <w:r>
        <w:t xml:space="preserve">. However, these studies consider a limited set of social exposures, typically comprised of poverty index, BMI, education, employment, and household size and were conducted using older US National Health and Nutrition Examination Survey (NHANES) III survey data (1988–1994).</w:t>
      </w:r>
    </w:p>
    <w:p>
      <w:pPr>
        <w:pStyle w:val="BodyText"/>
      </w:pPr>
      <w:r>
        <w:t xml:space="preserve">We hypothesized that accounting for a more comprehensive set of social and environmental exposures in newer iterations of NHANES data could explain a larger proportion of racial gaps in lung function than previously reported. We have presented a preliminary version of these results in the 2024 European Respiratory Congress in Vienna</w:t>
      </w:r>
      <w:r>
        <w:t xml:space="preserve"> </w:t>
      </w:r>
      <w:r>
        <w:t xml:space="preserve">[15]</w:t>
      </w:r>
      <w:r>
        <w:t xml:space="preserve">.</w:t>
      </w:r>
    </w:p>
    <w:bookmarkEnd w:id="21"/>
    <w:bookmarkStart w:id="22" w:name="methods"/>
    <w:p>
      <w:pPr>
        <w:pStyle w:val="Heading2"/>
      </w:pPr>
      <w:r>
        <w:t xml:space="preserve">Methods</w:t>
      </w:r>
    </w:p>
    <w:p>
      <w:pPr>
        <w:pStyle w:val="FirstParagraph"/>
      </w:pPr>
      <w:r>
        <w:t xml:space="preserve">We used data from three cycles of NHANES (2007-2012) to define 10 increasingly healthier reference populations. We included self-identified Black and White individuals with valid height recording and high-quality spirometry. Starting from the base reference population of non-smokers with no diagnoses of lung diseases or respiratory symptoms, we sequentially excluded those with confirmeed occupational exposures, physical inactivity, maternal smoking, obesity, no home ownership, no insurance, lower education, and unhealthy diet.</w:t>
      </w:r>
    </w:p>
    <w:p>
      <w:pPr>
        <w:pStyle w:val="BodyText"/>
      </w:pPr>
      <w:r>
        <w:t xml:space="preserve">For each reference population, the racial gap was calculated as the average difference between Black and White populations adjusted by age, height, and sex in a linear regression. We evaluated the reduction in the racial gap separately for youth (&lt;20 yrs) and adults (≥20 yrs). The distinction between adults and youth was made based on how NHANES data is structured; for example, the educational level variable is only available for those 20 years of age and older.</w:t>
      </w:r>
    </w:p>
    <w:p>
      <w:pPr>
        <w:pStyle w:val="BodyText"/>
      </w:pPr>
      <w:r>
        <w:t xml:space="preserve">In the sensitivity analyses, we evaluated the results separately for males and females, those born outside of the U.S. versus those who were born in the U.S., and other groups of self-identified race and ethnicity. We also evaluated the proportion of the racial gap in lung function that can be explained by poverty alone. To due this, we assessed the effects of sequentially restricting the reference population to those with income-to-poverty ratios of equal or larger than 1, 1.5, 2, 2.5, up to 5.</w:t>
      </w:r>
    </w:p>
    <w:bookmarkEnd w:id="22"/>
    <w:bookmarkStart w:id="35" w:name="results"/>
    <w:p>
      <w:pPr>
        <w:pStyle w:val="Heading2"/>
      </w:pPr>
      <w:r>
        <w:t xml:space="preserve">Results</w:t>
      </w:r>
    </w:p>
    <w:p>
      <w:pPr>
        <w:pStyle w:val="FirstParagraph"/>
      </w:pPr>
      <w:r>
        <w:t xml:space="preserve">Of the 18,359 self-identified Black and White participants in NHANES 2007-2012, 10,457 participants had valid height and high quality spirometry. This included 7,533 adults and 2,924 youth. Characteristics of participants is summarized in</w:t>
      </w:r>
      <w:r>
        <w:t xml:space="preserve"> </w:t>
      </w:r>
      <w:hyperlink w:anchor="tbl-table1">
        <w:r>
          <w:rPr>
            <w:rStyle w:val="Hyperlink"/>
          </w:rPr>
          <w:t xml:space="preserve">Table 1</w:t>
        </w:r>
      </w:hyperlink>
      <w:r>
        <w:t xml:space="preserve"> </w:t>
      </w:r>
      <w:r>
        <w:t xml:space="preserve">.</w:t>
      </w:r>
    </w:p>
    <w:tbl>
      <w:tblPr>
        <w:tblStyle w:val="Table"/>
        <w:tblW w:type="pct" w:w="5000"/>
        <w:tblLayout w:type="fixed"/>
        <w:tblLook w:firstRow="0" w:lastRow="0" w:firstColumn="0" w:lastColumn="0" w:noHBand="0" w:noVBand="0" w:val="0000"/>
      </w:tblPr>
      <w:tblGrid>
        <w:gridCol w:w="7920"/>
      </w:tblGrid>
      <w:tr>
        <w:tc>
          <w:tcPr/>
          <w:bookmarkStart w:id="23" w:name="tbl-table1"/>
          <w:p>
            <w:pPr>
              <w:jc w:val="center"/>
            </w:pPr>
            <w:pPr>
              <w:jc w:val="start"/>
              <w:spacing w:before="200"/>
              <w:pStyle w:val="ImageCaption"/>
            </w:pPr>
            <w:r>
              <w:t xml:space="preserve">Table 1: Characteristics of Participants Included in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3"/>
              <w:gridCol w:w="2123"/>
              <w:gridCol w:w="2123"/>
              <w:gridCol w:w="2123"/>
            </w:tblGrid>
            <w:tr>
              <w:trPr>
                <w:trHeight w:val="78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Adults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(N=7533)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Youth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(N=2924)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(N=10457)</w:t>
                  </w:r>
                </w:p>
              </w:tc>
            </w:tr>
            <w:tr>
              <w:trPr>
                <w:trHeight w:val="5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 (3.93)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37.6 (21.0)</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47.0 [20.0,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[6.00,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 [6.00, 79.0]</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race_text_nhanes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2420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1311 (44.8%)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3731 (35.7%)</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5113 (67.9%)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1613 (55.2%)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6726 (64.3%)</w:t>
                  </w:r>
                </w:p>
              </w:tc>
            </w:tr>
            <w:tr>
              <w:trPr>
                <w:trHeight w:val="58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sex_text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3864 (51.3%)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1450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5314 (50.8%)</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3669 (48.7%)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1474 (50.4%)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5143 (49.2%)</w:t>
                  </w:r>
                </w:p>
              </w:tc>
            </w:tr>
            <w:tr>
              <w:trPr>
                <w:trHeight w:val="575"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fev1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 (0.920)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2.96 (0.971)</w:t>
                  </w:r>
                </w:p>
              </w:tc>
            </w:tr>
            <w:tr>
              <w:trPr>
                <w:trHeight w:val="61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 [0.476,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 [0.816, 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 [0.476, 6.92]</w:t>
                  </w:r>
                </w:p>
              </w:tc>
            </w:tr>
            <w:tr>
              <w:trPr>
                <w:trHeight w:val="574"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fvc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3.97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3.74 (1.20)</w:t>
                  </w:r>
                </w:p>
              </w:tc>
            </w:tr>
            <w:tr>
              <w:trPr>
                <w:trHeight w:val="613"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3.88 [1.10, 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 [1.01, 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3.69 [1.01, 8.08]</w:t>
                  </w:r>
                </w:p>
              </w:tc>
            </w:tr>
            <w:tr>
              <w:trPr>
                <w:trHeight w:val="596"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ever_100_smoke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3775 (50.1%)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3775 (36.1%)</w:t>
                  </w:r>
                </w:p>
              </w:tc>
            </w:tr>
            <w:tr>
              <w:trPr>
                <w:trHeight w:val="61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3756 (49.9%)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3756 (35.9%)</w:t>
                  </w:r>
                </w:p>
              </w:tc>
            </w:tr>
            <w:tr>
              <w:trPr>
                <w:trHeight w:val="617"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2926 (28.0%)</w:t>
                  </w:r>
                </w:p>
              </w:tc>
            </w:tr>
            <w:tr>
              <w:trPr>
                <w:trHeight w:val="596"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current_smoke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Everyday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1659 (22.0%)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1659 (15.9%)</w:t>
                  </w:r>
                </w:p>
              </w:tc>
            </w:tr>
            <w:tr>
              <w:trPr>
                <w:trHeight w:val="616"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Not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1840 (24.4%)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1840 (17.6%)</w:t>
                  </w:r>
                </w:p>
              </w:tc>
            </w:tr>
            <w:tr>
              <w:trPr>
                <w:trHeight w:val="620"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Some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 (2.4%)</w:t>
                  </w:r>
                </w:p>
              </w:tc>
            </w:tr>
            <w:tr>
              <w:trPr>
                <w:trHeight w:val="617"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3778 (50.2%)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6702 (64.1%)</w:t>
                  </w:r>
                </w:p>
              </w:tc>
            </w:tr>
            <w:tr>
              <w:trPr>
                <w:trHeight w:val="573"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smoker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3817 (50.7%)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3981 (38.1%)</w:t>
                  </w:r>
                </w:p>
              </w:tc>
            </w:tr>
            <w:tr>
              <w:trPr>
                <w:trHeight w:val="616"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3716 (49.3%)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2760 (94.4%)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6476 (61.9%)</w:t>
                  </w:r>
                </w:p>
              </w:tc>
            </w:tr>
            <w:tr>
              <w:trPr>
                <w:trHeight w:val="597"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smoker_in_household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5949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2341 (80.1%)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8290 (79.3%)</w:t>
                  </w:r>
                </w:p>
              </w:tc>
            </w:tr>
            <w:tr>
              <w:trPr>
                <w:trHeight w:val="616"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1559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571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2130 (20.4%)</w:t>
                  </w:r>
                </w:p>
              </w:tc>
            </w:tr>
            <w:tr>
              <w:trPr>
                <w:trHeight w:val="617"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 (0.4%)</w:t>
                  </w:r>
                </w:p>
              </w:tc>
            </w:tr>
            <w:tr>
              <w:trPr>
                <w:trHeight w:val="596"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maternal_smoke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1718 (58.8%)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1718 (16.4%)</w:t>
                  </w:r>
                </w:p>
              </w:tc>
            </w:tr>
            <w:tr>
              <w:trPr>
                <w:trHeight w:val="61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 (3.4%)</w:t>
                  </w:r>
                </w:p>
              </w:tc>
            </w:tr>
            <w:tr>
              <w:trPr>
                <w:trHeight w:val="617"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7533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849 (29.0%)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8382 (80.2%)</w:t>
                  </w:r>
                </w:p>
              </w:tc>
            </w:tr>
            <w:tr>
              <w:trPr>
                <w:trHeight w:val="597"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ever_asthma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6351 (84.3%)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2296 (78.5%)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8647 (82.7%)</w:t>
                  </w:r>
                </w:p>
              </w:tc>
            </w:tr>
            <w:tr>
              <w:trPr>
                <w:trHeight w:val="616"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1177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625 (21.4%)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1802 (17.2%)</w:t>
                  </w:r>
                </w:p>
              </w:tc>
            </w:tr>
            <w:tr>
              <w:trPr>
                <w:trHeight w:val="61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(0.1%)</w:t>
                  </w:r>
                </w:p>
              </w:tc>
            </w:tr>
            <w:tr>
              <w:trPr>
                <w:trHeight w:val="597"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ever_bronchitis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7064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7064 (67.6%)</w:t>
                  </w:r>
                </w:p>
              </w:tc>
            </w:tr>
            <w:tr>
              <w:trPr>
                <w:trHeight w:val="616"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 (4.4%)</w:t>
                  </w:r>
                </w:p>
              </w:tc>
            </w:tr>
            <w:tr>
              <w:trPr>
                <w:trHeight w:val="617"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2936 (28.1%)</w:t>
                  </w:r>
                </w:p>
              </w:tc>
            </w:tr>
            <w:tr>
              <w:trPr>
                <w:trHeight w:val="616"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ever_emphysema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7407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7407 (70.8%)</w:t>
                  </w:r>
                </w:p>
              </w:tc>
            </w:tr>
            <w:tr>
              <w:trPr>
                <w:trHeight w:val="616"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(1.1%)</w:t>
                  </w:r>
                </w:p>
              </w:tc>
            </w:tr>
            <w:tr>
              <w:trPr>
                <w:trHeight w:val="617"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2930 (28.0%)</w:t>
                  </w:r>
                </w:p>
              </w:tc>
            </w:tr>
            <w:tr>
              <w:trPr>
                <w:trHeight w:val="618"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cough_3_month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4255 (56.5%)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4255 (40.7%)</w:t>
                  </w:r>
                </w:p>
              </w:tc>
            </w:tr>
            <w:tr>
              <w:trPr>
                <w:trHeight w:val="616"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540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540 (5.2%)</w:t>
                  </w:r>
                </w:p>
              </w:tc>
            </w:tr>
            <w:tr>
              <w:trPr>
                <w:trHeight w:val="617"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2738 (36.3%)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5662 (54.1%)</w:t>
                  </w:r>
                </w:p>
              </w:tc>
            </w:tr>
            <w:tr>
              <w:trPr>
                <w:trHeight w:val="618"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phlegm_3_month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4361 (57.9%)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4361 (41.7%)</w:t>
                  </w:r>
                </w:p>
              </w:tc>
            </w:tr>
            <w:tr>
              <w:trPr>
                <w:trHeight w:val="61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 (4.2%)</w:t>
                  </w:r>
                </w:p>
              </w:tc>
            </w:tr>
            <w:tr>
              <w:trPr>
                <w:trHeight w:val="617"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2736 (36.3%)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5660 (54.1%)</w:t>
                  </w:r>
                </w:p>
              </w:tc>
            </w:tr>
            <w:tr>
              <w:trPr>
                <w:trHeight w:val="618"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wheezing_past_yr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6380 (84.7%)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2552 (87.3%)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8932 (85.4%)</w:t>
                  </w:r>
                </w:p>
              </w:tc>
            </w:tr>
            <w:tr>
              <w:trPr>
                <w:trHeight w:val="61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1146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371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1517 (14.5%)</w:t>
                  </w:r>
                </w:p>
              </w:tc>
            </w:tr>
            <w:tr>
              <w:trPr>
                <w:trHeight w:val="617"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(0.1%)</w:t>
                  </w:r>
                </w:p>
              </w:tc>
            </w:tr>
            <w:tr>
              <w:trPr>
                <w:trHeight w:val="618"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dry_cough_night_past_yr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7127 (94.6%)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2813 (96.2%)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9940 (95.1%)</w:t>
                  </w:r>
                </w:p>
              </w:tc>
            </w:tr>
            <w:tr>
              <w:trPr>
                <w:trHeight w:val="616"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 (4.9%)</w:t>
                  </w:r>
                </w:p>
              </w:tc>
            </w:tr>
            <w:tr>
              <w:trPr>
                <w:trHeight w:val="617"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(0.0%)</w:t>
                  </w:r>
                </w:p>
              </w:tc>
            </w:tr>
            <w:tr>
              <w:trPr>
                <w:trHeight w:val="597"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mineral_dusts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4958 (65.8%)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406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5364 (51.3%)</w:t>
                  </w:r>
                </w:p>
              </w:tc>
            </w:tr>
            <w:tr>
              <w:trPr>
                <w:trHeight w:val="616"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2421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2527 (24.2%)</w:t>
                  </w:r>
                </w:p>
              </w:tc>
            </w:tr>
            <w:tr>
              <w:trPr>
                <w:trHeight w:val="617"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2412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2566 (24.5%)</w:t>
                  </w:r>
                </w:p>
              </w:tc>
            </w:tr>
            <w:tr>
              <w:trPr>
                <w:trHeight w:val="618"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organic_dusts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5684 (75.5%)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411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6095 (58.3%)</w:t>
                  </w:r>
                </w:p>
              </w:tc>
            </w:tr>
            <w:tr>
              <w:trPr>
                <w:trHeight w:val="616"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1707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1808 (17.3%)</w:t>
                  </w:r>
                </w:p>
              </w:tc>
            </w:tr>
            <w:tr>
              <w:trPr>
                <w:trHeight w:val="617"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2412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2554 (24.4%)</w:t>
                  </w:r>
                </w:p>
              </w:tc>
            </w:tr>
            <w:tr>
              <w:trPr>
                <w:trHeight w:val="598"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exhaust_fumes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5339 (70.9%)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5791 (55.4%)</w:t>
                  </w:r>
                </w:p>
              </w:tc>
            </w:tr>
            <w:tr>
              <w:trPr>
                <w:trHeight w:val="61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2057 (27.3%)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2117 (20.2%)</w:t>
                  </w:r>
                </w:p>
              </w:tc>
            </w:tr>
            <w:tr>
              <w:trPr>
                <w:trHeight w:val="617"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2412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2549 (24.4%)</w:t>
                  </w:r>
                </w:p>
              </w:tc>
            </w:tr>
            <w:tr>
              <w:trPr>
                <w:trHeight w:val="598"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other_fumes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4973 (66.0%)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399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5372 (51.4%)</w:t>
                  </w:r>
                </w:p>
              </w:tc>
            </w:tr>
            <w:tr>
              <w:trPr>
                <w:trHeight w:val="61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2422 (32.2%)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2535 (24.2%)</w:t>
                  </w:r>
                </w:p>
              </w:tc>
            </w:tr>
            <w:tr>
              <w:trPr>
                <w:trHeight w:val="617"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2412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2550 (24.4%)</w:t>
                  </w:r>
                </w:p>
              </w:tc>
            </w:tr>
            <w:tr>
              <w:trPr>
                <w:trHeight w:val="616"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income_poverty_ratio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 (1.68)</w:t>
                  </w:r>
                </w:p>
              </w:tc>
            </w:tr>
            <w:tr>
              <w:trPr>
                <w:trHeight w:val="613"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2.51 [0,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 [0,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[0, 5.00]</w:t>
                  </w:r>
                </w:p>
              </w:tc>
            </w:tr>
            <w:tr>
              <w:trPr>
                <w:trHeight w:val="617"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486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654 (6.3%)</w:t>
                  </w:r>
                </w:p>
              </w:tc>
            </w:tr>
            <w:tr>
              <w:trPr>
                <w:trHeight w:val="597"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home_owner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 (0.4%)</w:t>
                  </w:r>
                </w:p>
              </w:tc>
            </w:tr>
            <w:tr>
              <w:trPr>
                <w:trHeight w:val="616"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7503 (99.6%)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2908 (99.5%)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10411 (99.6%)</w:t>
                  </w:r>
                </w:p>
              </w:tc>
            </w:tr>
            <w:tr>
              <w:trPr>
                <w:trHeight w:val="597"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education_adults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9-11th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1047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1047 (10.0%)</w:t>
                  </w:r>
                </w:p>
              </w:tc>
            </w:tr>
            <w:tr>
              <w:trPr>
                <w:trHeight w:val="621"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College graduate or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1928 (25.6%)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1928 (18.4%)</w:t>
                  </w:r>
                </w:p>
              </w:tc>
            </w:tr>
            <w:tr>
              <w:trPr>
                <w:trHeight w:val="618"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High school graduate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1869 (24.8%)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1869 (17.9%)</w:t>
                  </w:r>
                </w:p>
              </w:tc>
            </w:tr>
            <w:tr>
              <w:trPr>
                <w:trHeight w:val="618"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Less than 9th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(2.2%)</w:t>
                  </w:r>
                </w:p>
              </w:tc>
            </w:tr>
            <w:tr>
              <w:trPr>
                <w:trHeight w:val="621"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Some college or AA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2455 (32.6%)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2455 (23.5%)</w:t>
                  </w:r>
                </w:p>
              </w:tc>
            </w:tr>
            <w:tr>
              <w:trPr>
                <w:trHeight w:val="617"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2927 (28.0%)</w:t>
                  </w:r>
                </w:p>
              </w:tc>
            </w:tr>
            <w:tr>
              <w:trPr>
                <w:trHeight w:val="618"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now_attending_school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Between grades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 (4.1%)</w:t>
                  </w:r>
                </w:p>
              </w:tc>
            </w:tr>
            <w:tr>
              <w:trPr>
                <w:trHeight w:val="616"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In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1334 (45.6%)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1334 (12.8%)</w:t>
                  </w:r>
                </w:p>
              </w:tc>
            </w:tr>
            <w:tr>
              <w:trPr>
                <w:trHeight w:val="617"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7533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1163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8696 (83.2%)</w:t>
                  </w:r>
                </w:p>
              </w:tc>
            </w:tr>
            <w:tr>
              <w:trPr>
                <w:trHeight w:val="61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healthy_diet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772 (7.4%)</w:t>
                  </w:r>
                </w:p>
              </w:tc>
            </w:tr>
            <w:tr>
              <w:trPr>
                <w:trHeight w:val="616"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1608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1802 (17.2%)</w:t>
                  </w:r>
                </w:p>
              </w:tc>
            </w:tr>
            <w:tr>
              <w:trPr>
                <w:trHeight w:val="616"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3136 (41.6%)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368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3504 (33.5%)</w:t>
                  </w:r>
                </w:p>
              </w:tc>
            </w:tr>
            <w:tr>
              <w:trPr>
                <w:trHeight w:val="616"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443 (4.2%)</w:t>
                  </w:r>
                </w:p>
              </w:tc>
            </w:tr>
            <w:tr>
              <w:trPr>
                <w:trHeight w:val="618"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Very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1679 (22.3%)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1826 (17.5%)</w:t>
                  </w:r>
                </w:p>
              </w:tc>
            </w:tr>
            <w:tr>
              <w:trPr>
                <w:trHeight w:val="617"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2108 (72.1%)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2110 (20.2%)</w:t>
                  </w:r>
                </w:p>
              </w:tc>
            </w:tr>
            <w:tr>
              <w:trPr>
                <w:trHeight w:val="617"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vigorous_work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5963 (79.2%)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1352 (46.2%)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7315 (70.0%)</w:t>
                  </w:r>
                </w:p>
              </w:tc>
            </w:tr>
            <w:tr>
              <w:trPr>
                <w:trHeight w:val="616"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1570 (20.8%)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1771 (16.9%)</w:t>
                  </w:r>
                </w:p>
              </w:tc>
            </w:tr>
            <w:tr>
              <w:trPr>
                <w:trHeight w:val="617"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(13.1%)</w:t>
                  </w:r>
                </w:p>
              </w:tc>
            </w:tr>
            <w:tr>
              <w:trPr>
                <w:trHeight w:val="597"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moderate_work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4467 (59.3%)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984 (33.7%)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5451 (52.1%)</w:t>
                  </w:r>
                </w:p>
              </w:tc>
            </w:tr>
            <w:tr>
              <w:trPr>
                <w:trHeight w:val="616"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3066 (40.7%)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569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3635 (34.8%)</w:t>
                  </w:r>
                </w:p>
              </w:tc>
            </w:tr>
            <w:tr>
              <w:trPr>
                <w:trHeight w:val="617"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(13.1%)</w:t>
                  </w:r>
                </w:p>
              </w:tc>
            </w:tr>
            <w:tr>
              <w:trPr>
                <w:trHeight w:val="617"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vigorous_recreational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5732 (76.1%)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619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6351 (60.7%)</w:t>
                  </w:r>
                </w:p>
              </w:tc>
            </w:tr>
            <w:tr>
              <w:trPr>
                <w:trHeight w:val="616"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1801 (23.9%)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933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2734 (26.1%)</w:t>
                  </w:r>
                </w:p>
              </w:tc>
            </w:tr>
            <w:tr>
              <w:trPr>
                <w:trHeight w:val="617"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(13.1%)</w:t>
                  </w:r>
                </w:p>
              </w:tc>
            </w:tr>
            <w:tr>
              <w:trPr>
                <w:trHeight w:val="597"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moderate_recreational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4168 (55.3%)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767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4935 (47.2%)</w:t>
                  </w:r>
                </w:p>
              </w:tc>
            </w:tr>
            <w:tr>
              <w:trPr>
                <w:trHeight w:val="61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3364 (44.7%)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786 (26.9%)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4150 (39.7%)</w:t>
                  </w:r>
                </w:p>
              </w:tc>
            </w:tr>
            <w:tr>
              <w:trPr>
                <w:trHeight w:val="617"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(13.1%)</w:t>
                  </w:r>
                </w:p>
              </w:tc>
            </w:tr>
            <w:tr>
              <w:trPr>
                <w:trHeight w:val="573"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 (7.06)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 (6.13)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 (7.62)</w:t>
                  </w:r>
                </w:p>
              </w:tc>
            </w:tr>
            <w:tr>
              <w:trPr>
                <w:trHeight w:val="613"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 [13.2, 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 [12.5, 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 [12.5, 84.9]</w:t>
                  </w:r>
                </w:p>
              </w:tc>
            </w:tr>
            <w:tr>
              <w:trPr>
                <w:trHeight w:val="617" w:hRule="auto"/>
              </w:trPr>
              body124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 (0.5%)</w:t>
                  </w:r>
                </w:p>
              </w:tc>
            </w:tr>
          </w:tbl>
          <w:bookmarkEnd w:id="23"/>
        </w:tc>
      </w:tr>
    </w:tbl>
    <w:p>
      <w:pPr>
        <w:pStyle w:val="BodyText"/>
      </w:pPr>
      <w:r>
        <w:t xml:space="preserve">From the base reference population to the most restrictive, the proportion of Black participants decreased from 19% to 9% in youth and 14% to 4% in adults, as shown in</w:t>
      </w:r>
      <w:r>
        <w:t xml:space="preserve"> </w:t>
      </w:r>
      <w:hyperlink w:anchor="fig-racialgap">
        <w:r>
          <w:rPr>
            <w:rStyle w:val="Hyperlink"/>
          </w:rPr>
          <w:t xml:space="preserve">Figure 1</w:t>
        </w:r>
      </w:hyperlink>
      <w:r>
        <w:t xml:space="preserve">. After excluding those with various social and environmental exposures, the racial gap in FEV</w:t>
      </w:r>
      <w:r>
        <w:rPr>
          <w:vertAlign w:val="subscript"/>
        </w:rPr>
        <w:t xml:space="preserve">1</w:t>
      </w:r>
      <w:r>
        <w:t xml:space="preserve"> </w:t>
      </w:r>
      <w:r>
        <w:t xml:space="preserve">and FVC was reduced by 26% and 19% in adults, and 25% and 26% in youth.</w:t>
      </w:r>
    </w:p>
    <w:tbl>
      <w:tblPr>
        <w:tblStyle w:val="Table"/>
        <w:tblW w:type="pct" w:w="5000"/>
        <w:tblLayout w:type="fixed"/>
        <w:tblLook w:firstRow="0" w:lastRow="0" w:firstColumn="0" w:lastColumn="0" w:noHBand="0" w:noVBand="0" w:val="0000"/>
      </w:tblPr>
      <w:tblGrid>
        <w:gridCol w:w="7920"/>
      </w:tblGrid>
      <w:tr>
        <w:tc>
          <w:tcPr/>
          <w:bookmarkStart w:id="27" w:name="fig-racialgap"/>
          <w:p>
            <w:pPr>
              <w:pStyle w:val="Compact"/>
              <w:jc w:val="center"/>
            </w:pPr>
            <w:r>
              <w:drawing>
                <wp:inline>
                  <wp:extent cx="5943600" cy="4754880"/>
                  <wp:effectExtent b="0" l="0" r="0" t="0"/>
                  <wp:docPr descr="" title="" id="25" name="Picture"/>
                  <a:graphic>
                    <a:graphicData uri="http://schemas.openxmlformats.org/drawingml/2006/picture">
                      <pic:pic>
                        <pic:nvPicPr>
                          <pic:cNvPr descr="who-is-healthy-anyways_files/figure-docx/fig-racialgap-1.png" id="26"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Changes in lung function racial gaps in successively more restrictive reference populations</w:t>
            </w:r>
          </w:p>
          <w:bookmarkEnd w:id="27"/>
        </w:tc>
      </w:tr>
    </w:tbl>
    <w:bookmarkStart w:id="34" w:name="secondary-and-sensitivity-analyses"/>
    <w:p>
      <w:pPr>
        <w:pStyle w:val="Heading3"/>
      </w:pPr>
      <w:r>
        <w:t xml:space="preserve">Secondary and Sensitivity Analyses</w:t>
      </w:r>
    </w:p>
    <w:bookmarkStart w:id="28" w:name="biological-sex"/>
    <w:p>
      <w:pPr>
        <w:pStyle w:val="Heading4"/>
      </w:pPr>
      <w:r>
        <w:t xml:space="preserve">Biological Sex</w:t>
      </w:r>
    </w:p>
    <w:p>
      <w:pPr>
        <w:pStyle w:val="FirstParagraph"/>
      </w:pPr>
      <w:r>
        <w:t xml:space="preserve">We also looked at the racial gap in lung function from the most permissive to the most restrictive reference population, separately for females and males. In females, the proportion of Black participants decreased from 20% to 10% in youth and 15% to 5% in adults. After excluding those with various social and environmental exposures, the racial gap in FEV</w:t>
      </w:r>
      <w:r>
        <w:rPr>
          <w:vertAlign w:val="subscript"/>
        </w:rPr>
        <w:t xml:space="preserve">1</w:t>
      </w:r>
      <w:r>
        <w:t xml:space="preserve"> </w:t>
      </w:r>
      <w:r>
        <w:t xml:space="preserve">and FVC was reduced by 27% and 20% in adults, and 16% and 19% in youth, respectively (appendix</w:t>
      </w:r>
      <w:r>
        <w:t xml:space="preserve"> </w:t>
      </w:r>
      <w:hyperlink w:anchor="suppfig-females">
        <w:r>
          <w:rPr>
            <w:rStyle w:val="Hyperlink"/>
          </w:rPr>
          <w:t xml:space="preserve">Figure S1</w:t>
        </w:r>
      </w:hyperlink>
      <w:r>
        <w:t xml:space="preserve">). In males, the proportion of Black participants decreased from 17% to 8% in youth and 12% to 4% in adults. After excluding those with various social and environmental exposures, the racial gap in FEV</w:t>
      </w:r>
      <w:r>
        <w:rPr>
          <w:vertAlign w:val="subscript"/>
        </w:rPr>
        <w:t xml:space="preserve">1</w:t>
      </w:r>
      <w:r>
        <w:t xml:space="preserve"> </w:t>
      </w:r>
      <w:r>
        <w:t xml:space="preserve">and FVC was reduced by 14% and 8% in adults, and 35% and 34% in youth (appendix</w:t>
      </w:r>
      <w:r>
        <w:t xml:space="preserve"> </w:t>
      </w:r>
      <w:hyperlink w:anchor="suppfig-males">
        <w:r>
          <w:rPr>
            <w:rStyle w:val="Hyperlink"/>
          </w:rPr>
          <w:t xml:space="preserve">Figure S2</w:t>
        </w:r>
      </w:hyperlink>
      <w:r>
        <w:t xml:space="preserve">).</w:t>
      </w:r>
    </w:p>
    <w:bookmarkEnd w:id="28"/>
    <w:bookmarkStart w:id="33" w:name="home-ownership-bmi-and-occupation"/>
    <w:p>
      <w:pPr>
        <w:pStyle w:val="Heading4"/>
      </w:pPr>
      <w:r>
        <w:t xml:space="preserve">Home Ownership, BMI, and Occupation</w:t>
      </w:r>
    </w:p>
    <w:p>
      <w:pPr>
        <w:pStyle w:val="FirstParagraph"/>
      </w:pPr>
      <w:r>
        <w:t xml:space="preserve">After excluding patients solely based on home ownership, BMI, and occupation, the proportion of Black participants decreased from 19% to 10% in youth and 14% to 11% in adults, as shown in</w:t>
      </w:r>
      <w:r>
        <w:t xml:space="preserve"> </w:t>
      </w:r>
      <w:hyperlink w:anchor="fig-racialgap-home-bmi-job">
        <w:r>
          <w:rPr>
            <w:rStyle w:val="Hyperlink"/>
          </w:rPr>
          <w:t xml:space="preserve">Figure 2</w:t>
        </w:r>
      </w:hyperlink>
      <w:r>
        <w:t xml:space="preserve">. After excluding those with various social and environmental exposures, the racial gap in FEV</w:t>
      </w:r>
      <w:r>
        <w:rPr>
          <w:vertAlign w:val="subscript"/>
        </w:rPr>
        <w:t xml:space="preserve">1</w:t>
      </w:r>
      <w:r>
        <w:t xml:space="preserve"> </w:t>
      </w:r>
      <w:r>
        <w:t xml:space="preserve">and FVC was reduced by 20% and 16% in adults, and 21% and 19% in youth.</w:t>
      </w:r>
    </w:p>
    <w:tbl>
      <w:tblPr>
        <w:tblStyle w:val="Table"/>
        <w:tblW w:type="pct" w:w="5000"/>
        <w:tblLayout w:type="fixed"/>
        <w:tblLook w:firstRow="0" w:lastRow="0" w:firstColumn="0" w:lastColumn="0" w:noHBand="0" w:noVBand="0" w:val="0000"/>
      </w:tblPr>
      <w:tblGrid>
        <w:gridCol w:w="7920"/>
      </w:tblGrid>
      <w:tr>
        <w:tc>
          <w:tcPr/>
          <w:bookmarkStart w:id="32" w:name="fig-racialgap-home-bmi-job"/>
          <w:p>
            <w:pPr>
              <w:pStyle w:val="Compact"/>
              <w:jc w:val="center"/>
            </w:pPr>
            <w:r>
              <w:drawing>
                <wp:inline>
                  <wp:extent cx="5943600" cy="4754880"/>
                  <wp:effectExtent b="0" l="0" r="0" t="0"/>
                  <wp:docPr descr="" title="" id="30" name="Picture"/>
                  <a:graphic>
                    <a:graphicData uri="http://schemas.openxmlformats.org/drawingml/2006/picture">
                      <pic:pic>
                        <pic:nvPicPr>
                          <pic:cNvPr descr="who-is-healthy-anyways_files/figure-docx/fig-racialgap-home-bmi-job-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Changes in lung function racial gaps after exclusions based on home ownership, BMI, and occupation</w:t>
            </w:r>
          </w:p>
          <w:bookmarkEnd w:id="32"/>
        </w:tc>
      </w:tr>
    </w:tbl>
    <w:p>
      <w:pPr>
        <w:pStyle w:val="BodyText"/>
      </w:pPr>
      <w:r>
        <w:t xml:space="preserve">In the supplementary material, we also explored the intersection of self-identified race and country of origin (</w:t>
      </w:r>
      <w:hyperlink w:anchor="suppfig-usborn">
        <w:r>
          <w:rPr>
            <w:rStyle w:val="Hyperlink"/>
          </w:rPr>
          <w:t xml:space="preserve">Figure S3</w:t>
        </w:r>
      </w:hyperlink>
      <w:r>
        <w:t xml:space="preserve">).</w:t>
      </w:r>
    </w:p>
    <w:bookmarkEnd w:id="33"/>
    <w:bookmarkEnd w:id="34"/>
    <w:bookmarkEnd w:id="35"/>
    <w:bookmarkStart w:id="36" w:name="discussion"/>
    <w:p>
      <w:pPr>
        <w:pStyle w:val="Heading2"/>
      </w:pPr>
      <w:r>
        <w:t xml:space="preserve">Discussion</w:t>
      </w:r>
    </w:p>
    <w:p>
      <w:pPr>
        <w:pStyle w:val="FirstParagraph"/>
      </w:pPr>
      <w:r>
        <w:t xml:space="preserve">Our results reinforce the critical role of environmental, social, and lifestyle factors in shaping health outcomes and suggest that a substantial portion of the racial gap in lung function can be explained by SDoH, with up to 26% of the gap in adults, and as much as 35% in males under 20 years of age, attributed to these factors. Our findings attribute a higher proportion of racial differences in lung function to social and environmental exposures than previously reported</w:t>
      </w:r>
      <w:r>
        <w:t xml:space="preserve"> </w:t>
      </w:r>
      <w:r>
        <w:t xml:space="preserve">[13, 14]</w:t>
      </w:r>
      <w:r>
        <w:t xml:space="preserve">.</w:t>
      </w:r>
    </w:p>
    <w:p>
      <w:pPr>
        <w:pStyle w:val="BodyText"/>
      </w:pPr>
      <w:r>
        <w:t xml:space="preserve">The higher explained proportion of the racial gap in lung function among individuals born in the US (i.e., up to 36% of the racial gap in adult FEV</w:t>
      </w:r>
      <w:r>
        <w:rPr>
          <w:vertAlign w:val="subscript"/>
        </w:rPr>
        <w:t xml:space="preserve">1</w:t>
      </w:r>
      <w:r>
        <w:t xml:space="preserve"> </w:t>
      </w:r>
      <w:r>
        <w:t xml:space="preserve">explained by the studied exposures) suggests that systemic factors such as racism, segregation, red-zoning, and other socio-economic inequities profoundly impact lung health. This aligns with the growing body of literature that implicates historical and structural inequities, such as redlining and differential environmental exposures, in perpetuating health disparities among racialized communities.</w:t>
      </w:r>
    </w:p>
    <w:p>
      <w:pPr>
        <w:pStyle w:val="BodyText"/>
      </w:pPr>
      <w:r>
        <w:t xml:space="preserve">Our analysis revealed that excluding individuals based on home ownership, BMI, and occupational exposures accounts for a significant portion of the explainable racial gap, indicating that financial stability, physical health, and work-related factors are pivotal contributors to lung function disparities. These findings suggest that interventions aimed at reducing socio-economic inequities could potentially mitigate a significant portion of racial gaps in lung function.</w:t>
      </w:r>
    </w:p>
    <w:p>
      <w:pPr>
        <w:pStyle w:val="BodyText"/>
      </w:pPr>
      <w:r>
        <w:t xml:space="preserve">Our study highlights the necessity for further research to comprehensively understand the interplay between SDoH, environmental exposures, and lung function across different populations. Future studies should aim to incorporate a wider array of SDoH, such as stress levels, access to healthcare, neighborhood safety, and intergenerational wealth effects. There is also a need for longitudinal studies that can elucidate causal pathways and the potential impact of policy changes on reducing health disparities.</w:t>
      </w:r>
    </w:p>
    <w:p>
      <w:pPr>
        <w:pStyle w:val="BodyText"/>
      </w:pPr>
      <w:r>
        <w:t xml:space="preserve">Moreover, exploring the intersectionality of race, gender identity, and other demographic factors could provide a more nuanced understanding of how diverse identities influence lung health outcomes. Expanding research to include international cohorts could enhance the generalizability of findings and support the development of global strategies to address lung health disparities.</w:t>
      </w:r>
    </w:p>
    <w:p>
      <w:pPr>
        <w:pStyle w:val="BodyText"/>
      </w:pPr>
      <w:r>
        <w:t xml:space="preserve">Certain limitations must be acknowledged. Our reliance on NHANES data restricts generalizability beyond the United States and hinders our ability to explore nuanced race and ethnicity groups. The available data also limits our assessment of various SDoH and environmental exposures, such as intergenerational wealth effects and life-course exposure to pollutants. Additionally, the absence of data on gender identity prevented us from analyzing potential differential effects.</w:t>
      </w:r>
    </w:p>
    <w:p>
      <w:pPr>
        <w:pStyle w:val="BodyText"/>
      </w:pPr>
      <w:r>
        <w:t xml:space="preserve">These findings have important implications for clinical practice and policy. Our results show a larger than previously known effect of complex exposures on racial gaps in lung function, and the true proportion is likely higher than our estimates. However, the racial gaps in lung function cannot yet be completely explained by disparities in complex exposures. The previous guidelines that recommended race-specific reference equations for pulmonary function testing risk assumed racial gaps in lung function were normal and reinforced inequities by perpetuating the notion of race as a biological determinant, rather than acknowledging the role of modifiable social factors. However, the new race-averaged reference equations also fail to account for our understanding of the the effect size of social and environmental exposures on lung function.</w:t>
      </w:r>
    </w:p>
    <w:p>
      <w:pPr>
        <w:pStyle w:val="BodyText"/>
      </w:pPr>
      <w:r>
        <w:t xml:space="preserve">Policymakers should consider strategies to reduce exposure to harmful environmental conditions, improve access to healthcare and education, and address occupational health disparities. Implementing policies that prioritize community-level interventions to enhance air quality, housing, and economic opportunities could play a crucial role in bridging these gaps.</w:t>
      </w:r>
    </w:p>
    <w:bookmarkEnd w:id="36"/>
    <w:bookmarkStart w:id="37" w:name="conclusions"/>
    <w:p>
      <w:pPr>
        <w:pStyle w:val="Heading2"/>
      </w:pPr>
      <w:r>
        <w:t xml:space="preserve">Conclusions</w:t>
      </w:r>
    </w:p>
    <w:p>
      <w:pPr>
        <w:pStyle w:val="FirstParagraph"/>
      </w:pPr>
      <w:r>
        <w:t xml:space="preserve">Our study underscores the significant influence of social determinants of health on lung function and shows that a larger proportion of racial gaps in lung function can be explained by social determinants of health than previously reported. However, we were unable to account for all racial differences in lung function based on measured social determinants of health in NHANES.</w:t>
      </w:r>
    </w:p>
    <w:bookmarkEnd w:id="37"/>
    <w:bookmarkStart w:id="69" w:name="references"/>
    <w:p>
      <w:pPr>
        <w:pStyle w:val="Heading2"/>
      </w:pPr>
      <w:r>
        <w:t xml:space="preserve">References</w:t>
      </w:r>
    </w:p>
    <w:bookmarkStart w:id="68" w:name="refs"/>
    <w:bookmarkStart w:id="39" w:name="ref-braun2023"/>
    <w:p>
      <w:pPr>
        <w:pStyle w:val="Bibliography"/>
      </w:pPr>
      <w:r>
        <w:t xml:space="preserve">1</w:t>
      </w:r>
      <w:r>
        <w:t xml:space="preserve"> </w:t>
      </w:r>
      <w:r>
        <w:t xml:space="preserve">	</w:t>
      </w:r>
      <w:r>
        <w:t xml:space="preserve">Braun L, Grisson R. Race, Lung Function, and the Historical Context of Prediction Equations.</w:t>
      </w:r>
      <w:r>
        <w:t xml:space="preserve"> </w:t>
      </w:r>
      <w:r>
        <w:rPr>
          <w:i/>
          <w:iCs/>
        </w:rPr>
        <w:t xml:space="preserve">JAMA Network Open</w:t>
      </w:r>
      <w:r>
        <w:t xml:space="preserve"> </w:t>
      </w:r>
      <w:r>
        <w:t xml:space="preserve">[Internet] 2023; 6: e2316128. Available from:</w:t>
      </w:r>
      <w:r>
        <w:t xml:space="preserve"> </w:t>
      </w:r>
      <w:hyperlink r:id="rId38">
        <w:r>
          <w:rPr>
            <w:rStyle w:val="Hyperlink"/>
          </w:rPr>
          <w:t xml:space="preserve">http://dx.doi.org/10.1001/jamanetworkopen.2023.16128</w:t>
        </w:r>
      </w:hyperlink>
      <w:r>
        <w:t xml:space="preserve">.</w:t>
      </w:r>
    </w:p>
    <w:bookmarkEnd w:id="39"/>
    <w:bookmarkStart w:id="41" w:name="ref-townsend2022"/>
    <w:p>
      <w:pPr>
        <w:pStyle w:val="Bibliography"/>
      </w:pPr>
      <w:r>
        <w:t xml:space="preserve">2</w:t>
      </w:r>
      <w:r>
        <w:t xml:space="preserve"> </w:t>
      </w:r>
      <w:r>
        <w:t xml:space="preserve">	</w:t>
      </w:r>
      <w:r>
        <w:t xml:space="preserve">Townsend MC, Cowl CT. U.S. Occupational Historical Perspective on Race and Lung Function.</w:t>
      </w:r>
      <w:r>
        <w:t xml:space="preserve"> </w:t>
      </w:r>
      <w:r>
        <w:rPr>
          <w:i/>
          <w:iCs/>
        </w:rPr>
        <w:t xml:space="preserve">American Journal of Respiratory and Critical Care Medicine</w:t>
      </w:r>
      <w:r>
        <w:t xml:space="preserve"> </w:t>
      </w:r>
      <w:r>
        <w:t xml:space="preserve">[Internet] 2022; 206: 789–790. Available from:</w:t>
      </w:r>
      <w:r>
        <w:t xml:space="preserve"> </w:t>
      </w:r>
      <w:hyperlink r:id="rId40">
        <w:r>
          <w:rPr>
            <w:rStyle w:val="Hyperlink"/>
          </w:rPr>
          <w:t xml:space="preserve">http://dx.doi.org/10.1164/rccm.202203-0565le</w:t>
        </w:r>
      </w:hyperlink>
      <w:r>
        <w:t xml:space="preserve">.</w:t>
      </w:r>
    </w:p>
    <w:bookmarkEnd w:id="41"/>
    <w:bookmarkStart w:id="43" w:name="ref-pellegrino2005"/>
    <w:p>
      <w:pPr>
        <w:pStyle w:val="Bibliography"/>
      </w:pPr>
      <w:r>
        <w:t xml:space="preserve">3</w:t>
      </w:r>
      <w:r>
        <w:t xml:space="preserve"> </w:t>
      </w:r>
      <w:r>
        <w:t xml:space="preserve">	</w:t>
      </w:r>
      <w:r>
        <w:t xml:space="preserve">Pellegrino R. Interpretative strategies for lung function tests.</w:t>
      </w:r>
      <w:r>
        <w:t xml:space="preserve"> </w:t>
      </w:r>
      <w:r>
        <w:rPr>
          <w:i/>
          <w:iCs/>
        </w:rPr>
        <w:t xml:space="preserve">European Respiratory Journal</w:t>
      </w:r>
      <w:r>
        <w:t xml:space="preserve"> </w:t>
      </w:r>
      <w:r>
        <w:t xml:space="preserve">[Internet] 2005; 26: 948–968. Available from:</w:t>
      </w:r>
      <w:r>
        <w:t xml:space="preserve"> </w:t>
      </w:r>
      <w:hyperlink r:id="rId42">
        <w:r>
          <w:rPr>
            <w:rStyle w:val="Hyperlink"/>
          </w:rPr>
          <w:t xml:space="preserve">http://dx.doi.org/10.1183/09031936.05.00035205</w:t>
        </w:r>
      </w:hyperlink>
      <w:r>
        <w:t xml:space="preserve">.</w:t>
      </w:r>
    </w:p>
    <w:bookmarkEnd w:id="43"/>
    <w:bookmarkStart w:id="45" w:name="ref-bhakta2023"/>
    <w:p>
      <w:pPr>
        <w:pStyle w:val="Bibliography"/>
      </w:pPr>
      <w:r>
        <w:t xml:space="preserve">4</w:t>
      </w:r>
      <w:r>
        <w:t xml:space="preserve"> </w:t>
      </w:r>
      <w:r>
        <w:t xml:space="preserve">	</w:t>
      </w:r>
      <w:r>
        <w:t xml:space="preserve">Bhakta NR, Bime C, Kaminsky DA,</w:t>
      </w:r>
      <w:r>
        <w:t xml:space="preserve"> </w:t>
      </w:r>
      <w:r>
        <w:rPr>
          <w:i/>
          <w:iCs/>
        </w:rPr>
        <w:t xml:space="preserve">et al.</w:t>
      </w:r>
      <w:r>
        <w:t xml:space="preserve"> Race and Ethnicity in Pulmonary Function Test Interpretation: An Official American Thoracic Society Statement.</w:t>
      </w:r>
      <w:r>
        <w:t xml:space="preserve"> </w:t>
      </w:r>
      <w:r>
        <w:rPr>
          <w:i/>
          <w:iCs/>
        </w:rPr>
        <w:t xml:space="preserve">American Journal of Respiratory and Critical Care Medicine</w:t>
      </w:r>
      <w:r>
        <w:t xml:space="preserve"> </w:t>
      </w:r>
      <w:r>
        <w:t xml:space="preserve">[Internet] 2023; 207: 978–995. Available from:</w:t>
      </w:r>
      <w:r>
        <w:t xml:space="preserve"> </w:t>
      </w:r>
      <w:hyperlink r:id="rId44">
        <w:r>
          <w:rPr>
            <w:rStyle w:val="Hyperlink"/>
          </w:rPr>
          <w:t xml:space="preserve">http://dx.doi.org/10.1164/rccm.202302-0310ST</w:t>
        </w:r>
      </w:hyperlink>
      <w:r>
        <w:t xml:space="preserve">.</w:t>
      </w:r>
    </w:p>
    <w:bookmarkEnd w:id="45"/>
    <w:bookmarkStart w:id="47" w:name="ref-stanojevic2021"/>
    <w:p>
      <w:pPr>
        <w:pStyle w:val="Bibliography"/>
      </w:pPr>
      <w:r>
        <w:t xml:space="preserve">5</w:t>
      </w:r>
      <w:r>
        <w:t xml:space="preserve"> </w:t>
      </w:r>
      <w:r>
        <w:t xml:space="preserve">	</w:t>
      </w:r>
      <w:r>
        <w:t xml:space="preserve">Stanojevic S, Kaminsky DA, Miller MR,</w:t>
      </w:r>
      <w:r>
        <w:t xml:space="preserve"> </w:t>
      </w:r>
      <w:r>
        <w:rPr>
          <w:i/>
          <w:iCs/>
        </w:rPr>
        <w:t xml:space="preserve">et al.</w:t>
      </w:r>
      <w:r>
        <w:t xml:space="preserve"> ERS/ATS technical standard on interpretive strategies for routine lung function tests.</w:t>
      </w:r>
      <w:r>
        <w:t xml:space="preserve"> </w:t>
      </w:r>
      <w:r>
        <w:rPr>
          <w:i/>
          <w:iCs/>
        </w:rPr>
        <w:t xml:space="preserve">European Respiratory Journal</w:t>
      </w:r>
      <w:r>
        <w:t xml:space="preserve"> </w:t>
      </w:r>
      <w:r>
        <w:t xml:space="preserve">[Internet] 2021; 60: 2101499. Available from:</w:t>
      </w:r>
      <w:r>
        <w:t xml:space="preserve"> </w:t>
      </w:r>
      <w:hyperlink r:id="rId46">
        <w:r>
          <w:rPr>
            <w:rStyle w:val="Hyperlink"/>
          </w:rPr>
          <w:t xml:space="preserve">http://dx.doi.org/10.1183/13993003.01499-2021</w:t>
        </w:r>
      </w:hyperlink>
      <w:r>
        <w:t xml:space="preserve">.</w:t>
      </w:r>
    </w:p>
    <w:bookmarkEnd w:id="47"/>
    <w:bookmarkStart w:id="49" w:name="ref-vyas2020"/>
    <w:p>
      <w:pPr>
        <w:pStyle w:val="Bibliography"/>
      </w:pPr>
      <w:r>
        <w:t xml:space="preserve">6</w:t>
      </w:r>
      <w:r>
        <w:t xml:space="preserve"> </w:t>
      </w:r>
      <w:r>
        <w:t xml:space="preserve">	</w:t>
      </w:r>
      <w:r>
        <w:t xml:space="preserve">Vyas DA, Eisenstein LG, Jones DS. Hidden in Plain Sight</w:t>
      </w:r>
      <w:r>
        <w:t xml:space="preserve"> </w:t>
      </w:r>
      <w:r>
        <w:t xml:space="preserve"> </w:t>
      </w:r>
      <w:r>
        <w:t xml:space="preserve">Reconsidering the Use of Race Correction in Clinical Algorithms. Malina D, ed.</w:t>
      </w:r>
      <w:r>
        <w:t xml:space="preserve"> </w:t>
      </w:r>
      <w:r>
        <w:rPr>
          <w:i/>
          <w:iCs/>
        </w:rPr>
        <w:t xml:space="preserve">New England Journal of Medicine</w:t>
      </w:r>
      <w:r>
        <w:t xml:space="preserve"> </w:t>
      </w:r>
      <w:r>
        <w:t xml:space="preserve">[Internet] 2020; 383: 874–882. Available from:</w:t>
      </w:r>
      <w:r>
        <w:t xml:space="preserve"> </w:t>
      </w:r>
      <w:hyperlink r:id="rId48">
        <w:r>
          <w:rPr>
            <w:rStyle w:val="Hyperlink"/>
          </w:rPr>
          <w:t xml:space="preserve">http://dx.doi.org/10.1056/NEJMms2004740</w:t>
        </w:r>
      </w:hyperlink>
      <w:r>
        <w:t xml:space="preserve">.</w:t>
      </w:r>
    </w:p>
    <w:bookmarkEnd w:id="49"/>
    <w:bookmarkStart w:id="51" w:name="ref-marciniuk2023"/>
    <w:p>
      <w:pPr>
        <w:pStyle w:val="Bibliography"/>
      </w:pPr>
      <w:r>
        <w:t xml:space="preserve">7</w:t>
      </w:r>
      <w:r>
        <w:t xml:space="preserve"> </w:t>
      </w:r>
      <w:r>
        <w:t xml:space="preserve">	</w:t>
      </w:r>
      <w:r>
        <w:t xml:space="preserve">Marciniuk DD, Becker EA, Kaminsky DA,</w:t>
      </w:r>
      <w:r>
        <w:t xml:space="preserve"> </w:t>
      </w:r>
      <w:r>
        <w:rPr>
          <w:i/>
          <w:iCs/>
        </w:rPr>
        <w:t xml:space="preserve">et al.</w:t>
      </w:r>
      <w:r>
        <w:t xml:space="preserve"> Effect of Race and Ethnicity on Pulmonary Function Testing Interpretation.</w:t>
      </w:r>
      <w:r>
        <w:t xml:space="preserve"> </w:t>
      </w:r>
      <w:r>
        <w:rPr>
          <w:i/>
          <w:iCs/>
        </w:rPr>
        <w:t xml:space="preserve">CHEST</w:t>
      </w:r>
      <w:r>
        <w:t xml:space="preserve"> </w:t>
      </w:r>
      <w:r>
        <w:t xml:space="preserve">[Internet] 2023; 164: 461–475. Available from:</w:t>
      </w:r>
      <w:r>
        <w:t xml:space="preserve"> </w:t>
      </w:r>
      <w:hyperlink r:id="rId50">
        <w:r>
          <w:rPr>
            <w:rStyle w:val="Hyperlink"/>
          </w:rPr>
          <w:t xml:space="preserve">http://dx.doi.org/10.1016/j.chest.2023.03.026</w:t>
        </w:r>
      </w:hyperlink>
      <w:r>
        <w:t xml:space="preserve">.</w:t>
      </w:r>
    </w:p>
    <w:bookmarkEnd w:id="51"/>
    <w:bookmarkStart w:id="53" w:name="ref-quanjer2012"/>
    <w:p>
      <w:pPr>
        <w:pStyle w:val="Bibliography"/>
      </w:pPr>
      <w:r>
        <w:t xml:space="preserve">8</w:t>
      </w:r>
      <w:r>
        <w:t xml:space="preserve"> </w:t>
      </w:r>
      <w:r>
        <w:t xml:space="preserve">	</w:t>
      </w:r>
      <w:r>
        <w:t xml:space="preserve">Quanjer PH, Stanojevic S, Cole TJ,</w:t>
      </w:r>
      <w:r>
        <w:t xml:space="preserve"> </w:t>
      </w:r>
      <w:r>
        <w:rPr>
          <w:i/>
          <w:iCs/>
        </w:rPr>
        <w:t xml:space="preserve">et al.</w:t>
      </w:r>
      <w:r>
        <w:t xml:space="preserve"> Multi-ethnic reference values for spirometry for the 3</w:t>
      </w:r>
      <w:r>
        <w:t xml:space="preserve">95-yr age range: the global lung function 2012 equations.</w:t>
      </w:r>
      <w:r>
        <w:t xml:space="preserve"> </w:t>
      </w:r>
      <w:r>
        <w:rPr>
          <w:i/>
          <w:iCs/>
        </w:rPr>
        <w:t xml:space="preserve">European Respiratory Journal</w:t>
      </w:r>
      <w:r>
        <w:t xml:space="preserve"> </w:t>
      </w:r>
      <w:r>
        <w:t xml:space="preserve">[Internet] 2012; 40: 1324–1343. Available from:</w:t>
      </w:r>
      <w:r>
        <w:t xml:space="preserve"> </w:t>
      </w:r>
      <w:hyperlink r:id="rId52">
        <w:r>
          <w:rPr>
            <w:rStyle w:val="Hyperlink"/>
          </w:rPr>
          <w:t xml:space="preserve">http://dx.doi.org/10.1183/09031936.00080312</w:t>
        </w:r>
      </w:hyperlink>
      <w:r>
        <w:t xml:space="preserve">.</w:t>
      </w:r>
    </w:p>
    <w:bookmarkEnd w:id="53"/>
    <w:bookmarkStart w:id="55" w:name="ref-bowerman2023"/>
    <w:p>
      <w:pPr>
        <w:pStyle w:val="Bibliography"/>
      </w:pPr>
      <w:r>
        <w:t xml:space="preserve">9</w:t>
      </w:r>
      <w:r>
        <w:t xml:space="preserve"> </w:t>
      </w:r>
      <w:r>
        <w:t xml:space="preserve">	</w:t>
      </w:r>
      <w:r>
        <w:t xml:space="preserve">Bowerman C, Bhakta NR, Brazzale D,</w:t>
      </w:r>
      <w:r>
        <w:t xml:space="preserve"> </w:t>
      </w:r>
      <w:r>
        <w:rPr>
          <w:i/>
          <w:iCs/>
        </w:rPr>
        <w:t xml:space="preserve">et al.</w:t>
      </w:r>
      <w:r>
        <w:t xml:space="preserve"> A Race-neutral Approach to the Interpretation of Lung Function Measurements.</w:t>
      </w:r>
      <w:r>
        <w:t xml:space="preserve"> </w:t>
      </w:r>
      <w:r>
        <w:rPr>
          <w:i/>
          <w:iCs/>
        </w:rPr>
        <w:t xml:space="preserve">American Journal of Respiratory and Critical Care Medicine</w:t>
      </w:r>
      <w:r>
        <w:t xml:space="preserve"> </w:t>
      </w:r>
      <w:r>
        <w:t xml:space="preserve">[Internet] 2023; 207: 768–774. Available from:</w:t>
      </w:r>
      <w:r>
        <w:t xml:space="preserve"> </w:t>
      </w:r>
      <w:hyperlink r:id="rId54">
        <w:r>
          <w:rPr>
            <w:rStyle w:val="Hyperlink"/>
          </w:rPr>
          <w:t xml:space="preserve">http://dx.doi.org/10.1164/rccm.202205-0963OC</w:t>
        </w:r>
      </w:hyperlink>
      <w:r>
        <w:t xml:space="preserve">.</w:t>
      </w:r>
    </w:p>
    <w:bookmarkEnd w:id="55"/>
    <w:bookmarkStart w:id="57" w:name="ref-lungfun1991"/>
    <w:p>
      <w:pPr>
        <w:pStyle w:val="Bibliography"/>
      </w:pPr>
      <w:r>
        <w:t xml:space="preserve">10</w:t>
      </w:r>
      <w:r>
        <w:t xml:space="preserve"> </w:t>
      </w:r>
      <w:r>
        <w:t xml:space="preserve">	</w:t>
      </w:r>
      <w:r>
        <w:t xml:space="preserve">Lung Function Testing: Selection of Reference Values and Interpretative Strategies.</w:t>
      </w:r>
      <w:r>
        <w:t xml:space="preserve"> </w:t>
      </w:r>
      <w:r>
        <w:rPr>
          <w:i/>
          <w:iCs/>
        </w:rPr>
        <w:t xml:space="preserve">American Review of Respiratory Disease</w:t>
      </w:r>
      <w:r>
        <w:t xml:space="preserve"> </w:t>
      </w:r>
      <w:r>
        <w:t xml:space="preserve">[Internet] 1991; 144: 1202–1218. Available from:</w:t>
      </w:r>
      <w:r>
        <w:t xml:space="preserve"> </w:t>
      </w:r>
      <w:hyperlink r:id="rId56">
        <w:r>
          <w:rPr>
            <w:rStyle w:val="Hyperlink"/>
          </w:rPr>
          <w:t xml:space="preserve">http://dx.doi.org/10.1164/ajrccm/144.5.1202</w:t>
        </w:r>
      </w:hyperlink>
      <w:r>
        <w:t xml:space="preserve">.</w:t>
      </w:r>
    </w:p>
    <w:bookmarkEnd w:id="57"/>
    <w:bookmarkStart w:id="59" w:name="ref-becklake1986"/>
    <w:p>
      <w:pPr>
        <w:pStyle w:val="Bibliography"/>
      </w:pPr>
      <w:r>
        <w:t xml:space="preserve">11</w:t>
      </w:r>
      <w:r>
        <w:t xml:space="preserve"> </w:t>
      </w:r>
      <w:r>
        <w:t xml:space="preserve">	</w:t>
      </w:r>
      <w:r>
        <w:t xml:space="preserve">Becklake MR. Concepts of normality applied to the measurement of lung function.</w:t>
      </w:r>
      <w:r>
        <w:t xml:space="preserve"> </w:t>
      </w:r>
      <w:r>
        <w:rPr>
          <w:i/>
          <w:iCs/>
        </w:rPr>
        <w:t xml:space="preserve">The American Journal of Medicine</w:t>
      </w:r>
      <w:r>
        <w:t xml:space="preserve"> </w:t>
      </w:r>
      <w:r>
        <w:t xml:space="preserve">[Internet] 1986; 80: 1158–1164. Available from:</w:t>
      </w:r>
      <w:r>
        <w:t xml:space="preserve"> </w:t>
      </w:r>
      <w:hyperlink r:id="rId58">
        <w:r>
          <w:rPr>
            <w:rStyle w:val="Hyperlink"/>
          </w:rPr>
          <w:t xml:space="preserve">http://dx.doi.org/10.1016/0002-9343(86)90678-9</w:t>
        </w:r>
      </w:hyperlink>
      <w:r>
        <w:t xml:space="preserve">.</w:t>
      </w:r>
    </w:p>
    <w:bookmarkEnd w:id="59"/>
    <w:bookmarkStart w:id="61" w:name="ref-holland2022"/>
    <w:p>
      <w:pPr>
        <w:pStyle w:val="Bibliography"/>
      </w:pPr>
      <w:r>
        <w:t xml:space="preserve">12</w:t>
      </w:r>
      <w:r>
        <w:t xml:space="preserve"> </w:t>
      </w:r>
      <w:r>
        <w:t xml:space="preserve">	</w:t>
      </w:r>
      <w:r>
        <w:t xml:space="preserve">Holland R, Bowerman C, Stanojevic S. The Contribution of Anthropometry and Socioeconomic Status to Racial Differences in Measures of Lung Function.</w:t>
      </w:r>
      <w:r>
        <w:t xml:space="preserve"> </w:t>
      </w:r>
      <w:r>
        <w:rPr>
          <w:i/>
          <w:iCs/>
        </w:rPr>
        <w:t xml:space="preserve">CHEST</w:t>
      </w:r>
      <w:r>
        <w:t xml:space="preserve"> </w:t>
      </w:r>
      <w:r>
        <w:t xml:space="preserve">[Internet] 2022; 162: 635–646. Available from:</w:t>
      </w:r>
      <w:r>
        <w:t xml:space="preserve"> </w:t>
      </w:r>
      <w:hyperlink r:id="rId60">
        <w:r>
          <w:rPr>
            <w:rStyle w:val="Hyperlink"/>
          </w:rPr>
          <w:t xml:space="preserve">http://dx.doi.org/10.1016/j.chest.2022.04.017</w:t>
        </w:r>
      </w:hyperlink>
      <w:r>
        <w:t xml:space="preserve">.</w:t>
      </w:r>
    </w:p>
    <w:bookmarkEnd w:id="61"/>
    <w:bookmarkStart w:id="63" w:name="ref-harik-khan2001"/>
    <w:p>
      <w:pPr>
        <w:pStyle w:val="Bibliography"/>
      </w:pPr>
      <w:r>
        <w:t xml:space="preserve">13</w:t>
      </w:r>
      <w:r>
        <w:t xml:space="preserve"> </w:t>
      </w:r>
      <w:r>
        <w:t xml:space="preserve">	</w:t>
      </w:r>
      <w:r>
        <w:t xml:space="preserve">HARIK-KHAN RAIDAI, FLEG JEROMEL, MULLER DENISC,</w:t>
      </w:r>
      <w:r>
        <w:t xml:space="preserve"> </w:t>
      </w:r>
      <w:r>
        <w:rPr>
          <w:i/>
          <w:iCs/>
        </w:rPr>
        <w:t xml:space="preserve">et al.</w:t>
      </w:r>
      <w:r>
        <w:t xml:space="preserve"> The Effect of Anthropometric and Socioeconomic Factors on the Racial Difference in Lung Function.</w:t>
      </w:r>
      <w:r>
        <w:t xml:space="preserve"> </w:t>
      </w:r>
      <w:r>
        <w:rPr>
          <w:i/>
          <w:iCs/>
        </w:rPr>
        <w:t xml:space="preserve">American Journal of Respiratory and Critical Care Medicine</w:t>
      </w:r>
      <w:r>
        <w:t xml:space="preserve"> </w:t>
      </w:r>
      <w:r>
        <w:t xml:space="preserve">[Internet] 2001; 164: 1647–1654. Available from:</w:t>
      </w:r>
      <w:r>
        <w:t xml:space="preserve"> </w:t>
      </w:r>
      <w:hyperlink r:id="rId62">
        <w:r>
          <w:rPr>
            <w:rStyle w:val="Hyperlink"/>
          </w:rPr>
          <w:t xml:space="preserve">http://dx.doi.org/10.1164/ajrccm.164.9.2106075</w:t>
        </w:r>
      </w:hyperlink>
      <w:r>
        <w:t xml:space="preserve">.</w:t>
      </w:r>
    </w:p>
    <w:bookmarkEnd w:id="63"/>
    <w:bookmarkStart w:id="65" w:name="ref-harik-khan2004"/>
    <w:p>
      <w:pPr>
        <w:pStyle w:val="Bibliography"/>
      </w:pPr>
      <w:r>
        <w:t xml:space="preserve">14</w:t>
      </w:r>
      <w:r>
        <w:t xml:space="preserve"> </w:t>
      </w:r>
      <w:r>
        <w:t xml:space="preserve">	</w:t>
      </w:r>
      <w:r>
        <w:t xml:space="preserve">Harik-Khan RI. Racial Difference in Lung Function in African-American and White Children: Effect of Anthropometric, Socioeconomic, Nutritional, and Environmental Factors.</w:t>
      </w:r>
      <w:r>
        <w:t xml:space="preserve"> </w:t>
      </w:r>
      <w:r>
        <w:rPr>
          <w:i/>
          <w:iCs/>
        </w:rPr>
        <w:t xml:space="preserve">American Journal of Epidemiology</w:t>
      </w:r>
      <w:r>
        <w:t xml:space="preserve"> </w:t>
      </w:r>
      <w:r>
        <w:t xml:space="preserve">[Internet] 2004; 160: 893–900. Available from:</w:t>
      </w:r>
      <w:r>
        <w:t xml:space="preserve"> </w:t>
      </w:r>
      <w:hyperlink r:id="rId64">
        <w:r>
          <w:rPr>
            <w:rStyle w:val="Hyperlink"/>
          </w:rPr>
          <w:t xml:space="preserve">http://dx.doi.org/10.1093/aje/kwh297</w:t>
        </w:r>
      </w:hyperlink>
      <w:r>
        <w:t xml:space="preserve">.</w:t>
      </w:r>
    </w:p>
    <w:bookmarkEnd w:id="65"/>
    <w:bookmarkStart w:id="67" w:name="ref-adibi2024"/>
    <w:p>
      <w:pPr>
        <w:pStyle w:val="Bibliography"/>
      </w:pPr>
      <w:r>
        <w:t xml:space="preserve">15</w:t>
      </w:r>
      <w:r>
        <w:t xml:space="preserve"> </w:t>
      </w:r>
      <w:r>
        <w:t xml:space="preserve">	</w:t>
      </w:r>
      <w:r>
        <w:t xml:space="preserve">Adibi A, Carlsten C, Brigham E,</w:t>
      </w:r>
      <w:r>
        <w:t xml:space="preserve"> </w:t>
      </w:r>
      <w:r>
        <w:rPr>
          <w:i/>
          <w:iCs/>
        </w:rPr>
        <w:t xml:space="preserve">et al.</w:t>
      </w:r>
      <w:r>
        <w:t xml:space="preserve"> The effect of health disparities on racial gaps in lung function.</w:t>
      </w:r>
      <w:r>
        <w:t xml:space="preserve"> </w:t>
      </w:r>
      <w:r>
        <w:rPr>
          <w:i/>
          <w:iCs/>
        </w:rPr>
        <w:t xml:space="preserve">Epidemiology</w:t>
      </w:r>
      <w:r>
        <w:t xml:space="preserve"> </w:t>
      </w:r>
      <w:r>
        <w:t xml:space="preserve">[Internet] 2024; : OA5572. Available from:</w:t>
      </w:r>
      <w:r>
        <w:t xml:space="preserve"> </w:t>
      </w:r>
      <w:hyperlink r:id="rId66">
        <w:r>
          <w:rPr>
            <w:rStyle w:val="Hyperlink"/>
          </w:rPr>
          <w:t xml:space="preserve">http://dx.doi.org/10.1183/13993003.congress-2024.OA5572</w:t>
        </w:r>
      </w:hyperlink>
      <w:r>
        <w:t xml:space="preserve">.</w:t>
      </w:r>
    </w:p>
    <w:bookmarkEnd w:id="67"/>
    <w:bookmarkEnd w:id="68"/>
    <w:bookmarkEnd w:id="69"/>
    <w:bookmarkStart w:id="91" w:name="appendices"/>
    <w:p>
      <w:pPr>
        <w:pStyle w:val="Heading2"/>
      </w:pPr>
      <w:r>
        <w:t xml:space="preserve">Appendices</w:t>
      </w:r>
    </w:p>
    <w:bookmarkStart w:id="71" w:name="participant-characteristics-by-race"/>
    <w:p>
      <w:pPr>
        <w:pStyle w:val="Heading3"/>
      </w:pPr>
      <w:r>
        <w:t xml:space="preserve">Participant characteristics by Race</w:t>
      </w:r>
    </w:p>
    <w:tbl>
      <w:tblPr>
        <w:tblStyle w:val="Table"/>
        <w:tblW w:type="pct" w:w="5000"/>
        <w:tblLayout w:type="fixed"/>
        <w:tblLook w:firstRow="0" w:lastRow="0" w:firstColumn="0" w:lastColumn="0" w:noHBand="0" w:noVBand="0" w:val="0000"/>
      </w:tblPr>
      <w:tblGrid>
        <w:gridCol w:w="7920"/>
      </w:tblGrid>
      <w:tr>
        <w:tc>
          <w:tcPr/>
          <w:bookmarkStart w:id="70" w:name="supptab-missing-ness-by-race"/>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3"/>
              <w:gridCol w:w="2330"/>
              <w:gridCol w:w="2355"/>
              <w:gridCol w:w="2123"/>
            </w:tblGrid>
            <w:tr>
              <w:trPr>
                <w:trHeight w:val="82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Non-Hispanic Black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(N=3731)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Non-Hispanic White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(N=6726)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(N=10457)</w:t>
                  </w:r>
                </w:p>
              </w:tc>
            </w:tr>
            <w:tr>
              <w:trPr>
                <w:trHeight w:val="5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39.3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37.6 (21.0)</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 [6.00,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 [6.00,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 [6.00, 79.0]</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race_text_nhanes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3731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3731 (35.7%)</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6726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6726 (64.3%)</w:t>
                  </w:r>
                </w:p>
              </w:tc>
            </w:tr>
            <w:tr>
              <w:trPr>
                <w:trHeight w:val="58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sex_text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1917 (51.4%)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3397 (50.5%)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5314 (50.8%)</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1814 (48.6%)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3329 (49.5%)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5143 (49.2%)</w:t>
                  </w:r>
                </w:p>
              </w:tc>
            </w:tr>
            <w:tr>
              <w:trPr>
                <w:trHeight w:val="575"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fev1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 (0.879)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 (0.985)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2.96 (0.971)</w:t>
                  </w:r>
                </w:p>
              </w:tc>
            </w:tr>
            <w:tr>
              <w:trPr>
                <w:trHeight w:val="61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 [0.648, 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3.09 [0.476,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 [0.476, 6.92]</w:t>
                  </w:r>
                </w:p>
              </w:tc>
            </w:tr>
            <w:tr>
              <w:trPr>
                <w:trHeight w:val="574"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fvc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3.32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3.97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3.74 (1.20)</w:t>
                  </w:r>
                </w:p>
              </w:tc>
            </w:tr>
            <w:tr>
              <w:trPr>
                <w:trHeight w:val="613"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3.27 [1.01,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 [1.03, 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3.69 [1.01, 8.08]</w:t>
                  </w:r>
                </w:p>
              </w:tc>
            </w:tr>
            <w:tr>
              <w:trPr>
                <w:trHeight w:val="596"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ever_100_smoke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1349 (36.2%)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2426 (36.1%)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3775 (36.1%)</w:t>
                  </w:r>
                </w:p>
              </w:tc>
            </w:tr>
            <w:tr>
              <w:trPr>
                <w:trHeight w:val="61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1070 (28.7%)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2686 (39.9%)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3756 (35.9%)</w:t>
                  </w:r>
                </w:p>
              </w:tc>
            </w:tr>
            <w:tr>
              <w:trPr>
                <w:trHeight w:val="617"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1312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1614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2926 (28.0%)</w:t>
                  </w:r>
                </w:p>
              </w:tc>
            </w:tr>
            <w:tr>
              <w:trPr>
                <w:trHeight w:val="596"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current_smoke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Everyday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499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1160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1659 (15.9%)</w:t>
                  </w:r>
                </w:p>
              </w:tc>
            </w:tr>
            <w:tr>
              <w:trPr>
                <w:trHeight w:val="616"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Not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447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1393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1840 (17.6%)</w:t>
                  </w:r>
                </w:p>
              </w:tc>
            </w:tr>
            <w:tr>
              <w:trPr>
                <w:trHeight w:val="620"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Some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 (2.4%)</w:t>
                  </w:r>
                </w:p>
              </w:tc>
            </w:tr>
            <w:tr>
              <w:trPr>
                <w:trHeight w:val="617"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2662 (71.3%)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4040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6702 (64.1%)</w:t>
                  </w:r>
                </w:p>
              </w:tc>
            </w:tr>
            <w:tr>
              <w:trPr>
                <w:trHeight w:val="573"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smoker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1154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2827 (42.0%)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3981 (38.1%)</w:t>
                  </w:r>
                </w:p>
              </w:tc>
            </w:tr>
            <w:tr>
              <w:trPr>
                <w:trHeight w:val="616"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2577 (69.1%)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3899 (58.0%)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6476 (61.9%)</w:t>
                  </w:r>
                </w:p>
              </w:tc>
            </w:tr>
            <w:tr>
              <w:trPr>
                <w:trHeight w:val="597"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smoker_in_household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2878 (77.1%)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5412 (80.5%)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8290 (79.3%)</w:t>
                  </w:r>
                </w:p>
              </w:tc>
            </w:tr>
            <w:tr>
              <w:trPr>
                <w:trHeight w:val="616"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837 (22.4%)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1293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2130 (20.4%)</w:t>
                  </w:r>
                </w:p>
              </w:tc>
            </w:tr>
            <w:tr>
              <w:trPr>
                <w:trHeight w:val="617"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 (0.4%)</w:t>
                  </w:r>
                </w:p>
              </w:tc>
            </w:tr>
            <w:tr>
              <w:trPr>
                <w:trHeight w:val="596"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maternal_smoke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805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913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1718 (16.4%)</w:t>
                  </w:r>
                </w:p>
              </w:tc>
            </w:tr>
            <w:tr>
              <w:trPr>
                <w:trHeight w:val="61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 (3.4%)</w:t>
                  </w:r>
                </w:p>
              </w:tc>
            </w:tr>
            <w:tr>
              <w:trPr>
                <w:trHeight w:val="617"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2823 (75.7%)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5559 (82.6%)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8382 (80.2%)</w:t>
                  </w:r>
                </w:p>
              </w:tc>
            </w:tr>
            <w:tr>
              <w:trPr>
                <w:trHeight w:val="597"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ever_asthma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3018 (80.9%)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5629 (83.7%)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8647 (82.7%)</w:t>
                  </w:r>
                </w:p>
              </w:tc>
            </w:tr>
            <w:tr>
              <w:trPr>
                <w:trHeight w:val="616"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710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1092 (16.2%)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1802 (17.2%)</w:t>
                  </w:r>
                </w:p>
              </w:tc>
            </w:tr>
            <w:tr>
              <w:trPr>
                <w:trHeight w:val="61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(0.1%)</w:t>
                  </w:r>
                </w:p>
              </w:tc>
            </w:tr>
            <w:tr>
              <w:trPr>
                <w:trHeight w:val="597"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ever_bronchitis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2301 (61.7%)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4763 (70.8%)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7064 (67.6%)</w:t>
                  </w:r>
                </w:p>
              </w:tc>
            </w:tr>
            <w:tr>
              <w:trPr>
                <w:trHeight w:val="616"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 (4.4%)</w:t>
                  </w:r>
                </w:p>
              </w:tc>
            </w:tr>
            <w:tr>
              <w:trPr>
                <w:trHeight w:val="617"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1313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1623 (24.1%)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2936 (28.1%)</w:t>
                  </w:r>
                </w:p>
              </w:tc>
            </w:tr>
            <w:tr>
              <w:trPr>
                <w:trHeight w:val="616"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ever_emphysema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2403 (64.4%)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5004 (74.4%)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7407 (70.8%)</w:t>
                  </w:r>
                </w:p>
              </w:tc>
            </w:tr>
            <w:tr>
              <w:trPr>
                <w:trHeight w:val="616"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(1.1%)</w:t>
                  </w:r>
                </w:p>
              </w:tc>
            </w:tr>
            <w:tr>
              <w:trPr>
                <w:trHeight w:val="617"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1311 (35.1%)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1619 (24.1%)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2930 (28.0%)</w:t>
                  </w:r>
                </w:p>
              </w:tc>
            </w:tr>
            <w:tr>
              <w:trPr>
                <w:trHeight w:val="618"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cough_3_month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1429 (38.3%)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2826 (42.0%)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4255 (40.7%)</w:t>
                  </w:r>
                </w:p>
              </w:tc>
            </w:tr>
            <w:tr>
              <w:trPr>
                <w:trHeight w:val="616"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540 (5.2%)</w:t>
                  </w:r>
                </w:p>
              </w:tc>
            </w:tr>
            <w:tr>
              <w:trPr>
                <w:trHeight w:val="617"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2189 (58.7%)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3473 (51.6%)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5662 (54.1%)</w:t>
                  </w:r>
                </w:p>
              </w:tc>
            </w:tr>
            <w:tr>
              <w:trPr>
                <w:trHeight w:val="618"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phlegm_3_month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1430 (38.3%)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2931 (43.6%)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4361 (41.7%)</w:t>
                  </w:r>
                </w:p>
              </w:tc>
            </w:tr>
            <w:tr>
              <w:trPr>
                <w:trHeight w:val="61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 (4.2%)</w:t>
                  </w:r>
                </w:p>
              </w:tc>
            </w:tr>
            <w:tr>
              <w:trPr>
                <w:trHeight w:val="617"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2188 (58.6%)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3472 (51.6%)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5660 (54.1%)</w:t>
                  </w:r>
                </w:p>
              </w:tc>
            </w:tr>
            <w:tr>
              <w:trPr>
                <w:trHeight w:val="618"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wheezing_past_yr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3182 (85.3%)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5750 (85.5%)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8932 (85.4%)</w:t>
                  </w:r>
                </w:p>
              </w:tc>
            </w:tr>
            <w:tr>
              <w:trPr>
                <w:trHeight w:val="61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548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969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1517 (14.5%)</w:t>
                  </w:r>
                </w:p>
              </w:tc>
            </w:tr>
            <w:tr>
              <w:trPr>
                <w:trHeight w:val="617"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(0.1%)</w:t>
                  </w:r>
                </w:p>
              </w:tc>
            </w:tr>
            <w:tr>
              <w:trPr>
                <w:trHeight w:val="618"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dry_cough_night_past_yr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3551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6389 (95.0%)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9940 (95.1%)</w:t>
                  </w:r>
                </w:p>
              </w:tc>
            </w:tr>
            <w:tr>
              <w:trPr>
                <w:trHeight w:val="616"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332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 (4.9%)</w:t>
                  </w:r>
                </w:p>
              </w:tc>
            </w:tr>
            <w:tr>
              <w:trPr>
                <w:trHeight w:val="617"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(0.0%)</w:t>
                  </w:r>
                </w:p>
              </w:tc>
            </w:tr>
            <w:tr>
              <w:trPr>
                <w:trHeight w:val="597"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mineral_dusts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1786 (47.9%)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3578 (53.2%)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5364 (51.3%)</w:t>
                  </w:r>
                </w:p>
              </w:tc>
            </w:tr>
            <w:tr>
              <w:trPr>
                <w:trHeight w:val="616"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781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1746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2527 (24.2%)</w:t>
                  </w:r>
                </w:p>
              </w:tc>
            </w:tr>
            <w:tr>
              <w:trPr>
                <w:trHeight w:val="617"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1164 (31.2%)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1402 (20.8%)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2566 (24.5%)</w:t>
                  </w:r>
                </w:p>
              </w:tc>
            </w:tr>
            <w:tr>
              <w:trPr>
                <w:trHeight w:val="618"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organic_dusts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2111 (56.6%)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3984 (59.2%)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6095 (58.3%)</w:t>
                  </w:r>
                </w:p>
              </w:tc>
            </w:tr>
            <w:tr>
              <w:trPr>
                <w:trHeight w:val="616"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1351 (20.1%)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1808 (17.3%)</w:t>
                  </w:r>
                </w:p>
              </w:tc>
            </w:tr>
            <w:tr>
              <w:trPr>
                <w:trHeight w:val="617"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1163 (31.2%)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1391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2554 (24.4%)</w:t>
                  </w:r>
                </w:p>
              </w:tc>
            </w:tr>
            <w:tr>
              <w:trPr>
                <w:trHeight w:val="598"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exhaust_fumes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1936 (51.9%)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3855 (57.3%)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5791 (55.4%)</w:t>
                  </w:r>
                </w:p>
              </w:tc>
            </w:tr>
            <w:tr>
              <w:trPr>
                <w:trHeight w:val="61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633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1484 (22.1%)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2117 (20.2%)</w:t>
                  </w:r>
                </w:p>
              </w:tc>
            </w:tr>
            <w:tr>
              <w:trPr>
                <w:trHeight w:val="617"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1162 (31.1%)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1387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2549 (24.4%)</w:t>
                  </w:r>
                </w:p>
              </w:tc>
            </w:tr>
            <w:tr>
              <w:trPr>
                <w:trHeight w:val="598"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other_fumes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1873 (50.2%)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3499 (52.0%)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5372 (51.4%)</w:t>
                  </w:r>
                </w:p>
              </w:tc>
            </w:tr>
            <w:tr>
              <w:trPr>
                <w:trHeight w:val="61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696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1839 (27.3%)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2535 (24.2%)</w:t>
                  </w:r>
                </w:p>
              </w:tc>
            </w:tr>
            <w:tr>
              <w:trPr>
                <w:trHeight w:val="617"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1162 (31.1%)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1388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2550 (24.4%)</w:t>
                  </w:r>
                </w:p>
              </w:tc>
            </w:tr>
            <w:tr>
              <w:trPr>
                <w:trHeight w:val="616"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income_poverty_ratio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2.84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 (1.68)</w:t>
                  </w:r>
                </w:p>
              </w:tc>
            </w:tr>
            <w:tr>
              <w:trPr>
                <w:trHeight w:val="613"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 [0,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 [0,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[0, 5.00]</w:t>
                  </w:r>
                </w:p>
              </w:tc>
            </w:tr>
            <w:tr>
              <w:trPr>
                <w:trHeight w:val="617"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327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327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654 (6.3%)</w:t>
                  </w:r>
                </w:p>
              </w:tc>
            </w:tr>
            <w:tr>
              <w:trPr>
                <w:trHeight w:val="597"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home_owner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 (0.4%)</w:t>
                  </w:r>
                </w:p>
              </w:tc>
            </w:tr>
            <w:tr>
              <w:trPr>
                <w:trHeight w:val="616"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3706 (99.3%)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6705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10411 (99.6%)</w:t>
                  </w:r>
                </w:p>
              </w:tc>
            </w:tr>
            <w:tr>
              <w:trPr>
                <w:trHeight w:val="597"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education_adults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9-11th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438 (11.7%)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609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1047 (10.0%)</w:t>
                  </w:r>
                </w:p>
              </w:tc>
            </w:tr>
            <w:tr>
              <w:trPr>
                <w:trHeight w:val="621"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College graduate or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430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1498 (22.3%)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1928 (18.4%)</w:t>
                  </w:r>
                </w:p>
              </w:tc>
            </w:tr>
            <w:tr>
              <w:trPr>
                <w:trHeight w:val="618"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High school graduate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637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1232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1869 (17.9%)</w:t>
                  </w:r>
                </w:p>
              </w:tc>
            </w:tr>
            <w:tr>
              <w:trPr>
                <w:trHeight w:val="618"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Less than 9th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(2.2%)</w:t>
                  </w:r>
                </w:p>
              </w:tc>
            </w:tr>
            <w:tr>
              <w:trPr>
                <w:trHeight w:val="621"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Some college or AA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838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1617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2455 (23.5%)</w:t>
                  </w:r>
                </w:p>
              </w:tc>
            </w:tr>
            <w:tr>
              <w:trPr>
                <w:trHeight w:val="617"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1311 (35.1%)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1616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2927 (28.0%)</w:t>
                  </w:r>
                </w:p>
              </w:tc>
            </w:tr>
            <w:tr>
              <w:trPr>
                <w:trHeight w:val="618"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now_attending_school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Between grades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297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 (4.1%)</w:t>
                  </w:r>
                </w:p>
              </w:tc>
            </w:tr>
            <w:tr>
              <w:trPr>
                <w:trHeight w:val="616"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In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584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750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1334 (12.8%)</w:t>
                  </w:r>
                </w:p>
              </w:tc>
            </w:tr>
            <w:tr>
              <w:trPr>
                <w:trHeight w:val="617"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3017 (80.9%)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5679 (84.4%)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8696 (83.2%)</w:t>
                  </w:r>
                </w:p>
              </w:tc>
            </w:tr>
            <w:tr>
              <w:trPr>
                <w:trHeight w:val="61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healthy_diet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262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510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772 (7.4%)</w:t>
                  </w:r>
                </w:p>
              </w:tc>
            </w:tr>
            <w:tr>
              <w:trPr>
                <w:trHeight w:val="616"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1096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1802 (17.2%)</w:t>
                  </w:r>
                </w:p>
              </w:tc>
            </w:tr>
            <w:tr>
              <w:trPr>
                <w:trHeight w:val="616"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1166 (31.3%)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2338 (34.8%)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3504 (33.5%)</w:t>
                  </w:r>
                </w:p>
              </w:tc>
            </w:tr>
            <w:tr>
              <w:trPr>
                <w:trHeight w:val="616"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443 (4.2%)</w:t>
                  </w:r>
                </w:p>
              </w:tc>
            </w:tr>
            <w:tr>
              <w:trPr>
                <w:trHeight w:val="618"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Very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465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1361 (20.2%)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1826 (17.5%)</w:t>
                  </w:r>
                </w:p>
              </w:tc>
            </w:tr>
            <w:tr>
              <w:trPr>
                <w:trHeight w:val="617"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934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1176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2110 (20.2%)</w:t>
                  </w:r>
                </w:p>
              </w:tc>
            </w:tr>
            <w:tr>
              <w:trPr>
                <w:trHeight w:val="617"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vigorous_work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2645 (70.9%)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4670 (69.4%)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7315 (70.0%)</w:t>
                  </w:r>
                </w:p>
              </w:tc>
            </w:tr>
            <w:tr>
              <w:trPr>
                <w:trHeight w:val="616"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478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1293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1771 (16.9%)</w:t>
                  </w:r>
                </w:p>
              </w:tc>
            </w:tr>
            <w:tr>
              <w:trPr>
                <w:trHeight w:val="617"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608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(13.1%)</w:t>
                  </w:r>
                </w:p>
              </w:tc>
            </w:tr>
            <w:tr>
              <w:trPr>
                <w:trHeight w:val="597"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moderate_work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2112 (56.6%)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3339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5451 (52.1%)</w:t>
                  </w:r>
                </w:p>
              </w:tc>
            </w:tr>
            <w:tr>
              <w:trPr>
                <w:trHeight w:val="616"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1011 (27.1%)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2624 (39.0%)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3635 (34.8%)</w:t>
                  </w:r>
                </w:p>
              </w:tc>
            </w:tr>
            <w:tr>
              <w:trPr>
                <w:trHeight w:val="617"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608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(13.1%)</w:t>
                  </w:r>
                </w:p>
              </w:tc>
            </w:tr>
            <w:tr>
              <w:trPr>
                <w:trHeight w:val="617"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vigorous_recreational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2121 (56.8%)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4230 (62.9%)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6351 (60.7%)</w:t>
                  </w:r>
                </w:p>
              </w:tc>
            </w:tr>
            <w:tr>
              <w:trPr>
                <w:trHeight w:val="616"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1002 (26.9%)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1732 (25.8%)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2734 (26.1%)</w:t>
                  </w:r>
                </w:p>
              </w:tc>
            </w:tr>
            <w:tr>
              <w:trPr>
                <w:trHeight w:val="617"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608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764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(13.1%)</w:t>
                  </w:r>
                </w:p>
              </w:tc>
            </w:tr>
            <w:tr>
              <w:trPr>
                <w:trHeight w:val="597"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moderate_recreational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1929 (51.7%)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3006 (44.7%)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4935 (47.2%)</w:t>
                  </w:r>
                </w:p>
              </w:tc>
            </w:tr>
            <w:tr>
              <w:trPr>
                <w:trHeight w:val="61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1194 (32.0%)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2956 (43.9%)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4150 (39.7%)</w:t>
                  </w:r>
                </w:p>
              </w:tc>
            </w:tr>
            <w:tr>
              <w:trPr>
                <w:trHeight w:val="617"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608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764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(13.1%)</w:t>
                  </w:r>
                </w:p>
              </w:tc>
            </w:tr>
            <w:tr>
              <w:trPr>
                <w:trHeight w:val="573"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 (8.30)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 (7.20)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 (7.62)</w:t>
                  </w:r>
                </w:p>
              </w:tc>
            </w:tr>
            <w:tr>
              <w:trPr>
                <w:trHeight w:val="613"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 [12.7, 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26.1 [12.5, 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 [12.5, 84.9]</w:t>
                  </w:r>
                </w:p>
              </w:tc>
            </w:tr>
            <w:tr>
              <w:trPr>
                <w:trHeight w:val="617" w:hRule="auto"/>
              </w:trPr>
              body124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 (0.5%)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 (0.5%)</w:t>
                  </w:r>
                </w:p>
              </w:tc>
            </w:tr>
          </w:tbl>
          <w:p>
            <w:pPr>
              <w:jc w:val="center"/>
            </w:pPr>
            <w:pPr>
              <w:jc w:val="start"/>
              <w:spacing w:before="200"/>
              <w:pStyle w:val="ImageCaption"/>
            </w:pPr>
            <w:r>
              <w:t xml:space="preserve">Table S1: Table 1 by self-identified race</w:t>
            </w:r>
          </w:p>
          <w:bookmarkEnd w:id="70"/>
        </w:tc>
      </w:tr>
    </w:tbl>
    <w:bookmarkEnd w:id="71"/>
    <w:bookmarkStart w:id="80" w:name="separate-analysis-by-biological-sex"/>
    <w:p>
      <w:pPr>
        <w:pStyle w:val="Heading3"/>
      </w:pPr>
      <w:r>
        <w:t xml:space="preserve">Separate Analysis by Biological Sex</w:t>
      </w:r>
    </w:p>
    <w:tbl>
      <w:tblPr>
        <w:tblStyle w:val="Table"/>
        <w:tblW w:type="pct" w:w="5000"/>
        <w:tblLayout w:type="fixed"/>
        <w:tblLook w:firstRow="0" w:lastRow="0" w:firstColumn="0" w:lastColumn="0" w:noHBand="0" w:noVBand="0" w:val="0000"/>
      </w:tblPr>
      <w:tblGrid>
        <w:gridCol w:w="7920"/>
      </w:tblGrid>
      <w:tr>
        <w:tc>
          <w:tcPr/>
          <w:bookmarkStart w:id="75" w:name="suppfig-females"/>
          <w:p>
            <w:pPr>
              <w:jc w:val="center"/>
            </w:pPr>
            <w:r>
              <w:drawing>
                <wp:inline>
                  <wp:extent cx="5943600" cy="4754880"/>
                  <wp:effectExtent b="0" l="0" r="0" t="0"/>
                  <wp:docPr descr="" title="" id="73" name="Picture"/>
                  <a:graphic>
                    <a:graphicData uri="http://schemas.openxmlformats.org/drawingml/2006/picture">
                      <pic:pic>
                        <pic:nvPicPr>
                          <pic:cNvPr descr="who-is-healthy-anyways_files/figure-docx/unnamed-chunk-8-1.png" id="74" name="Picture"/>
                          <pic:cNvPicPr>
                            <a:picLocks noChangeArrowheads="1" noChangeAspect="1"/>
                          </pic:cNvPicPr>
                        </pic:nvPicPr>
                        <pic:blipFill>
                          <a:blip r:embed="rId72"/>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Changes in lung function racial gaps for female participants</w:t>
            </w:r>
          </w:p>
          <w:bookmarkEnd w:id="7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9" w:name="suppfig-males"/>
          <w:p>
            <w:pPr>
              <w:jc w:val="center"/>
            </w:pPr>
            <w:r>
              <w:drawing>
                <wp:inline>
                  <wp:extent cx="5943600" cy="4754880"/>
                  <wp:effectExtent b="0" l="0" r="0" t="0"/>
                  <wp:docPr descr="" title="" id="77" name="Picture"/>
                  <a:graphic>
                    <a:graphicData uri="http://schemas.openxmlformats.org/drawingml/2006/picture">
                      <pic:pic>
                        <pic:nvPicPr>
                          <pic:cNvPr descr="who-is-healthy-anyways_files/figure-docx/unnamed-chunk-9-1.png" id="78" name="Picture"/>
                          <pic:cNvPicPr>
                            <a:picLocks noChangeArrowheads="1" noChangeAspect="1"/>
                          </pic:cNvPicPr>
                        </pic:nvPicPr>
                        <pic:blipFill>
                          <a:blip r:embed="rId76"/>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 Changes in lung function racial gaps for male participants</w:t>
            </w:r>
          </w:p>
          <w:bookmarkEnd w:id="79"/>
        </w:tc>
      </w:tr>
    </w:tbl>
    <w:bookmarkEnd w:id="80"/>
    <w:bookmarkStart w:id="85" w:name="Xd0d172224dccfd81437996460402a9c6fc147a9"/>
    <w:p>
      <w:pPr>
        <w:pStyle w:val="Heading3"/>
      </w:pPr>
      <w:r>
        <w:t xml:space="preserve">Intersection of Race and Country of Birth</w:t>
      </w:r>
    </w:p>
    <w:p>
      <w:pPr>
        <w:pStyle w:val="FirstParagraph"/>
      </w:pPr>
      <w:r>
        <w:t xml:space="preserve">We produced results separately for self-identified Black and White person born in the US.</w:t>
      </w:r>
    </w:p>
    <w:tbl>
      <w:tblPr>
        <w:tblStyle w:val="Table"/>
        <w:tblW w:type="pct" w:w="5000"/>
        <w:tblLayout w:type="fixed"/>
        <w:tblLook w:firstRow="0" w:lastRow="0" w:firstColumn="0" w:lastColumn="0" w:noHBand="0" w:noVBand="0" w:val="0000"/>
      </w:tblPr>
      <w:tblGrid>
        <w:gridCol w:w="7920"/>
      </w:tblGrid>
      <w:tr>
        <w:tc>
          <w:tcPr/>
          <w:bookmarkStart w:id="84" w:name="suppfig-usborn"/>
          <w:p>
            <w:pPr>
              <w:jc w:val="center"/>
            </w:pPr>
            <w:r>
              <w:drawing>
                <wp:inline>
                  <wp:extent cx="5943600" cy="4754880"/>
                  <wp:effectExtent b="0" l="0" r="0" t="0"/>
                  <wp:docPr descr="" title="" id="82" name="Picture"/>
                  <a:graphic>
                    <a:graphicData uri="http://schemas.openxmlformats.org/drawingml/2006/picture">
                      <pic:pic>
                        <pic:nvPicPr>
                          <pic:cNvPr descr="who-is-healthy-anyways_files/figure-docx/unnamed-chunk-10-1.png" id="83" name="Picture"/>
                          <pic:cNvPicPr>
                            <a:picLocks noChangeArrowheads="1" noChangeAspect="1"/>
                          </pic:cNvPicPr>
                        </pic:nvPicPr>
                        <pic:blipFill>
                          <a:blip r:embed="rId81"/>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 Racial gap in lung function among those born in the US</w:t>
            </w:r>
          </w:p>
          <w:bookmarkEnd w:id="84"/>
        </w:tc>
      </w:tr>
    </w:tbl>
    <w:bookmarkEnd w:id="85"/>
    <w:bookmarkStart w:id="90" w:name="income-to-poverty-ratio"/>
    <w:p>
      <w:pPr>
        <w:pStyle w:val="Heading3"/>
      </w:pPr>
      <w:r>
        <w:t xml:space="preserve">Income to Poverty Ratio</w:t>
      </w:r>
    </w:p>
    <w:p>
      <w:pPr>
        <w:pStyle w:val="FirstParagraph"/>
      </w:pPr>
      <w:r>
        <w:t xml:space="preserve">When we excluded participants with income to poverty ratio under five, the proportion of Black participants decreased from 19% to 10% in youth and 14% to 8% in adults, as shown in</w:t>
      </w:r>
      <w:r>
        <w:t xml:space="preserve"> </w:t>
      </w:r>
      <w:hyperlink w:anchor="suppfig-incomepovertyratio">
        <w:r>
          <w:rPr>
            <w:rStyle w:val="Hyperlink"/>
          </w:rPr>
          <w:t xml:space="preserve">Figure S4</w:t>
        </w:r>
      </w:hyperlink>
      <w:r>
        <w:t xml:space="preserve">. The proportion of racial gap in FEV</w:t>
      </w:r>
      <w:r>
        <w:rPr>
          <w:vertAlign w:val="subscript"/>
        </w:rPr>
        <w:t xml:space="preserve">1</w:t>
      </w:r>
      <w:r>
        <w:t xml:space="preserve"> </w:t>
      </w:r>
      <w:r>
        <w:t xml:space="preserve">and FVC that was explained by poverty was 6% and 0% in adults, and 4% and 2% in youth.</w:t>
      </w:r>
    </w:p>
    <w:tbl>
      <w:tblPr>
        <w:tblStyle w:val="Table"/>
        <w:tblW w:type="pct" w:w="5000"/>
        <w:tblLayout w:type="fixed"/>
        <w:tblLook w:firstRow="0" w:lastRow="0" w:firstColumn="0" w:lastColumn="0" w:noHBand="0" w:noVBand="0" w:val="0000"/>
      </w:tblPr>
      <w:tblGrid>
        <w:gridCol w:w="7920"/>
      </w:tblGrid>
      <w:tr>
        <w:tc>
          <w:tcPr/>
          <w:bookmarkStart w:id="89" w:name="suppfig-incomepovertyratio"/>
          <w:p>
            <w:pPr>
              <w:jc w:val="center"/>
            </w:pPr>
            <w:r>
              <w:drawing>
                <wp:inline>
                  <wp:extent cx="5943600" cy="4754880"/>
                  <wp:effectExtent b="0" l="0" r="0" t="0"/>
                  <wp:docPr descr="" title="" id="87" name="Picture"/>
                  <a:graphic>
                    <a:graphicData uri="http://schemas.openxmlformats.org/drawingml/2006/picture">
                      <pic:pic>
                        <pic:nvPicPr>
                          <pic:cNvPr descr="who-is-healthy-anyways_files/figure-docx/unnamed-chunk-11-1.png" id="88" name="Picture"/>
                          <pic:cNvPicPr>
                            <a:picLocks noChangeArrowheads="1" noChangeAspect="1"/>
                          </pic:cNvPicPr>
                        </pic:nvPicPr>
                        <pic:blipFill>
                          <a:blip r:embed="rId86"/>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 Changes in lung function racial gaps based on income to poverty ratio</w:t>
            </w:r>
          </w:p>
          <w:bookmarkEnd w:id="89"/>
        </w:tc>
      </w:tr>
    </w:tbl>
    <w:bookmarkEnd w:id="90"/>
    <w:bookmarkEnd w:id="91"/>
    <w:sectPr w:rsidR="004566A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B4883D7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9977072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566AD"/>
    <w:rsid w:val="00021247"/>
    <w:rsid w:val="004566AD"/>
    <w:rsid w:val="006D6B7C"/>
    <w:rsid w:val="00E735A0"/>
  </w:rsids>
  <w:themeFontLang w:bidi="ar-SA"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hyperlink" Id="rId38" Target="http://dx.doi.org/10.1001/jamanetworkopen.2023.16128" TargetMode="External" /><Relationship Type="http://schemas.openxmlformats.org/officeDocument/2006/relationships/hyperlink" Id="rId58" Target="http://dx.doi.org/10.1016/0002-9343(86)90678-9" TargetMode="External" /><Relationship Type="http://schemas.openxmlformats.org/officeDocument/2006/relationships/hyperlink" Id="rId60" Target="http://dx.doi.org/10.1016/j.chest.2022.04.017" TargetMode="External" /><Relationship Type="http://schemas.openxmlformats.org/officeDocument/2006/relationships/hyperlink" Id="rId50" Target="http://dx.doi.org/10.1016/j.chest.2023.03.026" TargetMode="External" /><Relationship Type="http://schemas.openxmlformats.org/officeDocument/2006/relationships/hyperlink" Id="rId48" Target="http://dx.doi.org/10.1056/NEJMms2004740" TargetMode="External" /><Relationship Type="http://schemas.openxmlformats.org/officeDocument/2006/relationships/hyperlink" Id="rId64" Target="http://dx.doi.org/10.1093/aje/kwh297" TargetMode="External" /><Relationship Type="http://schemas.openxmlformats.org/officeDocument/2006/relationships/hyperlink" Id="rId62" Target="http://dx.doi.org/10.1164/ajrccm.164.9.2106075" TargetMode="External" /><Relationship Type="http://schemas.openxmlformats.org/officeDocument/2006/relationships/hyperlink" Id="rId56" Target="http://dx.doi.org/10.1164/ajrccm/144.5.1202" TargetMode="External" /><Relationship Type="http://schemas.openxmlformats.org/officeDocument/2006/relationships/hyperlink" Id="rId40" Target="http://dx.doi.org/10.1164/rccm.202203-0565le" TargetMode="External" /><Relationship Type="http://schemas.openxmlformats.org/officeDocument/2006/relationships/hyperlink" Id="rId54" Target="http://dx.doi.org/10.1164/rccm.202205-0963OC" TargetMode="External" /><Relationship Type="http://schemas.openxmlformats.org/officeDocument/2006/relationships/hyperlink" Id="rId44" Target="http://dx.doi.org/10.1164/rccm.202302-0310ST" TargetMode="External" /><Relationship Type="http://schemas.openxmlformats.org/officeDocument/2006/relationships/hyperlink" Id="rId52" Target="http://dx.doi.org/10.1183/09031936.00080312" TargetMode="External" /><Relationship Type="http://schemas.openxmlformats.org/officeDocument/2006/relationships/hyperlink" Id="rId42" Target="http://dx.doi.org/10.1183/09031936.05.00035205" TargetMode="External" /><Relationship Type="http://schemas.openxmlformats.org/officeDocument/2006/relationships/hyperlink" Id="rId46" Target="http://dx.doi.org/10.1183/13993003.01499-2021" TargetMode="External" /><Relationship Type="http://schemas.openxmlformats.org/officeDocument/2006/relationships/hyperlink" Id="rId66" Target="http://dx.doi.org/10.1183/13993003.congress-2024.OA5572" TargetMode="External" /></Relationships>
</file>

<file path=word/_rels/footnotes.xml.rels><?xml version="1.0" encoding="UTF-8"?><Relationships xmlns="http://schemas.openxmlformats.org/package/2006/relationships"><Relationship Type="http://schemas.openxmlformats.org/officeDocument/2006/relationships/hyperlink" Id="rId38" Target="http://dx.doi.org/10.1001/jamanetworkopen.2023.16128" TargetMode="External" /><Relationship Type="http://schemas.openxmlformats.org/officeDocument/2006/relationships/hyperlink" Id="rId58" Target="http://dx.doi.org/10.1016/0002-9343(86)90678-9" TargetMode="External" /><Relationship Type="http://schemas.openxmlformats.org/officeDocument/2006/relationships/hyperlink" Id="rId60" Target="http://dx.doi.org/10.1016/j.chest.2022.04.017" TargetMode="External" /><Relationship Type="http://schemas.openxmlformats.org/officeDocument/2006/relationships/hyperlink" Id="rId50" Target="http://dx.doi.org/10.1016/j.chest.2023.03.026" TargetMode="External" /><Relationship Type="http://schemas.openxmlformats.org/officeDocument/2006/relationships/hyperlink" Id="rId48" Target="http://dx.doi.org/10.1056/NEJMms2004740" TargetMode="External" /><Relationship Type="http://schemas.openxmlformats.org/officeDocument/2006/relationships/hyperlink" Id="rId64" Target="http://dx.doi.org/10.1093/aje/kwh297" TargetMode="External" /><Relationship Type="http://schemas.openxmlformats.org/officeDocument/2006/relationships/hyperlink" Id="rId62" Target="http://dx.doi.org/10.1164/ajrccm.164.9.2106075" TargetMode="External" /><Relationship Type="http://schemas.openxmlformats.org/officeDocument/2006/relationships/hyperlink" Id="rId56" Target="http://dx.doi.org/10.1164/ajrccm/144.5.1202" TargetMode="External" /><Relationship Type="http://schemas.openxmlformats.org/officeDocument/2006/relationships/hyperlink" Id="rId40" Target="http://dx.doi.org/10.1164/rccm.202203-0565le" TargetMode="External" /><Relationship Type="http://schemas.openxmlformats.org/officeDocument/2006/relationships/hyperlink" Id="rId54" Target="http://dx.doi.org/10.1164/rccm.202205-0963OC" TargetMode="External" /><Relationship Type="http://schemas.openxmlformats.org/officeDocument/2006/relationships/hyperlink" Id="rId44" Target="http://dx.doi.org/10.1164/rccm.202302-0310ST" TargetMode="External" /><Relationship Type="http://schemas.openxmlformats.org/officeDocument/2006/relationships/hyperlink" Id="rId52" Target="http://dx.doi.org/10.1183/09031936.00080312" TargetMode="External" /><Relationship Type="http://schemas.openxmlformats.org/officeDocument/2006/relationships/hyperlink" Id="rId42" Target="http://dx.doi.org/10.1183/09031936.05.00035205" TargetMode="External" /><Relationship Type="http://schemas.openxmlformats.org/officeDocument/2006/relationships/hyperlink" Id="rId46" Target="http://dx.doi.org/10.1183/13993003.01499-2021" TargetMode="External" /><Relationship Type="http://schemas.openxmlformats.org/officeDocument/2006/relationships/hyperlink" Id="rId66" Target="http://dx.doi.org/10.1183/13993003.congress-2024.OA55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healthy anyways? The effect of health disparities on racial gaps in lung function</dc:title>
  <dc:creator>Amin Adibi; Christopher Carlsten; Emily Brigham; Don Sin; Peter Loewen; Mohsen Sadatsafavi</dc:creator>
  <cp:keywords/>
  <dcterms:created xsi:type="dcterms:W3CDTF">2024-12-11T21:26:00Z</dcterms:created>
  <dcterms:modified xsi:type="dcterms:W3CDTF">2024-12-11T21:26:00Z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european-respiratory-journal.csl</vt:lpwstr>
  </property>
  <property fmtid="{D5CDD505-2E9C-101B-9397-08002B2CF9AE}" pid="10" name="date">
    <vt:lpwstr>2024-12-11</vt:lpwstr>
  </property>
  <property fmtid="{D5CDD505-2E9C-101B-9397-08002B2CF9AE}" pid="11" name="editor">
    <vt:lpwstr>visual</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