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52"/>
          <w:szCs w:val="52"/>
        </w:rPr>
        <w:t xml:space="preserve">Rapport Unifié — NLP &amp; Vectorisation</w:t>
      </w:r>
    </w:p>
    <w:p>
      <w:pPr>
        <w:spacing w:after="160"/>
        <w:jc w:val="center"/>
      </w:pPr>
      <w:r>
        <w:rPr>
          <w:rFonts w:ascii="Arial" w:cs="Arial" w:eastAsia="Arial" w:hAnsi="Arial"/>
          <w:color w:val="2E74B5"/>
          <w:sz w:val="34"/>
          <w:szCs w:val="34"/>
        </w:rPr>
        <w:t xml:space="preserve">Détection de Fake News</w:t>
      </w:r>
    </w:p>
    <w:p>
      <w:pPr>
        <w:spacing w:after="400"/>
        <w:jc w:val="center"/>
      </w:pPr>
      <w:r>
        <w:rPr>
          <w:rFonts w:ascii="Arial" w:cs="Arial" w:eastAsia="Arial" w:hAnsi="Arial"/>
          <w:i/>
          <w:iCs/>
          <w:color w:val="666666"/>
          <w:sz w:val="24"/>
          <w:szCs w:val="24"/>
        </w:rPr>
        <w:t xml:space="preserve">Comparaison : Dataset ISOT  |  Projet TruthGuard (ISOT + FakeNewsNet)</w:t>
      </w:r>
    </w:p>
    <w:p>
      <w:pPr>
        <w:pBdr>
          <w:bottom w:val="single" w:color="2E74B5" w:sz="4" w:space="1"/>
        </w:pBdr>
        <w:spacing w:after="200"/>
      </w:pPr>
    </w:p>
    <w:p>
      <w:pPr>
        <w:spacing w:after="200"/>
        <w:jc w:val="left"/>
      </w:pPr>
      <w:r>
        <w:rPr>
          <w:rFonts w:ascii="Arial" w:cs="Arial" w:eastAsia="Arial" w:hAnsi="Arial"/>
          <w:sz w:val="22"/>
          <w:szCs w:val="22"/>
        </w:rPr>
        <w:t xml:space="preserve">Ce rapport compare les pipelines NLP et les stratégies de vectorisation appliqués dans deux projets de détection de fake news. Le premier est basé sur le dataset ISOT seul ; le second, le projet TruthGuard, combine ISOT et FakeNewsNet/BuzzFeed. Les deux projets partagent une architecture commune de prétraitement mais divergent sur les méthodes de vectorisation et la richesse des représentations.</w:t>
      </w:r>
    </w:p>
    <w:p>
      <w:pPr>
        <w:spacing w:after="120"/>
      </w:pPr>
      <w:r>
        <w:rPr>
          <w:rFonts w:ascii="Arial" w:cs="Arial" w:eastAsia="Arial" w:hAnsi="Arial"/>
          <w:sz w:val="22"/>
          <w:szCs w:val="22"/>
        </w:rPr>
        <w:t xml:space="preserve"/>
      </w:r>
    </w:p>
    <w:p>
      <w:pPr>
        <w:spacing w:after="160"/>
        <w:jc w:val="left"/>
      </w:pPr>
      <w:r>
        <w:rPr>
          <w:rFonts w:ascii="Arial" w:cs="Arial" w:eastAsia="Arial" w:hAnsi="Arial"/>
          <w:b/>
          <w:bCs/>
          <w:color w:val="1F4E79"/>
          <w:sz w:val="26"/>
          <w:szCs w:val="26"/>
        </w:rPr>
        <w:t xml:space="preserve">Pipeline NLP — Vue d'ensemble</w:t>
      </w:r>
    </w:p>
    <w:p>
      <w:pPr>
        <w:spacing w:after="120"/>
        <w:jc w:val="left"/>
      </w:pPr>
      <w:r>
        <w:rPr>
          <w:rFonts w:ascii="Arial" w:cs="Arial" w:eastAsia="Arial" w:hAnsi="Arial"/>
          <w:sz w:val="22"/>
          <w:szCs w:val="22"/>
        </w:rPr>
        <w:t xml:space="preserve">Avant toute vectorisation, chaque article passe par le pipeline suivant, commun aux deux projets (le projet TruthGuard ajoute l'étape ① de nettoyage structurel) :</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D9E8F5" w:val="clear"/>
            <w:tcMar>
              <w:top w:type="dxa" w:w="140"/>
              <w:left w:type="dxa" w:w="200"/>
              <w:bottom w:type="dxa" w:w="140"/>
              <w:right w:type="dxa" w:w="200"/>
            </w:tcMar>
          </w:tcPr>
          <w:p>
            <w:r>
              <w:rPr>
                <w:rFonts w:ascii="Arial" w:cs="Arial" w:eastAsia="Arial" w:hAnsi="Arial"/>
                <w:b/>
                <w:bCs/>
                <w:color w:val="1F4E79"/>
                <w:sz w:val="22"/>
                <w:szCs w:val="22"/>
              </w:rPr>
              <w:t xml:space="preserve">①  Nettoyage structurel</w:t>
            </w:r>
          </w:p>
          <w:p>
            <w:pPr>
              <w:spacing w:after="0"/>
            </w:pPr>
            <w:r>
              <w:rPr>
                <w:rFonts w:ascii="Arial" w:cs="Arial" w:eastAsia="Arial" w:hAnsi="Arial"/>
                <w:color w:val="444444"/>
                <w:sz w:val="20"/>
                <w:szCs w:val="20"/>
              </w:rPr>
              <w:t xml:space="preserve">Doublons · NaN · Textes &lt; 5 mots</w:t>
            </w:r>
          </w:p>
        </w:tc>
      </w:tr>
      <w:tr>
        <w:tc>
          <w:tcPr>
            <w:tcW w:type="dxa" w:w="9360"/>
            <w:tcBorders>
              <w:top w:val="none" w:color="FFFFFF" w:sz="0"/>
              <w:left w:val="none" w:color="FFFFFF" w:sz="0"/>
              <w:bottom w:val="none" w:color="FFFFFF" w:sz="0"/>
              <w:right w:val="none" w:color="FFFFFF" w:sz="0"/>
            </w:tcBorders>
            <w:shd w:fill="FFFFFF" w:val="clear"/>
            <w:tcMar>
              <w:top w:type="dxa" w:w="40"/>
              <w:left w:type="dxa" w:w="200"/>
              <w:bottom w:type="dxa" w:w="40"/>
              <w:right w:type="dxa" w:w="200"/>
            </w:tcMar>
          </w:tcPr>
          <w:p>
            <w:pPr>
              <w:spacing w:after="0"/>
              <w:jc w:val="center"/>
            </w:pPr>
            <w:r>
              <w:rPr>
                <w:rFonts w:ascii="Arial" w:cs="Arial" w:eastAsia="Arial" w:hAnsi="Arial"/>
                <w:color w:val="2E74B5"/>
                <w:sz w:val="20"/>
                <w:szCs w:val="20"/>
              </w:rPr>
              <w:t xml:space="preserve">▼</w:t>
            </w:r>
          </w:p>
        </w:tc>
      </w:tr>
      <w:tr>
        <w:tc>
          <w:tcPr>
            <w:tcW w:type="dxa" w:w="9360"/>
            <w:tcBorders>
              <w:top w:val="single" w:color="2E74B5" w:sz="2"/>
              <w:left w:val="single" w:color="2E74B5" w:sz="2"/>
              <w:bottom w:val="single" w:color="2E74B5" w:sz="2"/>
              <w:right w:val="single" w:color="2E74B5" w:sz="2"/>
            </w:tcBorders>
            <w:shd w:fill="E8F0FB" w:val="clear"/>
            <w:tcMar>
              <w:top w:type="dxa" w:w="140"/>
              <w:left w:type="dxa" w:w="200"/>
              <w:bottom w:type="dxa" w:w="140"/>
              <w:right w:type="dxa" w:w="200"/>
            </w:tcMar>
          </w:tcPr>
          <w:p>
            <w:r>
              <w:rPr>
                <w:rFonts w:ascii="Arial" w:cs="Arial" w:eastAsia="Arial" w:hAnsi="Arial"/>
                <w:b/>
                <w:bCs/>
                <w:color w:val="2E74B5"/>
                <w:sz w:val="22"/>
                <w:szCs w:val="22"/>
              </w:rPr>
              <w:t xml:space="preserve">②  Normalisation</w:t>
            </w:r>
          </w:p>
          <w:p>
            <w:pPr>
              <w:spacing w:after="0"/>
            </w:pPr>
            <w:r>
              <w:rPr>
                <w:rFonts w:ascii="Arial" w:cs="Arial" w:eastAsia="Arial" w:hAnsi="Arial"/>
                <w:color w:val="444444"/>
                <w:sz w:val="20"/>
                <w:szCs w:val="20"/>
              </w:rPr>
              <w:t xml:space="preserve">Minuscules · URLs · HTML · Ponctuation · Chiffres</w:t>
            </w:r>
          </w:p>
        </w:tc>
      </w:tr>
      <w:tr>
        <w:tc>
          <w:tcPr>
            <w:tcW w:type="dxa" w:w="9360"/>
            <w:tcBorders>
              <w:top w:val="none" w:color="FFFFFF" w:sz="0"/>
              <w:left w:val="none" w:color="FFFFFF" w:sz="0"/>
              <w:bottom w:val="none" w:color="FFFFFF" w:sz="0"/>
              <w:right w:val="none" w:color="FFFFFF" w:sz="0"/>
            </w:tcBorders>
            <w:shd w:fill="FFFFFF" w:val="clear"/>
            <w:tcMar>
              <w:top w:type="dxa" w:w="40"/>
              <w:left w:type="dxa" w:w="200"/>
              <w:bottom w:type="dxa" w:w="40"/>
              <w:right w:type="dxa" w:w="200"/>
            </w:tcMar>
          </w:tcPr>
          <w:p>
            <w:pPr>
              <w:spacing w:after="0"/>
              <w:jc w:val="center"/>
            </w:pPr>
            <w:r>
              <w:rPr>
                <w:rFonts w:ascii="Arial" w:cs="Arial" w:eastAsia="Arial" w:hAnsi="Arial"/>
                <w:color w:val="2E74B5"/>
                <w:sz w:val="20"/>
                <w:szCs w:val="20"/>
              </w:rPr>
              <w:t xml:space="preserve">▼</w:t>
            </w:r>
          </w:p>
        </w:tc>
      </w:tr>
      <w:tr>
        <w:tc>
          <w:tcPr>
            <w:tcW w:type="dxa" w:w="9360"/>
            <w:tcBorders>
              <w:top w:val="single" w:color="2E74B5" w:sz="2"/>
              <w:left w:val="single" w:color="2E74B5" w:sz="2"/>
              <w:bottom w:val="single" w:color="2E74B5" w:sz="2"/>
              <w:right w:val="single" w:color="2E74B5" w:sz="2"/>
            </w:tcBorders>
            <w:shd w:fill="E8F0FB" w:val="clear"/>
            <w:tcMar>
              <w:top w:type="dxa" w:w="140"/>
              <w:left w:type="dxa" w:w="200"/>
              <w:bottom w:type="dxa" w:w="140"/>
              <w:right w:type="dxa" w:w="200"/>
            </w:tcMar>
          </w:tcPr>
          <w:p>
            <w:r>
              <w:rPr>
                <w:rFonts w:ascii="Arial" w:cs="Arial" w:eastAsia="Arial" w:hAnsi="Arial"/>
                <w:b/>
                <w:bCs/>
                <w:color w:val="2E74B5"/>
                <w:sz w:val="22"/>
                <w:szCs w:val="22"/>
              </w:rPr>
              <w:t xml:space="preserve">③  Tokenisation</w:t>
            </w:r>
          </w:p>
          <w:p>
            <w:pPr>
              <w:spacing w:after="0"/>
            </w:pPr>
            <w:r>
              <w:rPr>
                <w:rFonts w:ascii="Arial" w:cs="Arial" w:eastAsia="Arial" w:hAnsi="Arial"/>
                <w:color w:val="444444"/>
                <w:sz w:val="20"/>
                <w:szCs w:val="20"/>
              </w:rPr>
              <w:t xml:space="preserve">Découpage en mots (NLTK word_tokenize)</w:t>
            </w:r>
          </w:p>
        </w:tc>
      </w:tr>
      <w:tr>
        <w:tc>
          <w:tcPr>
            <w:tcW w:type="dxa" w:w="9360"/>
            <w:tcBorders>
              <w:top w:val="none" w:color="FFFFFF" w:sz="0"/>
              <w:left w:val="none" w:color="FFFFFF" w:sz="0"/>
              <w:bottom w:val="none" w:color="FFFFFF" w:sz="0"/>
              <w:right w:val="none" w:color="FFFFFF" w:sz="0"/>
            </w:tcBorders>
            <w:shd w:fill="FFFFFF" w:val="clear"/>
            <w:tcMar>
              <w:top w:type="dxa" w:w="40"/>
              <w:left w:type="dxa" w:w="200"/>
              <w:bottom w:type="dxa" w:w="40"/>
              <w:right w:type="dxa" w:w="200"/>
            </w:tcMar>
          </w:tcPr>
          <w:p>
            <w:pPr>
              <w:spacing w:after="0"/>
              <w:jc w:val="center"/>
            </w:pPr>
            <w:r>
              <w:rPr>
                <w:rFonts w:ascii="Arial" w:cs="Arial" w:eastAsia="Arial" w:hAnsi="Arial"/>
                <w:color w:val="2E74B5"/>
                <w:sz w:val="20"/>
                <w:szCs w:val="20"/>
              </w:rPr>
              <w:t xml:space="preserve">▼</w:t>
            </w:r>
          </w:p>
        </w:tc>
      </w:tr>
      <w:tr>
        <w:tc>
          <w:tcPr>
            <w:tcW w:type="dxa" w:w="9360"/>
            <w:tcBorders>
              <w:top w:val="single" w:color="2E74B5" w:sz="2"/>
              <w:left w:val="single" w:color="2E74B5" w:sz="2"/>
              <w:bottom w:val="single" w:color="2E74B5" w:sz="2"/>
              <w:right w:val="single" w:color="2E74B5" w:sz="2"/>
            </w:tcBorders>
            <w:shd w:fill="E8F0FB" w:val="clear"/>
            <w:tcMar>
              <w:top w:type="dxa" w:w="140"/>
              <w:left w:type="dxa" w:w="200"/>
              <w:bottom w:type="dxa" w:w="140"/>
              <w:right w:type="dxa" w:w="200"/>
            </w:tcMar>
          </w:tcPr>
          <w:p>
            <w:r>
              <w:rPr>
                <w:rFonts w:ascii="Arial" w:cs="Arial" w:eastAsia="Arial" w:hAnsi="Arial"/>
                <w:b/>
                <w:bCs/>
                <w:color w:val="2E74B5"/>
                <w:sz w:val="22"/>
                <w:szCs w:val="22"/>
              </w:rPr>
              <w:t xml:space="preserve">④  Filtrage Stopwords</w:t>
            </w:r>
          </w:p>
          <w:p>
            <w:pPr>
              <w:spacing w:after="0"/>
            </w:pPr>
            <w:r>
              <w:rPr>
                <w:rFonts w:ascii="Arial" w:cs="Arial" w:eastAsia="Arial" w:hAnsi="Arial"/>
                <w:color w:val="444444"/>
                <w:sz w:val="20"/>
                <w:szCs w:val="20"/>
              </w:rPr>
              <w:t xml:space="preserve">Mots vides supprimés · Tokens &lt; 3 lettres retirés</w:t>
            </w:r>
          </w:p>
        </w:tc>
      </w:tr>
      <w:tr>
        <w:tc>
          <w:tcPr>
            <w:tcW w:type="dxa" w:w="9360"/>
            <w:tcBorders>
              <w:top w:val="none" w:color="FFFFFF" w:sz="0"/>
              <w:left w:val="none" w:color="FFFFFF" w:sz="0"/>
              <w:bottom w:val="none" w:color="FFFFFF" w:sz="0"/>
              <w:right w:val="none" w:color="FFFFFF" w:sz="0"/>
            </w:tcBorders>
            <w:shd w:fill="FFFFFF" w:val="clear"/>
            <w:tcMar>
              <w:top w:type="dxa" w:w="40"/>
              <w:left w:type="dxa" w:w="200"/>
              <w:bottom w:type="dxa" w:w="40"/>
              <w:right w:type="dxa" w:w="200"/>
            </w:tcMar>
          </w:tcPr>
          <w:p>
            <w:pPr>
              <w:spacing w:after="0"/>
              <w:jc w:val="center"/>
            </w:pPr>
            <w:r>
              <w:rPr>
                <w:rFonts w:ascii="Arial" w:cs="Arial" w:eastAsia="Arial" w:hAnsi="Arial"/>
                <w:color w:val="2E74B5"/>
                <w:sz w:val="20"/>
                <w:szCs w:val="20"/>
              </w:rPr>
              <w:t xml:space="preserve">▼</w:t>
            </w:r>
          </w:p>
        </w:tc>
      </w:tr>
      <w:tr>
        <w:tc>
          <w:tcPr>
            <w:tcW w:type="dxa" w:w="9360"/>
            <w:tcBorders>
              <w:top w:val="single" w:color="2E74B5" w:sz="2"/>
              <w:left w:val="single" w:color="2E74B5" w:sz="2"/>
              <w:bottom w:val="single" w:color="2E74B5" w:sz="2"/>
              <w:right w:val="single" w:color="2E74B5" w:sz="2"/>
            </w:tcBorders>
            <w:shd w:fill="E8F0FB" w:val="clear"/>
            <w:tcMar>
              <w:top w:type="dxa" w:w="140"/>
              <w:left w:type="dxa" w:w="200"/>
              <w:bottom w:type="dxa" w:w="140"/>
              <w:right w:type="dxa" w:w="200"/>
            </w:tcMar>
          </w:tcPr>
          <w:p>
            <w:r>
              <w:rPr>
                <w:rFonts w:ascii="Arial" w:cs="Arial" w:eastAsia="Arial" w:hAnsi="Arial"/>
                <w:b/>
                <w:bCs/>
                <w:color w:val="2E74B5"/>
                <w:sz w:val="22"/>
                <w:szCs w:val="22"/>
              </w:rPr>
              <w:t xml:space="preserve">⑤  Lemmatisation POS</w:t>
            </w:r>
          </w:p>
          <w:p>
            <w:pPr>
              <w:spacing w:after="0"/>
            </w:pPr>
            <w:r>
              <w:rPr>
                <w:rFonts w:ascii="Arial" w:cs="Arial" w:eastAsia="Arial" w:hAnsi="Arial"/>
                <w:color w:val="444444"/>
                <w:sz w:val="20"/>
                <w:szCs w:val="20"/>
              </w:rPr>
              <w:t xml:space="preserve">POS-tagging → Lemme canonique (running → run)</w:t>
            </w:r>
          </w:p>
        </w:tc>
      </w:tr>
      <w:tr>
        <w:tc>
          <w:tcPr>
            <w:tcW w:type="dxa" w:w="9360"/>
            <w:tcBorders>
              <w:top w:val="none" w:color="FFFFFF" w:sz="0"/>
              <w:left w:val="none" w:color="FFFFFF" w:sz="0"/>
              <w:bottom w:val="none" w:color="FFFFFF" w:sz="0"/>
              <w:right w:val="none" w:color="FFFFFF" w:sz="0"/>
            </w:tcBorders>
            <w:shd w:fill="FFFFFF" w:val="clear"/>
            <w:tcMar>
              <w:top w:type="dxa" w:w="40"/>
              <w:left w:type="dxa" w:w="200"/>
              <w:bottom w:type="dxa" w:w="40"/>
              <w:right w:type="dxa" w:w="200"/>
            </w:tcMar>
          </w:tcPr>
          <w:p>
            <w:pPr>
              <w:spacing w:after="0"/>
              <w:jc w:val="center"/>
            </w:pPr>
            <w:r>
              <w:rPr>
                <w:rFonts w:ascii="Arial" w:cs="Arial" w:eastAsia="Arial" w:hAnsi="Arial"/>
                <w:color w:val="2E74B5"/>
                <w:sz w:val="20"/>
                <w:szCs w:val="20"/>
              </w:rPr>
              <w:t xml:space="preserve">▼</w:t>
            </w:r>
          </w:p>
        </w:tc>
      </w:tr>
      <w:tr>
        <w:tc>
          <w:tcPr>
            <w:tcW w:type="dxa" w:w="9360"/>
            <w:tcBorders>
              <w:top w:val="single" w:color="375623" w:sz="2"/>
              <w:left w:val="single" w:color="375623" w:sz="2"/>
              <w:bottom w:val="single" w:color="375623" w:sz="2"/>
              <w:right w:val="single" w:color="375623" w:sz="2"/>
            </w:tcBorders>
            <w:shd w:fill="D6F0C2" w:val="clear"/>
            <w:tcMar>
              <w:top w:type="dxa" w:w="140"/>
              <w:left w:type="dxa" w:w="200"/>
              <w:bottom w:type="dxa" w:w="140"/>
              <w:right w:type="dxa" w:w="200"/>
            </w:tcMar>
          </w:tcPr>
          <w:p>
            <w:r>
              <w:rPr>
                <w:rFonts w:ascii="Arial" w:cs="Arial" w:eastAsia="Arial" w:hAnsi="Arial"/>
                <w:b/>
                <w:bCs/>
                <w:color w:val="375623"/>
                <w:sz w:val="22"/>
                <w:szCs w:val="22"/>
              </w:rPr>
              <w:t xml:space="preserve">✓  Texte nettoyé</w:t>
            </w:r>
          </w:p>
          <w:p>
            <w:pPr>
              <w:spacing w:after="0"/>
            </w:pPr>
            <w:r>
              <w:rPr>
                <w:rFonts w:ascii="Arial" w:cs="Arial" w:eastAsia="Arial" w:hAnsi="Arial"/>
                <w:color w:val="444444"/>
                <w:sz w:val="20"/>
                <w:szCs w:val="20"/>
              </w:rPr>
              <w:t xml:space="preserve">Colonne « clean » prête pour la vectorisation</w:t>
            </w:r>
          </w:p>
        </w:tc>
      </w:tr>
    </w:tbl>
    <w:p>
      <w:pPr>
        <w:spacing w:after="120"/>
      </w:pPr>
      <w:r>
        <w:rPr>
          <w:rFonts w:ascii="Arial" w:cs="Arial" w:eastAsia="Arial" w:hAnsi="Arial"/>
          <w:sz w:val="22"/>
          <w:szCs w:val="22"/>
        </w:rPr>
        <w:t xml:space="preserve"/>
      </w:r>
    </w:p>
    <w:p>
      <w:pPr>
        <w:pBdr>
          <w:bottom w:val="single" w:color="1F4E79" w:sz="6" w:space="1"/>
        </w:pBdr>
        <w:spacing w:after="200" w:before="400"/>
      </w:pPr>
      <w:r>
        <w:rPr>
          <w:rFonts w:ascii="Arial" w:cs="Arial" w:eastAsia="Arial" w:hAnsi="Arial"/>
          <w:b/>
          <w:bCs/>
          <w:color w:val="1F4E79"/>
          <w:sz w:val="40"/>
          <w:szCs w:val="40"/>
        </w:rPr>
        <w:t xml:space="preserve">PARTIE 1 — Prétraitement NLP</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2E74B5"/>
          <w:sz w:val="26"/>
          <w:szCs w:val="26"/>
        </w:rPr>
        <w:t xml:space="preserve">1.1 Pipeline NLP — Dataset ISOT</w:t>
      </w:r>
    </w:p>
    <w:p>
      <w:pPr>
        <w:spacing w:after="120"/>
        <w:jc w:val="left"/>
      </w:pPr>
      <w:r>
        <w:rPr>
          <w:rFonts w:ascii="Arial" w:cs="Arial" w:eastAsia="Arial" w:hAnsi="Arial"/>
          <w:sz w:val="22"/>
          <w:szCs w:val="22"/>
        </w:rPr>
        <w:t xml:space="preserve">Le pipeline de nettoyage du projet ISOT est appliqué article par article via une fonction unifiée. Son objectif est de réduire le bruit lexical et d'uniformiser le vocabulaire avant la vectorisation.</w:t>
      </w:r>
    </w:p>
    <w:p>
      <w:pPr>
        <w:spacing w:after="80"/>
      </w:pPr>
      <w:r>
        <w:rPr>
          <w:rFonts w:ascii="Arial" w:cs="Arial" w:eastAsia="Arial" w:hAnsi="Arial"/>
          <w:sz w:val="22"/>
          <w:szCs w:val="22"/>
        </w:rPr>
        <w:t xml:space="preserve"/>
      </w:r>
    </w:p>
    <w:p>
      <w:pPr>
        <w:pStyle w:val="Heading3"/>
        <w:spacing w:after="120" w:before="180"/>
      </w:pPr>
      <w:r>
        <w:rPr>
          <w:rFonts w:ascii="Arial" w:cs="Arial" w:eastAsia="Arial" w:hAnsi="Arial"/>
          <w:b/>
          <w:bCs/>
          <w:color w:val="2E74B5"/>
          <w:sz w:val="24"/>
          <w:szCs w:val="24"/>
        </w:rPr>
        <w:t xml:space="preserve">Étape 1 — Normalisation du texte</w:t>
      </w:r>
    </w:p>
    <w:p>
      <w:pPr>
        <w:spacing w:after="120"/>
        <w:jc w:val="left"/>
      </w:pPr>
      <w:r>
        <w:rPr>
          <w:rFonts w:ascii="Arial" w:cs="Arial" w:eastAsia="Arial" w:hAnsi="Arial"/>
          <w:sz w:val="22"/>
          <w:szCs w:val="22"/>
        </w:rPr>
        <w:t xml:space="preserve">Tout le texte est converti en minuscules afin que des variantes comme « Trump » et « trump » soient traitées de manière identique. Les URLs, les balises HTML, la ponctuation et les chiffres sont ensuite supprimés, car ils n'apportent pas de signal discriminant entre articles vrais et faux. Les espaces multiples sont enfin comprimés en un espace simple.</w:t>
      </w:r>
    </w:p>
    <w:p>
      <w:pPr>
        <w:spacing w:after="80"/>
      </w:pPr>
      <w:r>
        <w:rPr>
          <w:rFonts w:ascii="Arial" w:cs="Arial" w:eastAsia="Arial" w:hAnsi="Arial"/>
          <w:sz w:val="22"/>
          <w:szCs w:val="22"/>
        </w:rPr>
        <w:t xml:space="preserve"/>
      </w:r>
    </w:p>
    <w:p>
      <w:pPr>
        <w:pStyle w:val="Heading3"/>
        <w:spacing w:after="120" w:before="180"/>
      </w:pPr>
      <w:r>
        <w:rPr>
          <w:rFonts w:ascii="Arial" w:cs="Arial" w:eastAsia="Arial" w:hAnsi="Arial"/>
          <w:b/>
          <w:bCs/>
          <w:color w:val="2E74B5"/>
          <w:sz w:val="24"/>
          <w:szCs w:val="24"/>
        </w:rPr>
        <w:t xml:space="preserve">Étape 2 — Tokenisation</w:t>
      </w:r>
    </w:p>
    <w:p>
      <w:pPr>
        <w:spacing w:after="120"/>
        <w:jc w:val="left"/>
      </w:pPr>
      <w:r>
        <w:rPr>
          <w:rFonts w:ascii="Arial" w:cs="Arial" w:eastAsia="Arial" w:hAnsi="Arial"/>
          <w:sz w:val="22"/>
          <w:szCs w:val="22"/>
        </w:rPr>
        <w:t xml:space="preserve">Le texte normalisé est découpé en unités élémentaires (tokens) à l'aide de la bibliothèque NLTK, permettant de traiter chaque mot individuellement dans les étapes suivantes.</w:t>
      </w:r>
    </w:p>
    <w:p>
      <w:pPr>
        <w:spacing w:after="80"/>
      </w:pPr>
      <w:r>
        <w:rPr>
          <w:rFonts w:ascii="Arial" w:cs="Arial" w:eastAsia="Arial" w:hAnsi="Arial"/>
          <w:sz w:val="22"/>
          <w:szCs w:val="22"/>
        </w:rPr>
        <w:t xml:space="preserve"/>
      </w:r>
    </w:p>
    <w:p>
      <w:pPr>
        <w:pStyle w:val="Heading3"/>
        <w:spacing w:after="120" w:before="180"/>
      </w:pPr>
      <w:r>
        <w:rPr>
          <w:rFonts w:ascii="Arial" w:cs="Arial" w:eastAsia="Arial" w:hAnsi="Arial"/>
          <w:b/>
          <w:bCs/>
          <w:color w:val="2E74B5"/>
          <w:sz w:val="24"/>
          <w:szCs w:val="24"/>
        </w:rPr>
        <w:t xml:space="preserve">Étape 3 — Filtrage des stopwords et mots courts</w:t>
      </w:r>
    </w:p>
    <w:p>
      <w:pPr>
        <w:spacing w:after="120"/>
        <w:jc w:val="left"/>
      </w:pPr>
      <w:r>
        <w:rPr>
          <w:rFonts w:ascii="Arial" w:cs="Arial" w:eastAsia="Arial" w:hAnsi="Arial"/>
          <w:sz w:val="22"/>
          <w:szCs w:val="22"/>
        </w:rPr>
        <w:t xml:space="preserve">Les mots vides de sens (the, is, and, etc.) sont supprimés car ils sont très fréquents dans tous les articles et n'aident pas à distinguer le vrai du faux. Les tokens de moins de 3 caractères sont également retirés. Cette étape réduit la dimensionnalité et concentre le signal sur les mots porteurs de sens.</w:t>
      </w:r>
    </w:p>
    <w:p>
      <w:pPr>
        <w:spacing w:after="80"/>
      </w:pPr>
      <w:r>
        <w:rPr>
          <w:rFonts w:ascii="Arial" w:cs="Arial" w:eastAsia="Arial" w:hAnsi="Arial"/>
          <w:sz w:val="22"/>
          <w:szCs w:val="22"/>
        </w:rPr>
        <w:t xml:space="preserve"/>
      </w:r>
    </w:p>
    <w:p>
      <w:pPr>
        <w:pStyle w:val="Heading3"/>
        <w:spacing w:after="120" w:before="180"/>
      </w:pPr>
      <w:r>
        <w:rPr>
          <w:rFonts w:ascii="Arial" w:cs="Arial" w:eastAsia="Arial" w:hAnsi="Arial"/>
          <w:b/>
          <w:bCs/>
          <w:color w:val="2E74B5"/>
          <w:sz w:val="24"/>
          <w:szCs w:val="24"/>
        </w:rPr>
        <w:t xml:space="preserve">Étape 4 — Lemmatisation guidée par POS-tagging</w:t>
      </w:r>
    </w:p>
    <w:p>
      <w:pPr>
        <w:spacing w:after="120"/>
        <w:jc w:val="left"/>
      </w:pPr>
      <w:r>
        <w:rPr>
          <w:rFonts w:ascii="Arial" w:cs="Arial" w:eastAsia="Arial" w:hAnsi="Arial"/>
          <w:sz w:val="22"/>
          <w:szCs w:val="22"/>
        </w:rPr>
        <w:t xml:space="preserve">Chaque token est d'abord étiqueté grammaticalement (nom, verbe, adjectif, adverbe) via le POS-tagging, puis ramené à sa forme canonique (le lemme) grâce à un lemmatiseur. Par exemple, « running » (verbe) devient « run ». Utiliser la catégorie grammaticale rend la lemmatisation plus précise qu'un simple stemming et produit un vocabulaire final plus compact et cohérent.</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none" w:color="FFFFFF" w:sz="0"/>
              <w:bottom w:val="none" w:color="FFFFFF" w:sz="0"/>
              <w:right w:val="none" w:color="FFFFFF" w:sz="0"/>
            </w:tcBorders>
            <w:shd w:fill="F2F9EC" w:val="clear"/>
            <w:tcMar>
              <w:top w:type="dxa" w:w="140"/>
              <w:left w:type="dxa" w:w="220"/>
              <w:bottom w:type="dxa" w:w="140"/>
              <w:right w:type="dxa" w:w="220"/>
            </w:tcMar>
          </w:tcPr>
          <w:p>
            <w:pPr>
              <w:spacing w:after="60"/>
            </w:pPr>
            <w:r>
              <w:rPr>
                <w:rFonts w:ascii="Arial" w:cs="Arial" w:eastAsia="Arial" w:hAnsi="Arial"/>
                <w:b/>
                <w:bCs/>
                <w:color w:val="375623"/>
                <w:sz w:val="20"/>
                <w:szCs w:val="20"/>
              </w:rPr>
              <w:t xml:space="preserve">Résultats du nettoyage — Dataset ISOT</w:t>
            </w:r>
          </w:p>
          <w:p>
            <w:pPr>
              <w:spacing w:after="60"/>
            </w:pPr>
            <w:r>
              <w:rPr>
                <w:rFonts w:ascii="Arial" w:cs="Arial" w:eastAsia="Arial" w:hAnsi="Arial"/>
                <w:b w:val="false"/>
                <w:bCs w:val="false"/>
                <w:color w:val="444444"/>
                <w:sz w:val="20"/>
                <w:szCs w:val="20"/>
              </w:rPr>
              <w:t xml:space="preserve">Lignes avant nettoyage structurel : 44 898</w:t>
            </w:r>
          </w:p>
          <w:p>
            <w:pPr>
              <w:spacing w:after="60"/>
            </w:pPr>
            <w:r>
              <w:rPr>
                <w:rFonts w:ascii="Arial" w:cs="Arial" w:eastAsia="Arial" w:hAnsi="Arial"/>
                <w:b w:val="false"/>
                <w:bCs w:val="false"/>
                <w:color w:val="444444"/>
                <w:sz w:val="20"/>
                <w:szCs w:val="20"/>
              </w:rPr>
              <w:t xml:space="preserve">Lignes après nettoyage structurel : 39 096</w:t>
            </w:r>
          </w:p>
          <w:p>
            <w:pPr>
              <w:spacing w:after="60"/>
            </w:pPr>
            <w:r>
              <w:rPr>
                <w:rFonts w:ascii="Arial" w:cs="Arial" w:eastAsia="Arial" w:hAnsi="Arial"/>
                <w:b w:val="false"/>
                <w:bCs w:val="false"/>
                <w:color w:val="444444"/>
                <w:sz w:val="20"/>
                <w:szCs w:val="20"/>
              </w:rPr>
              <w:t xml:space="preserve">Lignes supprimées : 5 802</w:t>
            </w:r>
          </w:p>
          <w:p>
            <w:pPr>
              <w:spacing w:after="60"/>
            </w:pPr>
            <w:r>
              <w:rPr>
                <w:rFonts w:ascii="Arial" w:cs="Arial" w:eastAsia="Arial" w:hAnsi="Arial"/>
                <w:b w:val="false"/>
                <w:bCs w:val="false"/>
                <w:color w:val="444444"/>
                <w:sz w:val="20"/>
                <w:szCs w:val="20"/>
              </w:rPr>
              <w:t xml:space="preserve">→ Le nettoyage a supprimé ~13 % des lignes, éliminant les doublons et le bruit sans perdre l'information discriminante.</w:t>
            </w:r>
          </w:p>
        </w:tc>
      </w:tr>
    </w:tbl>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2E74B5"/>
          <w:sz w:val="26"/>
          <w:szCs w:val="26"/>
        </w:rPr>
        <w:t xml:space="preserve">1.2 Qualité des données (NaN, doublons, bruit) — Dataset ISOT</w:t>
      </w:r>
    </w:p>
    <w:p>
      <w:pPr>
        <w:spacing w:after="160"/>
        <w:jc w:val="center"/>
      </w:pPr>
      <w:r>
        <w:drawing>
          <wp:inline distT="0" distB="0" distL="0" distR="0">
            <wp:extent cx="5524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none" w:color="FFFFFF" w:sz="0"/>
              <w:bottom w:val="none" w:color="FFFFFF" w:sz="0"/>
              <w:right w:val="none" w:color="FFFFFF" w:sz="0"/>
            </w:tcBorders>
            <w:shd w:fill="EEF4FB" w:val="clear"/>
            <w:tcMar>
              <w:top w:type="dxa" w:w="140"/>
              <w:left w:type="dxa" w:w="220"/>
              <w:bottom w:type="dxa" w:w="140"/>
              <w:right w:type="dxa" w:w="220"/>
            </w:tcMar>
          </w:tcPr>
          <w:p>
            <w:pPr>
              <w:spacing w:after="60"/>
            </w:pPr>
            <w:r>
              <w:rPr>
                <w:rFonts w:ascii="Arial" w:cs="Arial" w:eastAsia="Arial" w:hAnsi="Arial"/>
                <w:i w:val="false"/>
                <w:iCs w:val="false"/>
                <w:color w:val="333333"/>
                <w:sz w:val="20"/>
                <w:szCs w:val="20"/>
              </w:rPr>
              <w:t xml:space="preserve">Interprétation : L'analyse montre que le dataset est globalement propre et bien structuré, sans valeurs manquantes ni doublons significatifs.</w:t>
            </w:r>
          </w:p>
          <w:p>
            <w:pPr>
              <w:spacing w:after="60"/>
            </w:pPr>
            <w:r>
              <w:rPr>
                <w:rFonts w:ascii="Arial" w:cs="Arial" w:eastAsia="Arial" w:hAnsi="Arial"/>
                <w:i/>
                <w:iCs/>
                <w:color w:val="333333"/>
                <w:sz w:val="20"/>
                <w:szCs w:val="20"/>
              </w:rPr>
              <w:t xml:space="preserve">→ Une présence modérée de bruit textuel est observée (~6,8 %), principalement due aux URLs et aux éléments HTML résiduels, traités par le pipeline de nettoyage.</w:t>
            </w:r>
          </w:p>
        </w:tc>
      </w:tr>
    </w:tbl>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2E74B5"/>
          <w:sz w:val="26"/>
          <w:szCs w:val="26"/>
        </w:rPr>
        <w:t xml:space="preserve">1.3 Pipeline NLP — Projet TruthGuard</w:t>
      </w:r>
    </w:p>
    <w:p>
      <w:pPr>
        <w:spacing w:after="120"/>
        <w:jc w:val="left"/>
      </w:pPr>
      <w:r>
        <w:rPr>
          <w:rFonts w:ascii="Arial" w:cs="Arial" w:eastAsia="Arial" w:hAnsi="Arial"/>
          <w:sz w:val="22"/>
          <w:szCs w:val="22"/>
        </w:rPr>
        <w:t xml:space="preserve">Le projet TruthGuard applique un pipeline NLP similaire mais l'enrichit d'une étape de nettoyage structurel préalable sur le corpus, ainsi que de diagnostics quantitatifs après nettoyage.</w:t>
      </w:r>
    </w:p>
    <w:p>
      <w:pPr>
        <w:spacing w:after="80"/>
      </w:pPr>
      <w:r>
        <w:rPr>
          <w:rFonts w:ascii="Arial" w:cs="Arial" w:eastAsia="Arial" w:hAnsi="Arial"/>
          <w:sz w:val="22"/>
          <w:szCs w:val="22"/>
        </w:rPr>
        <w:t xml:space="preserve"/>
      </w:r>
    </w:p>
    <w:p>
      <w:pPr>
        <w:pStyle w:val="Heading3"/>
        <w:spacing w:after="120" w:before="180"/>
      </w:pPr>
      <w:r>
        <w:rPr>
          <w:rFonts w:ascii="Arial" w:cs="Arial" w:eastAsia="Arial" w:hAnsi="Arial"/>
          <w:b/>
          <w:bCs/>
          <w:color w:val="2E74B5"/>
          <w:sz w:val="24"/>
          <w:szCs w:val="24"/>
        </w:rPr>
        <w:t xml:space="preserve">Étape 0 — Nettoyage structurel du corpus</w:t>
      </w:r>
    </w:p>
    <w:p>
      <w:pPr>
        <w:spacing w:after="120"/>
        <w:jc w:val="left"/>
      </w:pPr>
      <w:r>
        <w:rPr>
          <w:rFonts w:ascii="Arial" w:cs="Arial" w:eastAsia="Arial" w:hAnsi="Arial"/>
          <w:sz w:val="22"/>
          <w:szCs w:val="22"/>
        </w:rPr>
        <w:t xml:space="preserve">Avant tout traitement linguistique, le corpus est assaini au niveau de la structure :</w:t>
      </w:r>
    </w:p>
    <w:p>
      <w:pPr>
        <w:pStyle w:val="ListParagraph"/>
        <w:numPr>
          <w:ilvl w:val="0"/>
          <w:numId w:val="2"/>
        </w:numPr>
        <w:spacing w:after="80"/>
      </w:pPr>
      <w:r>
        <w:rPr>
          <w:rFonts w:ascii="Arial" w:cs="Arial" w:eastAsia="Arial" w:hAnsi="Arial"/>
          <w:sz w:val="22"/>
          <w:szCs w:val="22"/>
        </w:rPr>
        <w:t xml:space="preserve">Suppression des doublons (textes identiques).</w:t>
      </w:r>
    </w:p>
    <w:p>
      <w:pPr>
        <w:pStyle w:val="ListParagraph"/>
        <w:numPr>
          <w:ilvl w:val="0"/>
          <w:numId w:val="2"/>
        </w:numPr>
        <w:spacing w:after="80"/>
      </w:pPr>
      <w:r>
        <w:rPr>
          <w:rFonts w:ascii="Arial" w:cs="Arial" w:eastAsia="Arial" w:hAnsi="Arial"/>
          <w:sz w:val="22"/>
          <w:szCs w:val="22"/>
        </w:rPr>
        <w:t xml:space="preserve">Suppression des valeurs manquantes sur les champs statement et label.</w:t>
      </w:r>
    </w:p>
    <w:p>
      <w:pPr>
        <w:pStyle w:val="ListParagraph"/>
        <w:numPr>
          <w:ilvl w:val="0"/>
          <w:numId w:val="2"/>
        </w:numPr>
        <w:spacing w:after="80"/>
      </w:pPr>
      <w:r>
        <w:rPr>
          <w:rFonts w:ascii="Arial" w:cs="Arial" w:eastAsia="Arial" w:hAnsi="Arial"/>
          <w:sz w:val="22"/>
          <w:szCs w:val="22"/>
        </w:rPr>
        <w:t xml:space="preserve">Retrait des textes quasi-vides (moins de 5 mots).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none" w:color="FFFFFF" w:sz="0"/>
              <w:bottom w:val="none" w:color="FFFFFF" w:sz="0"/>
              <w:right w:val="none" w:color="FFFFFF" w:sz="0"/>
            </w:tcBorders>
            <w:shd w:fill="F2F9EC" w:val="clear"/>
            <w:tcMar>
              <w:top w:type="dxa" w:w="140"/>
              <w:left w:type="dxa" w:w="220"/>
              <w:bottom w:type="dxa" w:w="140"/>
              <w:right w:type="dxa" w:w="220"/>
            </w:tcMar>
          </w:tcPr>
          <w:p>
            <w:pPr>
              <w:spacing w:after="60"/>
            </w:pPr>
            <w:r>
              <w:rPr>
                <w:rFonts w:ascii="Arial" w:cs="Arial" w:eastAsia="Arial" w:hAnsi="Arial"/>
                <w:b/>
                <w:bCs/>
                <w:color w:val="375623"/>
                <w:sz w:val="20"/>
                <w:szCs w:val="20"/>
              </w:rPr>
              <w:t xml:space="preserve">Résultats du nettoyage structurel — TruthGuard</w:t>
            </w:r>
          </w:p>
          <w:p>
            <w:pPr>
              <w:spacing w:after="60"/>
            </w:pPr>
            <w:r>
              <w:rPr>
                <w:rFonts w:ascii="Arial" w:cs="Arial" w:eastAsia="Arial" w:hAnsi="Arial"/>
                <w:b w:val="false"/>
                <w:bCs w:val="false"/>
                <w:color w:val="444444"/>
                <w:sz w:val="20"/>
                <w:szCs w:val="20"/>
              </w:rPr>
              <w:t xml:space="preserve">Lignes avant nettoyage : 2 058 articles</w:t>
            </w:r>
          </w:p>
          <w:p>
            <w:pPr>
              <w:spacing w:after="60"/>
            </w:pPr>
            <w:r>
              <w:rPr>
                <w:rFonts w:ascii="Arial" w:cs="Arial" w:eastAsia="Arial" w:hAnsi="Arial"/>
                <w:b w:val="false"/>
                <w:bCs w:val="false"/>
                <w:color w:val="444444"/>
                <w:sz w:val="20"/>
                <w:szCs w:val="20"/>
              </w:rPr>
              <w:t xml:space="preserve">Lignes après nettoyage : 1 923 articles</w:t>
            </w:r>
          </w:p>
          <w:p>
            <w:pPr>
              <w:spacing w:after="60"/>
            </w:pPr>
            <w:r>
              <w:rPr>
                <w:rFonts w:ascii="Arial" w:cs="Arial" w:eastAsia="Arial" w:hAnsi="Arial"/>
                <w:b w:val="false"/>
                <w:bCs w:val="false"/>
                <w:color w:val="444444"/>
                <w:sz w:val="20"/>
                <w:szCs w:val="20"/>
              </w:rPr>
              <w:t xml:space="preserve">Lignes supprimées : 135  (doublons, NaN, textes trop courts)</w:t>
            </w:r>
          </w:p>
          <w:p>
            <w:pPr>
              <w:spacing w:after="60"/>
            </w:pPr>
            <w:r>
              <w:rPr>
                <w:rFonts w:ascii="Arial" w:cs="Arial" w:eastAsia="Arial" w:hAnsi="Arial"/>
                <w:b w:val="false"/>
                <w:bCs w:val="false"/>
                <w:color w:val="444444"/>
                <w:sz w:val="20"/>
                <w:szCs w:val="20"/>
              </w:rPr>
              <w:t xml:space="preserve">→ Éliminer les doublons et textes courts évite que le modèle apprenne sur du bruit, ce qui fausserait l'évaluation.</w:t>
            </w:r>
          </w:p>
        </w:tc>
      </w:tr>
    </w:tbl>
    <w:p>
      <w:pPr>
        <w:spacing w:after="120"/>
      </w:pPr>
      <w:r>
        <w:rPr>
          <w:rFonts w:ascii="Arial" w:cs="Arial" w:eastAsia="Arial" w:hAnsi="Arial"/>
          <w:sz w:val="22"/>
          <w:szCs w:val="22"/>
        </w:rPr>
        <w:t xml:space="preserve"/>
      </w:r>
    </w:p>
    <w:p>
      <w:pPr>
        <w:pStyle w:val="Heading3"/>
        <w:spacing w:after="120" w:before="180"/>
      </w:pPr>
      <w:r>
        <w:rPr>
          <w:rFonts w:ascii="Arial" w:cs="Arial" w:eastAsia="Arial" w:hAnsi="Arial"/>
          <w:b/>
          <w:bCs/>
          <w:color w:val="2E74B5"/>
          <w:sz w:val="24"/>
          <w:szCs w:val="24"/>
        </w:rPr>
        <w:t xml:space="preserve">Étapes 1 à 4 — Identiques au pipeline ISOT</w:t>
      </w:r>
    </w:p>
    <w:p>
      <w:pPr>
        <w:spacing w:after="120"/>
        <w:jc w:val="left"/>
      </w:pPr>
      <w:r>
        <w:rPr>
          <w:rFonts w:ascii="Arial" w:cs="Arial" w:eastAsia="Arial" w:hAnsi="Arial"/>
          <w:sz w:val="22"/>
          <w:szCs w:val="22"/>
        </w:rPr>
        <w:t xml:space="preserve">Normalisation, tokenisation, filtrage des stopwords et mots courts, lemmatisation par POS-tagging.</w:t>
      </w:r>
    </w:p>
    <w:p>
      <w:pPr>
        <w:spacing w:after="80"/>
      </w:pPr>
      <w:r>
        <w:rPr>
          <w:rFonts w:ascii="Arial" w:cs="Arial" w:eastAsia="Arial" w:hAnsi="Arial"/>
          <w:sz w:val="22"/>
          <w:szCs w:val="22"/>
        </w:rPr>
        <w:t xml:space="preserve"/>
      </w:r>
    </w:p>
    <w:p>
      <w:pPr>
        <w:pStyle w:val="Heading3"/>
        <w:spacing w:after="120" w:before="180"/>
      </w:pPr>
      <w:r>
        <w:rPr>
          <w:rFonts w:ascii="Arial" w:cs="Arial" w:eastAsia="Arial" w:hAnsi="Arial"/>
          <w:b/>
          <w:bCs/>
          <w:color w:val="2E74B5"/>
          <w:sz w:val="24"/>
          <w:szCs w:val="24"/>
        </w:rPr>
        <w:t xml:space="preserve">Word Clouds post-nettoyage — TruthGuard</w:t>
      </w:r>
    </w:p>
    <w:p>
      <w:pPr>
        <w:spacing w:after="16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71750"/>
                    </a:xfrm>
                    <a:prstGeom prst="rect">
                      <a:avLst/>
                    </a:prstGeom>
                  </pic:spPr>
                </pic:pic>
              </a:graphicData>
            </a:graphic>
          </wp:inline>
        </w:drawing>
      </w:r>
    </w:p>
    <w:p>
      <w:pPr>
        <w:spacing w:after="120"/>
      </w:pPr>
      <w:r>
        <w:rPr>
          <w:rFonts w:ascii="Arial" w:cs="Arial" w:eastAsia="Arial" w:hAnsi="Arial"/>
          <w:i/>
          <w:iCs/>
          <w:color w:val="555555"/>
          <w:sz w:val="22"/>
          <w:szCs w:val="22"/>
        </w:rPr>
        <w:t xml:space="preserve">Les mots dominants (trump, said, people, white house) sont cohérents avec le vocabulaire politique et médiatique du dataset. Les fake news (rouge) présentent des termes plus sensationnalistes (image, featured, nuked) tandis que les vraies (bleu) sont plus institutionnels (democrat, republican, congress).</w:t>
      </w:r>
    </w:p>
    <w:p>
      <w:pPr>
        <w:spacing w:after="120"/>
      </w:pPr>
      <w:r>
        <w:rPr>
          <w:rFonts w:ascii="Arial" w:cs="Arial" w:eastAsia="Arial" w:hAnsi="Arial"/>
          <w:sz w:val="22"/>
          <w:szCs w:val="22"/>
        </w:rPr>
        <w:t xml:space="preserve"/>
      </w:r>
    </w:p>
    <w:p>
      <w:pPr>
        <w:pStyle w:val="Heading3"/>
        <w:spacing w:after="120" w:before="180"/>
      </w:pPr>
      <w:r>
        <w:rPr>
          <w:rFonts w:ascii="Arial" w:cs="Arial" w:eastAsia="Arial" w:hAnsi="Arial"/>
          <w:b/>
          <w:bCs/>
          <w:color w:val="2E74B5"/>
          <w:sz w:val="24"/>
          <w:szCs w:val="24"/>
        </w:rPr>
        <w:t xml:space="preserve">Diagnostics post-nettoyage — TruthGuard</w:t>
      </w:r>
    </w:p>
    <w:p>
      <w:pPr>
        <w:spacing w:after="160"/>
        <w:jc w:val="center"/>
      </w:pPr>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05000"/>
                    </a:xfrm>
                    <a:prstGeom prst="rect">
                      <a:avLst/>
                    </a:prstGeom>
                  </pic:spPr>
                </pic:pic>
              </a:graphicData>
            </a:graphic>
          </wp:inline>
        </w:drawing>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Compression du texte</w:t>
            </w:r>
          </w:p>
        </w:tc>
        <w:tc>
          <w:tcPr>
            <w:tcW w:type="dxa" w:w="468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Valeur</w:t>
            </w:r>
          </w:p>
        </w:tc>
      </w:tr>
      <w:tr>
        <w:tc>
          <w:tcPr>
            <w:tcW w:type="dxa" w:w="4680"/>
            <w:tcBorders>
              <w:top w:val="single" w:color="1F4E79" w:sz="1"/>
              <w:left w:val="single" w:color="1F4E79" w:sz="1"/>
              <w:bottom w:val="single" w:color="1F4E79" w:sz="1"/>
              <w:right w:val="single" w:color="1F4E79" w:sz="1"/>
            </w:tcBorders>
            <w:shd w:fill="F5F5F5" w:val="clear"/>
            <w:tcMar>
              <w:top w:type="dxa" w:w="80"/>
              <w:left w:type="dxa" w:w="140"/>
              <w:bottom w:type="dxa" w:w="80"/>
              <w:right w:type="dxa" w:w="140"/>
            </w:tcMar>
          </w:tcPr>
          <w:p>
            <w:pPr>
              <w:jc w:val="center"/>
            </w:pPr>
            <w:r>
              <w:rPr>
                <w:rFonts w:ascii="Arial" w:cs="Arial" w:eastAsia="Arial" w:hAnsi="Arial"/>
                <w:sz w:val="20"/>
                <w:szCs w:val="20"/>
              </w:rPr>
              <w:t xml:space="preserve">Mots moyens avant nettoyage</w:t>
            </w:r>
          </w:p>
        </w:tc>
        <w:tc>
          <w:tcPr>
            <w:tcW w:type="dxa" w:w="4680"/>
            <w:tcBorders>
              <w:top w:val="single" w:color="1F4E79" w:sz="1"/>
              <w:left w:val="single" w:color="1F4E79" w:sz="1"/>
              <w:bottom w:val="single" w:color="1F4E79" w:sz="1"/>
              <w:right w:val="single" w:color="1F4E79" w:sz="1"/>
            </w:tcBorders>
            <w:shd w:fill="F5F5F5" w:val="clear"/>
            <w:tcMar>
              <w:top w:type="dxa" w:w="80"/>
              <w:left w:type="dxa" w:w="140"/>
              <w:bottom w:type="dxa" w:w="80"/>
              <w:right w:type="dxa" w:w="140"/>
            </w:tcMar>
          </w:tcPr>
          <w:p>
            <w:pPr>
              <w:jc w:val="center"/>
            </w:pPr>
            <w:r>
              <w:rPr>
                <w:rFonts w:ascii="Arial" w:cs="Arial" w:eastAsia="Arial" w:hAnsi="Arial"/>
                <w:sz w:val="20"/>
                <w:szCs w:val="20"/>
              </w:rPr>
              <w:t xml:space="preserve">437,4</w:t>
            </w:r>
          </w:p>
        </w:tc>
      </w:tr>
      <w:tr>
        <w:tc>
          <w:tcPr>
            <w:tcW w:type="dxa" w:w="4680"/>
            <w:tcBorders>
              <w:top w:val="single" w:color="1F4E79" w:sz="1"/>
              <w:left w:val="single" w:color="1F4E79" w:sz="1"/>
              <w:bottom w:val="single" w:color="1F4E79" w:sz="1"/>
              <w:right w:val="single" w:color="1F4E79"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Mots moyens après nettoyage</w:t>
            </w:r>
          </w:p>
        </w:tc>
        <w:tc>
          <w:tcPr>
            <w:tcW w:type="dxa" w:w="4680"/>
            <w:tcBorders>
              <w:top w:val="single" w:color="1F4E79" w:sz="1"/>
              <w:left w:val="single" w:color="1F4E79" w:sz="1"/>
              <w:bottom w:val="single" w:color="1F4E79" w:sz="1"/>
              <w:right w:val="single" w:color="1F4E79"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247,7</w:t>
            </w:r>
          </w:p>
        </w:tc>
      </w:tr>
      <w:tr>
        <w:tc>
          <w:tcPr>
            <w:tcW w:type="dxa" w:w="4680"/>
            <w:tcBorders>
              <w:top w:val="single" w:color="1F4E79" w:sz="1"/>
              <w:left w:val="single" w:color="1F4E79" w:sz="1"/>
              <w:bottom w:val="single" w:color="1F4E79" w:sz="1"/>
              <w:right w:val="single" w:color="1F4E79" w:sz="1"/>
            </w:tcBorders>
            <w:shd w:fill="F5F5F5" w:val="clear"/>
            <w:tcMar>
              <w:top w:type="dxa" w:w="80"/>
              <w:left w:type="dxa" w:w="140"/>
              <w:bottom w:type="dxa" w:w="80"/>
              <w:right w:type="dxa" w:w="140"/>
            </w:tcMar>
          </w:tcPr>
          <w:p>
            <w:pPr>
              <w:jc w:val="center"/>
            </w:pPr>
            <w:r>
              <w:rPr>
                <w:rFonts w:ascii="Arial" w:cs="Arial" w:eastAsia="Arial" w:hAnsi="Arial"/>
                <w:sz w:val="20"/>
                <w:szCs w:val="20"/>
              </w:rPr>
              <w:t xml:space="preserve">Taux de compression</w:t>
            </w:r>
          </w:p>
        </w:tc>
        <w:tc>
          <w:tcPr>
            <w:tcW w:type="dxa" w:w="4680"/>
            <w:tcBorders>
              <w:top w:val="single" w:color="1F4E79" w:sz="1"/>
              <w:left w:val="single" w:color="1F4E79" w:sz="1"/>
              <w:bottom w:val="single" w:color="1F4E79" w:sz="1"/>
              <w:right w:val="single" w:color="1F4E79" w:sz="1"/>
            </w:tcBorders>
            <w:shd w:fill="F5F5F5" w:val="clear"/>
            <w:tcMar>
              <w:top w:type="dxa" w:w="80"/>
              <w:left w:type="dxa" w:w="140"/>
              <w:bottom w:type="dxa" w:w="80"/>
              <w:right w:type="dxa" w:w="140"/>
            </w:tcMar>
          </w:tcPr>
          <w:p>
            <w:pPr>
              <w:jc w:val="center"/>
            </w:pPr>
            <w:r>
              <w:rPr>
                <w:rFonts w:ascii="Arial" w:cs="Arial" w:eastAsia="Arial" w:hAnsi="Arial"/>
                <w:sz w:val="20"/>
                <w:szCs w:val="20"/>
              </w:rPr>
              <w:t xml:space="preserve">43,4 %</w:t>
            </w:r>
          </w:p>
        </w:tc>
      </w:tr>
      <w:tr>
        <w:tc>
          <w:tcPr>
            <w:tcW w:type="dxa" w:w="4680"/>
            <w:tcBorders>
              <w:top w:val="single" w:color="1F4E79" w:sz="1"/>
              <w:left w:val="single" w:color="1F4E79" w:sz="1"/>
              <w:bottom w:val="single" w:color="1F4E79" w:sz="1"/>
              <w:right w:val="single" w:color="1F4E79"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Richesse vocab. Fake (TTR moy.)</w:t>
            </w:r>
          </w:p>
        </w:tc>
        <w:tc>
          <w:tcPr>
            <w:tcW w:type="dxa" w:w="4680"/>
            <w:tcBorders>
              <w:top w:val="single" w:color="1F4E79" w:sz="1"/>
              <w:left w:val="single" w:color="1F4E79" w:sz="1"/>
              <w:bottom w:val="single" w:color="1F4E79" w:sz="1"/>
              <w:right w:val="single" w:color="1F4E79"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0,704</w:t>
            </w:r>
          </w:p>
        </w:tc>
      </w:tr>
      <w:tr>
        <w:tc>
          <w:tcPr>
            <w:tcW w:type="dxa" w:w="4680"/>
            <w:tcBorders>
              <w:top w:val="single" w:color="1F4E79" w:sz="1"/>
              <w:left w:val="single" w:color="1F4E79" w:sz="1"/>
              <w:bottom w:val="single" w:color="1F4E79" w:sz="1"/>
              <w:right w:val="single" w:color="1F4E79" w:sz="1"/>
            </w:tcBorders>
            <w:shd w:fill="F5F5F5" w:val="clear"/>
            <w:tcMar>
              <w:top w:type="dxa" w:w="80"/>
              <w:left w:type="dxa" w:w="140"/>
              <w:bottom w:type="dxa" w:w="80"/>
              <w:right w:type="dxa" w:w="140"/>
            </w:tcMar>
          </w:tcPr>
          <w:p>
            <w:pPr>
              <w:jc w:val="center"/>
            </w:pPr>
            <w:r>
              <w:rPr>
                <w:rFonts w:ascii="Arial" w:cs="Arial" w:eastAsia="Arial" w:hAnsi="Arial"/>
                <w:sz w:val="20"/>
                <w:szCs w:val="20"/>
              </w:rPr>
              <w:t xml:space="preserve">Richesse vocab. Real (TTR moy.)</w:t>
            </w:r>
          </w:p>
        </w:tc>
        <w:tc>
          <w:tcPr>
            <w:tcW w:type="dxa" w:w="4680"/>
            <w:tcBorders>
              <w:top w:val="single" w:color="1F4E79" w:sz="1"/>
              <w:left w:val="single" w:color="1F4E79" w:sz="1"/>
              <w:bottom w:val="single" w:color="1F4E79" w:sz="1"/>
              <w:right w:val="single" w:color="1F4E79" w:sz="1"/>
            </w:tcBorders>
            <w:shd w:fill="F5F5F5" w:val="clear"/>
            <w:tcMar>
              <w:top w:type="dxa" w:w="80"/>
              <w:left w:type="dxa" w:w="140"/>
              <w:bottom w:type="dxa" w:w="80"/>
              <w:right w:type="dxa" w:w="140"/>
            </w:tcMar>
          </w:tcPr>
          <w:p>
            <w:pPr>
              <w:jc w:val="center"/>
            </w:pPr>
            <w:r>
              <w:rPr>
                <w:rFonts w:ascii="Arial" w:cs="Arial" w:eastAsia="Arial" w:hAnsi="Arial"/>
                <w:sz w:val="20"/>
                <w:szCs w:val="20"/>
              </w:rPr>
              <w:t xml:space="preserve">0,675</w:t>
            </w:r>
          </w:p>
        </w:tc>
      </w:tr>
    </w:tbl>
    <w:p>
      <w:pPr>
        <w:spacing w:after="120"/>
      </w:pPr>
      <w:r>
        <w:rPr>
          <w:rFonts w:ascii="Arial" w:cs="Arial" w:eastAsia="Arial" w:hAnsi="Arial"/>
          <w:sz w:val="22"/>
          <w:szCs w:val="22"/>
        </w:rPr>
        <w:t xml:space="preserve"/>
      </w:r>
    </w:p>
    <w:p>
      <w:pPr>
        <w:spacing w:after="120"/>
      </w:pPr>
      <w:r>
        <w:rPr>
          <w:rFonts w:ascii="Arial" w:cs="Arial" w:eastAsia="Arial" w:hAnsi="Arial"/>
          <w:i/>
          <w:iCs/>
          <w:color w:val="555555"/>
          <w:sz w:val="22"/>
          <w:szCs w:val="22"/>
        </w:rPr>
        <w:t xml:space="preserve">Interprétation : le nettoyage retire ~43 % des mots (essentiellement stopwords et bruit) sans perte d'information utile. La légère différence de TTR entre classes (0,704 Fake vs 0,675 Real) constitue un premier signal discriminant exploitable.</w:t>
      </w:r>
    </w:p>
    <w:p>
      <w:pPr>
        <w:spacing w:after="120"/>
      </w:pPr>
      <w:r>
        <w:rPr>
          <w:rFonts w:ascii="Arial" w:cs="Arial" w:eastAsia="Arial" w:hAnsi="Arial"/>
          <w:sz w:val="22"/>
          <w:szCs w:val="22"/>
        </w:rPr>
        <w:t xml:space="preserve"/>
      </w:r>
    </w:p>
    <w:p>
      <w:pPr>
        <w:pStyle w:val="Heading3"/>
        <w:spacing w:after="120" w:before="180"/>
      </w:pPr>
      <w:r>
        <w:rPr>
          <w:rFonts w:ascii="Arial" w:cs="Arial" w:eastAsia="Arial" w:hAnsi="Arial"/>
          <w:b/>
          <w:bCs/>
          <w:color w:val="2E74B5"/>
          <w:sz w:val="24"/>
          <w:szCs w:val="24"/>
        </w:rPr>
        <w:t xml:space="preserve">Séparation Train / Test stratifiée (anti-leakage)</w:t>
      </w:r>
    </w:p>
    <w:p>
      <w:pPr>
        <w:spacing w:after="120"/>
        <w:jc w:val="left"/>
      </w:pPr>
      <w:r>
        <w:rPr>
          <w:rFonts w:ascii="Arial" w:cs="Arial" w:eastAsia="Arial" w:hAnsi="Arial"/>
          <w:sz w:val="22"/>
          <w:szCs w:val="22"/>
        </w:rPr>
        <w:t xml:space="preserve">Un split 80/20 est réalisé sur le texte nettoyé AVANT toute vectorisation. Les vectoriseurs sont ajustés uniquement sur l'ensemble d'entraînement, ce qui garantit l'absence de fuite d'information (data leakage) et une évaluation honnête.</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rPr>
          <w:tblHeader/>
        </w:trPr>
        <w:tc>
          <w:tcPr>
            <w:tcW w:type="dxa" w:w="234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Ensemble</w:t>
            </w:r>
          </w:p>
        </w:tc>
        <w:tc>
          <w:tcPr>
            <w:tcW w:type="dxa" w:w="234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Articles</w:t>
            </w:r>
          </w:p>
        </w:tc>
        <w:tc>
          <w:tcPr>
            <w:tcW w:type="dxa" w:w="156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Fake</w:t>
            </w:r>
          </w:p>
        </w:tc>
        <w:tc>
          <w:tcPr>
            <w:tcW w:type="dxa" w:w="156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Real</w:t>
            </w:r>
          </w:p>
        </w:tc>
        <w:tc>
          <w:tcPr>
            <w:tcW w:type="dxa" w:w="156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Ratio Fake</w:t>
            </w:r>
          </w:p>
        </w:tc>
      </w:tr>
      <w:tr>
        <w:tc>
          <w:tcPr>
            <w:tcW w:type="dxa" w:w="2340"/>
            <w:tcBorders>
              <w:top w:val="single" w:color="1F4E79" w:sz="1"/>
              <w:left w:val="single" w:color="1F4E79" w:sz="1"/>
              <w:bottom w:val="single" w:color="1F4E79" w:sz="1"/>
              <w:right w:val="single" w:color="1F4E79" w:sz="1"/>
            </w:tcBorders>
            <w:shd w:fill="EDF3FB" w:val="clear"/>
            <w:tcMar>
              <w:top w:type="dxa" w:w="80"/>
              <w:left w:type="dxa" w:w="140"/>
              <w:bottom w:type="dxa" w:w="80"/>
              <w:right w:type="dxa" w:w="140"/>
            </w:tcMar>
          </w:tcPr>
          <w:p>
            <w:pPr>
              <w:jc w:val="center"/>
            </w:pPr>
            <w:r>
              <w:rPr>
                <w:rFonts w:ascii="Arial" w:cs="Arial" w:eastAsia="Arial" w:hAnsi="Arial"/>
                <w:sz w:val="20"/>
                <w:szCs w:val="20"/>
              </w:rPr>
              <w:t xml:space="preserve">Train</w:t>
            </w:r>
          </w:p>
        </w:tc>
        <w:tc>
          <w:tcPr>
            <w:tcW w:type="dxa" w:w="2340"/>
            <w:tcBorders>
              <w:top w:val="single" w:color="1F4E79" w:sz="1"/>
              <w:left w:val="single" w:color="1F4E79" w:sz="1"/>
              <w:bottom w:val="single" w:color="1F4E79" w:sz="1"/>
              <w:right w:val="single" w:color="1F4E79" w:sz="1"/>
            </w:tcBorders>
            <w:shd w:fill="EDF3FB" w:val="clear"/>
            <w:tcMar>
              <w:top w:type="dxa" w:w="80"/>
              <w:left w:type="dxa" w:w="140"/>
              <w:bottom w:type="dxa" w:w="80"/>
              <w:right w:type="dxa" w:w="140"/>
            </w:tcMar>
          </w:tcPr>
          <w:p>
            <w:pPr>
              <w:jc w:val="center"/>
            </w:pPr>
            <w:r>
              <w:rPr>
                <w:rFonts w:ascii="Arial" w:cs="Arial" w:eastAsia="Arial" w:hAnsi="Arial"/>
                <w:sz w:val="20"/>
                <w:szCs w:val="20"/>
              </w:rPr>
              <w:t xml:space="preserve">1 538</w:t>
            </w:r>
          </w:p>
        </w:tc>
        <w:tc>
          <w:tcPr>
            <w:tcW w:type="dxa" w:w="1560"/>
            <w:tcBorders>
              <w:top w:val="single" w:color="1F4E79" w:sz="1"/>
              <w:left w:val="single" w:color="1F4E79" w:sz="1"/>
              <w:bottom w:val="single" w:color="1F4E79" w:sz="1"/>
              <w:right w:val="single" w:color="1F4E79" w:sz="1"/>
            </w:tcBorders>
            <w:shd w:fill="EDF3FB" w:val="clear"/>
            <w:tcMar>
              <w:top w:type="dxa" w:w="80"/>
              <w:left w:type="dxa" w:w="140"/>
              <w:bottom w:type="dxa" w:w="80"/>
              <w:right w:type="dxa" w:w="140"/>
            </w:tcMar>
          </w:tcPr>
          <w:p>
            <w:pPr>
              <w:jc w:val="center"/>
            </w:pPr>
            <w:r>
              <w:rPr>
                <w:rFonts w:ascii="Arial" w:cs="Arial" w:eastAsia="Arial" w:hAnsi="Arial"/>
                <w:sz w:val="20"/>
                <w:szCs w:val="20"/>
              </w:rPr>
              <w:t xml:space="preserve">761</w:t>
            </w:r>
          </w:p>
        </w:tc>
        <w:tc>
          <w:tcPr>
            <w:tcW w:type="dxa" w:w="1560"/>
            <w:tcBorders>
              <w:top w:val="single" w:color="1F4E79" w:sz="1"/>
              <w:left w:val="single" w:color="1F4E79" w:sz="1"/>
              <w:bottom w:val="single" w:color="1F4E79" w:sz="1"/>
              <w:right w:val="single" w:color="1F4E79" w:sz="1"/>
            </w:tcBorders>
            <w:shd w:fill="EDF3FB" w:val="clear"/>
            <w:tcMar>
              <w:top w:type="dxa" w:w="80"/>
              <w:left w:type="dxa" w:w="140"/>
              <w:bottom w:type="dxa" w:w="80"/>
              <w:right w:type="dxa" w:w="140"/>
            </w:tcMar>
          </w:tcPr>
          <w:p>
            <w:pPr>
              <w:jc w:val="center"/>
            </w:pPr>
            <w:r>
              <w:rPr>
                <w:rFonts w:ascii="Arial" w:cs="Arial" w:eastAsia="Arial" w:hAnsi="Arial"/>
                <w:sz w:val="20"/>
                <w:szCs w:val="20"/>
              </w:rPr>
              <w:t xml:space="preserve">777</w:t>
            </w:r>
          </w:p>
        </w:tc>
        <w:tc>
          <w:tcPr>
            <w:tcW w:type="dxa" w:w="1560"/>
            <w:tcBorders>
              <w:top w:val="single" w:color="1F4E79" w:sz="1"/>
              <w:left w:val="single" w:color="1F4E79" w:sz="1"/>
              <w:bottom w:val="single" w:color="1F4E79" w:sz="1"/>
              <w:right w:val="single" w:color="1F4E79" w:sz="1"/>
            </w:tcBorders>
            <w:shd w:fill="EDF3FB" w:val="clear"/>
            <w:tcMar>
              <w:top w:type="dxa" w:w="80"/>
              <w:left w:type="dxa" w:w="140"/>
              <w:bottom w:type="dxa" w:w="80"/>
              <w:right w:type="dxa" w:w="140"/>
            </w:tcMar>
          </w:tcPr>
          <w:p>
            <w:pPr>
              <w:jc w:val="center"/>
            </w:pPr>
            <w:r>
              <w:rPr>
                <w:rFonts w:ascii="Arial" w:cs="Arial" w:eastAsia="Arial" w:hAnsi="Arial"/>
                <w:sz w:val="20"/>
                <w:szCs w:val="20"/>
              </w:rPr>
              <w:t xml:space="preserve">0,495</w:t>
            </w:r>
          </w:p>
        </w:tc>
      </w:tr>
      <w:tr>
        <w:tc>
          <w:tcPr>
            <w:tcW w:type="dxa" w:w="2340"/>
            <w:tcBorders>
              <w:top w:val="single" w:color="1F4E79" w:sz="1"/>
              <w:left w:val="single" w:color="1F4E79" w:sz="1"/>
              <w:bottom w:val="single" w:color="1F4E79" w:sz="1"/>
              <w:right w:val="single" w:color="1F4E79"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Test</w:t>
            </w:r>
          </w:p>
        </w:tc>
        <w:tc>
          <w:tcPr>
            <w:tcW w:type="dxa" w:w="2340"/>
            <w:tcBorders>
              <w:top w:val="single" w:color="1F4E79" w:sz="1"/>
              <w:left w:val="single" w:color="1F4E79" w:sz="1"/>
              <w:bottom w:val="single" w:color="1F4E79" w:sz="1"/>
              <w:right w:val="single" w:color="1F4E79"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385</w:t>
            </w:r>
          </w:p>
        </w:tc>
        <w:tc>
          <w:tcPr>
            <w:tcW w:type="dxa" w:w="1560"/>
            <w:tcBorders>
              <w:top w:val="single" w:color="1F4E79" w:sz="1"/>
              <w:left w:val="single" w:color="1F4E79" w:sz="1"/>
              <w:bottom w:val="single" w:color="1F4E79" w:sz="1"/>
              <w:right w:val="single" w:color="1F4E79"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190</w:t>
            </w:r>
          </w:p>
        </w:tc>
        <w:tc>
          <w:tcPr>
            <w:tcW w:type="dxa" w:w="1560"/>
            <w:tcBorders>
              <w:top w:val="single" w:color="1F4E79" w:sz="1"/>
              <w:left w:val="single" w:color="1F4E79" w:sz="1"/>
              <w:bottom w:val="single" w:color="1F4E79" w:sz="1"/>
              <w:right w:val="single" w:color="1F4E79"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195</w:t>
            </w:r>
          </w:p>
        </w:tc>
        <w:tc>
          <w:tcPr>
            <w:tcW w:type="dxa" w:w="1560"/>
            <w:tcBorders>
              <w:top w:val="single" w:color="1F4E79" w:sz="1"/>
              <w:left w:val="single" w:color="1F4E79" w:sz="1"/>
              <w:bottom w:val="single" w:color="1F4E79" w:sz="1"/>
              <w:right w:val="single" w:color="1F4E79"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0,494</w:t>
            </w:r>
          </w:p>
        </w:tc>
      </w:tr>
      <w:tr>
        <w:tc>
          <w:tcPr>
            <w:tcW w:type="dxa" w:w="2340"/>
            <w:tcBorders>
              <w:top w:val="single" w:color="1F4E79" w:sz="1"/>
              <w:left w:val="single" w:color="1F4E79" w:sz="1"/>
              <w:bottom w:val="single" w:color="1F4E79" w:sz="1"/>
              <w:right w:val="single" w:color="1F4E79" w:sz="1"/>
            </w:tcBorders>
            <w:shd w:fill="EDF3FB" w:val="clear"/>
            <w:tcMar>
              <w:top w:type="dxa" w:w="80"/>
              <w:left w:type="dxa" w:w="140"/>
              <w:bottom w:type="dxa" w:w="80"/>
              <w:right w:type="dxa" w:w="140"/>
            </w:tcMar>
          </w:tcPr>
          <w:p>
            <w:pPr>
              <w:jc w:val="center"/>
            </w:pPr>
            <w:r>
              <w:rPr>
                <w:rFonts w:ascii="Arial" w:cs="Arial" w:eastAsia="Arial" w:hAnsi="Arial"/>
                <w:sz w:val="20"/>
                <w:szCs w:val="20"/>
              </w:rPr>
              <w:t xml:space="preserve">Total</w:t>
            </w:r>
          </w:p>
        </w:tc>
        <w:tc>
          <w:tcPr>
            <w:tcW w:type="dxa" w:w="2340"/>
            <w:tcBorders>
              <w:top w:val="single" w:color="1F4E79" w:sz="1"/>
              <w:left w:val="single" w:color="1F4E79" w:sz="1"/>
              <w:bottom w:val="single" w:color="1F4E79" w:sz="1"/>
              <w:right w:val="single" w:color="1F4E79" w:sz="1"/>
            </w:tcBorders>
            <w:shd w:fill="EDF3FB" w:val="clear"/>
            <w:tcMar>
              <w:top w:type="dxa" w:w="80"/>
              <w:left w:type="dxa" w:w="140"/>
              <w:bottom w:type="dxa" w:w="80"/>
              <w:right w:type="dxa" w:w="140"/>
            </w:tcMar>
          </w:tcPr>
          <w:p>
            <w:pPr>
              <w:jc w:val="center"/>
            </w:pPr>
            <w:r>
              <w:rPr>
                <w:rFonts w:ascii="Arial" w:cs="Arial" w:eastAsia="Arial" w:hAnsi="Arial"/>
                <w:sz w:val="20"/>
                <w:szCs w:val="20"/>
              </w:rPr>
              <w:t xml:space="preserve">1 923</w:t>
            </w:r>
          </w:p>
        </w:tc>
        <w:tc>
          <w:tcPr>
            <w:tcW w:type="dxa" w:w="1560"/>
            <w:tcBorders>
              <w:top w:val="single" w:color="1F4E79" w:sz="1"/>
              <w:left w:val="single" w:color="1F4E79" w:sz="1"/>
              <w:bottom w:val="single" w:color="1F4E79" w:sz="1"/>
              <w:right w:val="single" w:color="1F4E79" w:sz="1"/>
            </w:tcBorders>
            <w:shd w:fill="EDF3FB" w:val="clear"/>
            <w:tcMar>
              <w:top w:type="dxa" w:w="80"/>
              <w:left w:type="dxa" w:w="140"/>
              <w:bottom w:type="dxa" w:w="80"/>
              <w:right w:type="dxa" w:w="140"/>
            </w:tcMar>
          </w:tcPr>
          <w:p>
            <w:pPr>
              <w:jc w:val="center"/>
            </w:pPr>
            <w:r>
              <w:rPr>
                <w:rFonts w:ascii="Arial" w:cs="Arial" w:eastAsia="Arial" w:hAnsi="Arial"/>
                <w:sz w:val="20"/>
                <w:szCs w:val="20"/>
              </w:rPr>
              <w:t xml:space="preserve">951</w:t>
            </w:r>
          </w:p>
        </w:tc>
        <w:tc>
          <w:tcPr>
            <w:tcW w:type="dxa" w:w="1560"/>
            <w:tcBorders>
              <w:top w:val="single" w:color="1F4E79" w:sz="1"/>
              <w:left w:val="single" w:color="1F4E79" w:sz="1"/>
              <w:bottom w:val="single" w:color="1F4E79" w:sz="1"/>
              <w:right w:val="single" w:color="1F4E79" w:sz="1"/>
            </w:tcBorders>
            <w:shd w:fill="EDF3FB" w:val="clear"/>
            <w:tcMar>
              <w:top w:type="dxa" w:w="80"/>
              <w:left w:type="dxa" w:w="140"/>
              <w:bottom w:type="dxa" w:w="80"/>
              <w:right w:type="dxa" w:w="140"/>
            </w:tcMar>
          </w:tcPr>
          <w:p>
            <w:pPr>
              <w:jc w:val="center"/>
            </w:pPr>
            <w:r>
              <w:rPr>
                <w:rFonts w:ascii="Arial" w:cs="Arial" w:eastAsia="Arial" w:hAnsi="Arial"/>
                <w:sz w:val="20"/>
                <w:szCs w:val="20"/>
              </w:rPr>
              <w:t xml:space="preserve">972</w:t>
            </w:r>
          </w:p>
        </w:tc>
        <w:tc>
          <w:tcPr>
            <w:tcW w:type="dxa" w:w="1560"/>
            <w:tcBorders>
              <w:top w:val="single" w:color="1F4E79" w:sz="1"/>
              <w:left w:val="single" w:color="1F4E79" w:sz="1"/>
              <w:bottom w:val="single" w:color="1F4E79" w:sz="1"/>
              <w:right w:val="single" w:color="1F4E79" w:sz="1"/>
            </w:tcBorders>
            <w:shd w:fill="EDF3FB" w:val="clear"/>
            <w:tcMar>
              <w:top w:type="dxa" w:w="80"/>
              <w:left w:type="dxa" w:w="140"/>
              <w:bottom w:type="dxa" w:w="80"/>
              <w:right w:type="dxa" w:w="140"/>
            </w:tcMar>
          </w:tcPr>
          <w:p>
            <w:pPr>
              <w:jc w:val="center"/>
            </w:pPr>
            <w:r>
              <w:rPr>
                <w:rFonts w:ascii="Arial" w:cs="Arial" w:eastAsia="Arial" w:hAnsi="Arial"/>
                <w:sz w:val="20"/>
                <w:szCs w:val="20"/>
              </w:rPr>
              <w:t xml:space="preserve">0,494</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none" w:color="FFFFFF" w:sz="0"/>
              <w:bottom w:val="none" w:color="FFFFFF" w:sz="0"/>
              <w:right w:val="none" w:color="FFFFFF" w:sz="0"/>
            </w:tcBorders>
            <w:shd w:fill="F2F9EC" w:val="clear"/>
            <w:tcMar>
              <w:top w:type="dxa" w:w="140"/>
              <w:left w:type="dxa" w:w="220"/>
              <w:bottom w:type="dxa" w:w="140"/>
              <w:right w:type="dxa" w:w="220"/>
            </w:tcMar>
          </w:tcPr>
          <w:p>
            <w:pPr>
              <w:spacing w:after="60"/>
            </w:pPr>
            <w:r>
              <w:rPr>
                <w:rFonts w:ascii="Arial" w:cs="Arial" w:eastAsia="Arial" w:hAnsi="Arial"/>
                <w:b/>
                <w:bCs/>
                <w:color w:val="375623"/>
                <w:sz w:val="20"/>
                <w:szCs w:val="20"/>
              </w:rPr>
              <w:t xml:space="preserve">Récapitulatif final — TruthGuard</w:t>
            </w:r>
          </w:p>
          <w:p>
            <w:pPr>
              <w:spacing w:after="60"/>
            </w:pPr>
            <w:r>
              <w:rPr>
                <w:rFonts w:ascii="Arial" w:cs="Arial" w:eastAsia="Arial" w:hAnsi="Arial"/>
                <w:b w:val="false"/>
                <w:bCs w:val="false"/>
                <w:color w:val="444444"/>
                <w:sz w:val="20"/>
                <w:szCs w:val="20"/>
              </w:rPr>
              <w:t xml:space="preserve">Dataset brut initial  : 2 058 articles</w:t>
            </w:r>
          </w:p>
          <w:p>
            <w:pPr>
              <w:spacing w:after="60"/>
            </w:pPr>
            <w:r>
              <w:rPr>
                <w:rFonts w:ascii="Arial" w:cs="Arial" w:eastAsia="Arial" w:hAnsi="Arial"/>
                <w:b w:val="false"/>
                <w:bCs w:val="false"/>
                <w:color w:val="444444"/>
                <w:sz w:val="20"/>
                <w:szCs w:val="20"/>
              </w:rPr>
              <w:t xml:space="preserve">Après nettoyage NLP   : 1 923 articles   (135 supprimées)</w:t>
            </w:r>
          </w:p>
          <w:p>
            <w:pPr>
              <w:spacing w:after="60"/>
            </w:pPr>
            <w:r>
              <w:rPr>
                <w:rFonts w:ascii="Arial" w:cs="Arial" w:eastAsia="Arial" w:hAnsi="Arial"/>
                <w:b w:val="false"/>
                <w:bCs w:val="false"/>
                <w:color w:val="444444"/>
                <w:sz w:val="20"/>
                <w:szCs w:val="20"/>
              </w:rPr>
              <w:t xml:space="preserve">Train                 : 1 538 articles   (Fake : 761 | Real : 777)</w:t>
            </w:r>
          </w:p>
          <w:p>
            <w:pPr>
              <w:spacing w:after="60"/>
            </w:pPr>
            <w:r>
              <w:rPr>
                <w:rFonts w:ascii="Arial" w:cs="Arial" w:eastAsia="Arial" w:hAnsi="Arial"/>
                <w:b w:val="false"/>
                <w:bCs w:val="false"/>
                <w:color w:val="444444"/>
                <w:sz w:val="20"/>
                <w:szCs w:val="20"/>
              </w:rPr>
              <w:t xml:space="preserve">Test                  : 385 articles    (Fake : 190 | Real : 195)</w:t>
            </w:r>
          </w:p>
          <w:p>
            <w:pPr>
              <w:spacing w:after="60"/>
            </w:pPr>
            <w:r>
              <w:rPr>
                <w:rFonts w:ascii="Arial" w:cs="Arial" w:eastAsia="Arial" w:hAnsi="Arial"/>
                <w:b w:val="false"/>
                <w:bCs w:val="false"/>
                <w:color w:val="444444"/>
                <w:sz w:val="20"/>
                <w:szCs w:val="20"/>
              </w:rPr>
              <w:t xml:space="preserve">→ La stratification conserve l'équilibre des classes (~49,5 % fake) dans les deux ensembles.</w:t>
            </w:r>
          </w:p>
        </w:tc>
      </w:tr>
    </w:tbl>
    <w:p>
      <w:pPr>
        <w:spacing w:after="120"/>
      </w:pPr>
      <w:r>
        <w:rPr>
          <w:rFonts w:ascii="Arial" w:cs="Arial" w:eastAsia="Arial" w:hAnsi="Arial"/>
          <w:sz w:val="22"/>
          <w:szCs w:val="22"/>
        </w:rPr>
        <w:t xml:space="preserve"/>
      </w:r>
    </w:p>
    <w:p>
      <w:pPr>
        <w:pBdr>
          <w:bottom w:val="single" w:color="1F4E79" w:sz="6" w:space="1"/>
        </w:pBdr>
        <w:spacing w:after="200" w:before="400"/>
      </w:pPr>
      <w:r>
        <w:rPr>
          <w:rFonts w:ascii="Arial" w:cs="Arial" w:eastAsia="Arial" w:hAnsi="Arial"/>
          <w:b/>
          <w:bCs/>
          <w:color w:val="1F4E79"/>
          <w:sz w:val="40"/>
          <w:szCs w:val="40"/>
        </w:rPr>
        <w:t xml:space="preserve">PARTIE 2 — Vectorisation</w:t>
      </w:r>
    </w:p>
    <w:p>
      <w:pPr>
        <w:spacing w:after="120"/>
        <w:jc w:val="left"/>
      </w:pPr>
      <w:r>
        <w:rPr>
          <w:rFonts w:ascii="Arial" w:cs="Arial" w:eastAsia="Arial" w:hAnsi="Arial"/>
          <w:sz w:val="22"/>
          <w:szCs w:val="22"/>
        </w:rPr>
        <w:t xml:space="preserve">Les modèles de Machine Learning ne comprennent pas le texte directement : il faut convertir chaque article en vecteurs numériques. Les deux projets utilisent des approches différentes, présentées ci-dessous.</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2E74B5"/>
          <w:sz w:val="26"/>
          <w:szCs w:val="26"/>
        </w:rPr>
        <w:t xml:space="preserve">2.1 Vectorisation — Dataset ISOT</w:t>
      </w:r>
    </w:p>
    <w:p>
      <w:pPr>
        <w:pStyle w:val="Heading3"/>
        <w:spacing w:after="120" w:before="180"/>
      </w:pPr>
      <w:r>
        <w:rPr>
          <w:rFonts w:ascii="Arial" w:cs="Arial" w:eastAsia="Arial" w:hAnsi="Arial"/>
          <w:b/>
          <w:bCs/>
          <w:color w:val="2E74B5"/>
          <w:sz w:val="24"/>
          <w:szCs w:val="24"/>
        </w:rPr>
        <w:t xml:space="preserve">2.1.1 TF-IDF (approche statistique / sparse)</w:t>
      </w:r>
    </w:p>
    <w:p>
      <w:pPr>
        <w:spacing w:after="120"/>
        <w:jc w:val="left"/>
      </w:pPr>
      <w:r>
        <w:rPr>
          <w:rFonts w:ascii="Arial" w:cs="Arial" w:eastAsia="Arial" w:hAnsi="Arial"/>
          <w:sz w:val="22"/>
          <w:szCs w:val="22"/>
        </w:rPr>
        <w:t xml:space="preserve">TF-IDF (Term Frequency – Inverse Document Frequency) pondère chaque terme selon sa fréquence dans un article (TF) et sa rareté dans l'ensemble du corpus (IDF). Un mot fréquent dans un article mais rare globalement reçoit un poids fort.</w:t>
      </w:r>
    </w:p>
    <w:p>
      <w:pPr>
        <w:pStyle w:val="ListParagraph"/>
        <w:numPr>
          <w:ilvl w:val="0"/>
          <w:numId w:val="2"/>
        </w:numPr>
        <w:spacing w:after="80"/>
      </w:pPr>
      <w:r>
        <w:rPr>
          <w:rFonts w:ascii="Arial" w:cs="Arial" w:eastAsia="Arial" w:hAnsi="Arial"/>
          <w:sz w:val="22"/>
          <w:szCs w:val="22"/>
        </w:rPr>
        <w:t xml:space="preserve">ngram_range=(1,2) : capture les mots seuls ET les paires de mots (ex. « white house »).</w:t>
      </w:r>
    </w:p>
    <w:p>
      <w:pPr>
        <w:pStyle w:val="ListParagraph"/>
        <w:numPr>
          <w:ilvl w:val="0"/>
          <w:numId w:val="2"/>
        </w:numPr>
        <w:spacing w:after="80"/>
      </w:pPr>
      <w:r>
        <w:rPr>
          <w:rFonts w:ascii="Arial" w:cs="Arial" w:eastAsia="Arial" w:hAnsi="Arial"/>
          <w:sz w:val="22"/>
          <w:szCs w:val="22"/>
        </w:rPr>
        <w:t xml:space="preserve">max_features=20 000 : les 20 000 termes les plus pertinents sont conservés.</w:t>
      </w:r>
    </w:p>
    <w:p>
      <w:pPr>
        <w:pStyle w:val="ListParagraph"/>
        <w:numPr>
          <w:ilvl w:val="0"/>
          <w:numId w:val="2"/>
        </w:numPr>
        <w:spacing w:after="80"/>
      </w:pPr>
      <w:r>
        <w:rPr>
          <w:rFonts w:ascii="Arial" w:cs="Arial" w:eastAsia="Arial" w:hAnsi="Arial"/>
          <w:sz w:val="22"/>
          <w:szCs w:val="22"/>
        </w:rPr>
        <w:t xml:space="preserve">min_df=2 : les termes apparaissant dans un seul document sont ignorés (bruit).</w:t>
      </w:r>
    </w:p>
    <w:p>
      <w:pPr>
        <w:pStyle w:val="ListParagraph"/>
        <w:numPr>
          <w:ilvl w:val="0"/>
          <w:numId w:val="2"/>
        </w:numPr>
        <w:spacing w:after="80"/>
      </w:pPr>
      <w:r>
        <w:rPr>
          <w:rFonts w:ascii="Arial" w:cs="Arial" w:eastAsia="Arial" w:hAnsi="Arial"/>
          <w:sz w:val="22"/>
          <w:szCs w:val="22"/>
        </w:rPr>
        <w:t xml:space="preserve">max_df=0.95 : les termes présents dans plus de 95 % des documents sont ignorés.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none" w:color="FFFFFF" w:sz="0"/>
              <w:bottom w:val="none" w:color="FFFFFF" w:sz="0"/>
              <w:right w:val="none" w:color="FFFFFF" w:sz="0"/>
            </w:tcBorders>
            <w:shd w:fill="F2F9EC" w:val="clear"/>
            <w:tcMar>
              <w:top w:type="dxa" w:w="140"/>
              <w:left w:type="dxa" w:w="220"/>
              <w:bottom w:type="dxa" w:w="140"/>
              <w:right w:type="dxa" w:w="220"/>
            </w:tcMar>
          </w:tcPr>
          <w:p>
            <w:pPr>
              <w:spacing w:after="60"/>
            </w:pPr>
            <w:r>
              <w:rPr>
                <w:rFonts w:ascii="Arial" w:cs="Arial" w:eastAsia="Arial" w:hAnsi="Arial"/>
                <w:b/>
                <w:bCs/>
                <w:color w:val="375623"/>
                <w:sz w:val="20"/>
                <w:szCs w:val="20"/>
              </w:rPr>
              <w:t xml:space="preserve">Résultats TF-IDF — ISOT</w:t>
            </w:r>
          </w:p>
          <w:p>
            <w:pPr>
              <w:spacing w:after="60"/>
            </w:pPr>
            <w:r>
              <w:rPr>
                <w:rFonts w:ascii="Arial" w:cs="Arial" w:eastAsia="Arial" w:hAnsi="Arial"/>
                <w:b w:val="false"/>
                <w:bCs w:val="false"/>
                <w:color w:val="444444"/>
                <w:sz w:val="20"/>
                <w:szCs w:val="20"/>
              </w:rPr>
              <w:t xml:space="preserve">Train shape : (31 276 × 20 000)   |   Test shape : (7 820 × 20 000)</w:t>
            </w:r>
          </w:p>
          <w:p>
            <w:pPr>
              <w:spacing w:after="60"/>
            </w:pPr>
            <w:r>
              <w:rPr>
                <w:rFonts w:ascii="Arial" w:cs="Arial" w:eastAsia="Arial" w:hAnsi="Arial"/>
                <w:b w:val="false"/>
                <w:bCs w:val="false"/>
                <w:color w:val="444444"/>
                <w:sz w:val="20"/>
                <w:szCs w:val="20"/>
              </w:rPr>
              <w:t xml:space="preserve">Classes : real = 16 956   |   fake = 14 320</w:t>
            </w:r>
          </w:p>
          <w:p>
            <w:pPr>
              <w:spacing w:after="60"/>
            </w:pPr>
            <w:r>
              <w:rPr>
                <w:rFonts w:ascii="Arial" w:cs="Arial" w:eastAsia="Arial" w:hAnsi="Arial"/>
                <w:b w:val="false"/>
                <w:bCs w:val="false"/>
                <w:color w:val="444444"/>
                <w:sz w:val="20"/>
                <w:szCs w:val="20"/>
              </w:rPr>
              <w:t xml:space="preserve">→ Répartition 80/20 respectée. La matrice creuse de 20 000 features est idéale pour les modèles linéaires.</w:t>
            </w:r>
          </w:p>
        </w:tc>
      </w:tr>
    </w:tbl>
    <w:p>
      <w:pPr>
        <w:spacing w:after="120"/>
      </w:pPr>
      <w:r>
        <w:rPr>
          <w:rFonts w:ascii="Arial" w:cs="Arial" w:eastAsia="Arial" w:hAnsi="Arial"/>
          <w:sz w:val="22"/>
          <w:szCs w:val="22"/>
        </w:rPr>
        <w:t xml:space="preserve"/>
      </w:r>
    </w:p>
    <w:p>
      <w:pPr>
        <w:pStyle w:val="Heading3"/>
        <w:spacing w:after="120" w:before="180"/>
      </w:pPr>
      <w:r>
        <w:rPr>
          <w:rFonts w:ascii="Arial" w:cs="Arial" w:eastAsia="Arial" w:hAnsi="Arial"/>
          <w:b/>
          <w:bCs/>
          <w:color w:val="2E74B5"/>
          <w:sz w:val="24"/>
          <w:szCs w:val="24"/>
        </w:rPr>
        <w:t xml:space="preserve">2.1.2 Word2Vec (approche sémantique / dense)</w:t>
      </w:r>
    </w:p>
    <w:p>
      <w:pPr>
        <w:spacing w:after="120"/>
        <w:jc w:val="left"/>
      </w:pPr>
      <w:r>
        <w:rPr>
          <w:rFonts w:ascii="Arial" w:cs="Arial" w:eastAsia="Arial" w:hAnsi="Arial"/>
          <w:sz w:val="22"/>
          <w:szCs w:val="22"/>
        </w:rPr>
        <w:t xml:space="preserve">Un modèle Word2Vec entraîné directement sur le corpus ISOT produit des représentations denses capturant le sens des mots dans leur contexte.</w:t>
      </w:r>
    </w:p>
    <w:p>
      <w:pPr>
        <w:pStyle w:val="ListParagraph"/>
        <w:numPr>
          <w:ilvl w:val="0"/>
          <w:numId w:val="2"/>
        </w:numPr>
        <w:spacing w:after="80"/>
      </w:pPr>
      <w:r>
        <w:rPr>
          <w:rFonts w:ascii="Arial" w:cs="Arial" w:eastAsia="Arial" w:hAnsi="Arial"/>
          <w:sz w:val="22"/>
          <w:szCs w:val="22"/>
        </w:rPr>
        <w:t xml:space="preserve">vector_size=200 : chaque mot est représenté par un vecteur de 200 dimensions.</w:t>
      </w:r>
    </w:p>
    <w:p>
      <w:pPr>
        <w:pStyle w:val="ListParagraph"/>
        <w:numPr>
          <w:ilvl w:val="0"/>
          <w:numId w:val="2"/>
        </w:numPr>
        <w:spacing w:after="80"/>
      </w:pPr>
      <w:r>
        <w:rPr>
          <w:rFonts w:ascii="Arial" w:cs="Arial" w:eastAsia="Arial" w:hAnsi="Arial"/>
          <w:sz w:val="22"/>
          <w:szCs w:val="22"/>
        </w:rPr>
        <w:t xml:space="preserve">window=5 : contexte de ±5 mots autour du mot cible.</w:t>
      </w:r>
    </w:p>
    <w:p>
      <w:pPr>
        <w:pStyle w:val="ListParagraph"/>
        <w:numPr>
          <w:ilvl w:val="0"/>
          <w:numId w:val="2"/>
        </w:numPr>
        <w:spacing w:after="80"/>
      </w:pPr>
      <w:r>
        <w:rPr>
          <w:rFonts w:ascii="Arial" w:cs="Arial" w:eastAsia="Arial" w:hAnsi="Arial"/>
          <w:sz w:val="22"/>
          <w:szCs w:val="22"/>
        </w:rPr>
        <w:t xml:space="preserve">sg=1 (Skip-Gram) : prédit le contexte depuis le mot central — efficace sur les mots rares.</w:t>
      </w:r>
    </w:p>
    <w:p>
      <w:pPr>
        <w:pStyle w:val="ListParagraph"/>
        <w:numPr>
          <w:ilvl w:val="0"/>
          <w:numId w:val="2"/>
        </w:numPr>
        <w:spacing w:after="80"/>
      </w:pPr>
      <w:r>
        <w:rPr>
          <w:rFonts w:ascii="Arial" w:cs="Arial" w:eastAsia="Arial" w:hAnsi="Arial"/>
          <w:sz w:val="22"/>
          <w:szCs w:val="22"/>
        </w:rPr>
        <w:t xml:space="preserve">negative=5 : negative sampling pour accélérer l'entraînement.</w:t>
      </w:r>
    </w:p>
    <w:p>
      <w:pPr>
        <w:pStyle w:val="ListParagraph"/>
        <w:numPr>
          <w:ilvl w:val="0"/>
          <w:numId w:val="2"/>
        </w:numPr>
        <w:spacing w:after="80"/>
      </w:pPr>
      <w:r>
        <w:rPr>
          <w:rFonts w:ascii="Arial" w:cs="Arial" w:eastAsia="Arial" w:hAnsi="Arial"/>
          <w:sz w:val="22"/>
          <w:szCs w:val="22"/>
        </w:rPr>
        <w:t xml:space="preserve">epochs=10 : le corpus est parcouru 10 fois.</w:t>
      </w:r>
    </w:p>
    <w:p>
      <w:pPr>
        <w:spacing w:after="80"/>
      </w:pPr>
      <w:r>
        <w:rPr>
          <w:rFonts w:ascii="Arial" w:cs="Arial" w:eastAsia="Arial" w:hAnsi="Arial"/>
          <w:sz w:val="22"/>
          <w:szCs w:val="22"/>
        </w:rPr>
        <w:t xml:space="preserve"/>
      </w:r>
    </w:p>
    <w:p>
      <w:pPr>
        <w:pStyle w:val="Heading3"/>
        <w:spacing w:after="120" w:before="180"/>
      </w:pPr>
      <w:r>
        <w:rPr>
          <w:rFonts w:ascii="Arial" w:cs="Arial" w:eastAsia="Arial" w:hAnsi="Arial"/>
          <w:b/>
          <w:bCs/>
          <w:color w:val="2E74B5"/>
          <w:sz w:val="24"/>
          <w:szCs w:val="24"/>
        </w:rPr>
        <w:t xml:space="preserve">2.1.3 Représentation des documents (mean pooling)</w:t>
      </w:r>
    </w:p>
    <w:p>
      <w:pPr>
        <w:spacing w:after="120"/>
        <w:jc w:val="left"/>
      </w:pPr>
      <w:r>
        <w:rPr>
          <w:rFonts w:ascii="Arial" w:cs="Arial" w:eastAsia="Arial" w:hAnsi="Arial"/>
          <w:sz w:val="22"/>
          <w:szCs w:val="22"/>
        </w:rPr>
        <w:t xml:space="preserve">Word2Vec produit un vecteur par mot. On calcule la moyenne (mean pooling) des vecteurs de tous les mots reconnus du document. Le résultat est une matrice dense (articles × 200), adaptée aux modèles non linéaires.</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2E74B5"/>
          <w:sz w:val="26"/>
          <w:szCs w:val="26"/>
        </w:rPr>
        <w:t xml:space="preserve">2.2 Vectorisation — Projet TruthGuard</w:t>
      </w:r>
    </w:p>
    <w:p>
      <w:pPr>
        <w:pStyle w:val="Heading3"/>
        <w:spacing w:after="120" w:before="180"/>
      </w:pPr>
      <w:r>
        <w:rPr>
          <w:rFonts w:ascii="Arial" w:cs="Arial" w:eastAsia="Arial" w:hAnsi="Arial"/>
          <w:b/>
          <w:bCs/>
          <w:color w:val="2E74B5"/>
          <w:sz w:val="24"/>
          <w:szCs w:val="24"/>
        </w:rPr>
        <w:t xml:space="preserve">2.2.1 TF-IDF mots + caractères (approche étendue)</w:t>
      </w:r>
    </w:p>
    <w:p>
      <w:pPr>
        <w:spacing w:after="120"/>
        <w:jc w:val="left"/>
      </w:pPr>
      <w:r>
        <w:rPr>
          <w:rFonts w:ascii="Arial" w:cs="Arial" w:eastAsia="Arial" w:hAnsi="Arial"/>
          <w:sz w:val="22"/>
          <w:szCs w:val="22"/>
        </w:rPr>
        <w:t xml:space="preserve">Deux vectoriseurs TF-IDF sont combinés en une seule matrice :</w:t>
      </w:r>
    </w:p>
    <w:p>
      <w:pPr>
        <w:pStyle w:val="ListParagraph"/>
        <w:numPr>
          <w:ilvl w:val="0"/>
          <w:numId w:val="2"/>
        </w:numPr>
        <w:spacing w:after="80"/>
      </w:pPr>
      <w:r>
        <w:rPr>
          <w:rFonts w:ascii="Arial" w:cs="Arial" w:eastAsia="Arial" w:hAnsi="Arial"/>
          <w:sz w:val="22"/>
          <w:szCs w:val="22"/>
        </w:rPr>
        <w:t xml:space="preserve">Word-level (unigrammes + bigrammes, 10 000 features max) : capture les mots et expressions discriminantes.</w:t>
      </w:r>
    </w:p>
    <w:p>
      <w:pPr>
        <w:pStyle w:val="ListParagraph"/>
        <w:numPr>
          <w:ilvl w:val="0"/>
          <w:numId w:val="2"/>
        </w:numPr>
        <w:spacing w:after="80"/>
      </w:pPr>
      <w:r>
        <w:rPr>
          <w:rFonts w:ascii="Arial" w:cs="Arial" w:eastAsia="Arial" w:hAnsi="Arial"/>
          <w:sz w:val="22"/>
          <w:szCs w:val="22"/>
        </w:rPr>
        <w:t xml:space="preserve">Char-level (n-grammes 3–5, 5 000 features max) : robuste aux fautes et au style typique des fake news.</w:t>
      </w:r>
    </w:p>
    <w:p>
      <w:pPr>
        <w:pStyle w:val="ListParagraph"/>
        <w:numPr>
          <w:ilvl w:val="0"/>
          <w:numId w:val="2"/>
        </w:numPr>
        <w:spacing w:after="80"/>
      </w:pPr>
      <w:r>
        <w:rPr>
          <w:rFonts w:ascii="Arial" w:cs="Arial" w:eastAsia="Arial" w:hAnsi="Arial"/>
          <w:sz w:val="22"/>
          <w:szCs w:val="22"/>
        </w:rPr>
        <w:t xml:space="preserve">sublinear_tf=True : atténue l'effet des mots très fréquents via log(tf).</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none" w:color="FFFFFF" w:sz="0"/>
              <w:bottom w:val="none" w:color="FFFFFF" w:sz="0"/>
              <w:right w:val="none" w:color="FFFFFF" w:sz="0"/>
            </w:tcBorders>
            <w:shd w:fill="F2F9EC" w:val="clear"/>
            <w:tcMar>
              <w:top w:type="dxa" w:w="140"/>
              <w:left w:type="dxa" w:w="220"/>
              <w:bottom w:type="dxa" w:w="140"/>
              <w:right w:type="dxa" w:w="220"/>
            </w:tcMar>
          </w:tcPr>
          <w:p>
            <w:pPr>
              <w:spacing w:after="60"/>
            </w:pPr>
            <w:r>
              <w:rPr>
                <w:rFonts w:ascii="Arial" w:cs="Arial" w:eastAsia="Arial" w:hAnsi="Arial"/>
                <w:b/>
                <w:bCs/>
                <w:color w:val="375623"/>
                <w:sz w:val="20"/>
                <w:szCs w:val="20"/>
              </w:rPr>
              <w:t xml:space="preserve">Résultats TF-IDF (mots + caractères) — TruthGuard</w:t>
            </w:r>
          </w:p>
          <w:p>
            <w:pPr>
              <w:spacing w:after="60"/>
            </w:pPr>
            <w:r>
              <w:rPr>
                <w:rFonts w:ascii="Arial" w:cs="Arial" w:eastAsia="Arial" w:hAnsi="Arial"/>
                <w:b w:val="false"/>
                <w:bCs w:val="false"/>
                <w:color w:val="444444"/>
                <w:sz w:val="20"/>
                <w:szCs w:val="20"/>
              </w:rPr>
              <w:t xml:space="preserve">Train : (1 538 × 15 000)   |   Test : (385 × 15 000)</w:t>
            </w:r>
          </w:p>
          <w:p>
            <w:pPr>
              <w:spacing w:after="60"/>
            </w:pPr>
            <w:r>
              <w:rPr>
                <w:rFonts w:ascii="Arial" w:cs="Arial" w:eastAsia="Arial" w:hAnsi="Arial"/>
                <w:b w:val="false"/>
                <w:bCs w:val="false"/>
                <w:color w:val="444444"/>
                <w:sz w:val="20"/>
                <w:szCs w:val="20"/>
              </w:rPr>
              <w:t xml:space="preserve">→ La combinaison word + char cumule précision lexicale et robustesse stylistique.</w:t>
            </w:r>
          </w:p>
        </w:tc>
      </w:tr>
    </w:tbl>
    <w:p>
      <w:pPr>
        <w:spacing w:after="120"/>
      </w:pPr>
      <w:r>
        <w:rPr>
          <w:rFonts w:ascii="Arial" w:cs="Arial" w:eastAsia="Arial" w:hAnsi="Arial"/>
          <w:sz w:val="22"/>
          <w:szCs w:val="22"/>
        </w:rPr>
        <w:t xml:space="preserve"/>
      </w:r>
    </w:p>
    <w:p>
      <w:pPr>
        <w:pStyle w:val="Heading3"/>
        <w:spacing w:after="120" w:before="180"/>
      </w:pPr>
      <w:r>
        <w:rPr>
          <w:rFonts w:ascii="Arial" w:cs="Arial" w:eastAsia="Arial" w:hAnsi="Arial"/>
          <w:b/>
          <w:bCs/>
          <w:color w:val="2E74B5"/>
          <w:sz w:val="24"/>
          <w:szCs w:val="24"/>
        </w:rPr>
        <w:t xml:space="preserve">2.2.2 Embeddings sémantiques (SentenceTransformer)</w:t>
      </w:r>
    </w:p>
    <w:p>
      <w:pPr>
        <w:spacing w:after="120"/>
        <w:jc w:val="left"/>
      </w:pPr>
      <w:r>
        <w:rPr>
          <w:rFonts w:ascii="Arial" w:cs="Arial" w:eastAsia="Arial" w:hAnsi="Arial"/>
          <w:sz w:val="22"/>
          <w:szCs w:val="22"/>
        </w:rPr>
        <w:t xml:space="preserve">Le modèle pré-entraîné all-MiniLM-L6-v2 encode chaque article en un vecteur dense de 384 dimensions capturant le sens global du texte. Les embeddings placent les textes de sens proche près les uns des autres dans l'espace vectoriel.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none" w:color="FFFFFF" w:sz="0"/>
              <w:bottom w:val="none" w:color="FFFFFF" w:sz="0"/>
              <w:right w:val="none" w:color="FFFFFF" w:sz="0"/>
            </w:tcBorders>
            <w:shd w:fill="F2F9EC" w:val="clear"/>
            <w:tcMar>
              <w:top w:type="dxa" w:w="140"/>
              <w:left w:type="dxa" w:w="220"/>
              <w:bottom w:type="dxa" w:w="140"/>
              <w:right w:type="dxa" w:w="220"/>
            </w:tcMar>
          </w:tcPr>
          <w:p>
            <w:pPr>
              <w:spacing w:after="60"/>
            </w:pPr>
            <w:r>
              <w:rPr>
                <w:rFonts w:ascii="Arial" w:cs="Arial" w:eastAsia="Arial" w:hAnsi="Arial"/>
                <w:b/>
                <w:bCs/>
                <w:color w:val="375623"/>
                <w:sz w:val="20"/>
                <w:szCs w:val="20"/>
              </w:rPr>
              <w:t xml:space="preserve">Résultats Embeddings — TruthGuard</w:t>
            </w:r>
          </w:p>
          <w:p>
            <w:pPr>
              <w:spacing w:after="60"/>
            </w:pPr>
            <w:r>
              <w:rPr>
                <w:rFonts w:ascii="Arial" w:cs="Arial" w:eastAsia="Arial" w:hAnsi="Arial"/>
                <w:b w:val="false"/>
                <w:bCs w:val="false"/>
                <w:color w:val="444444"/>
                <w:sz w:val="20"/>
                <w:szCs w:val="20"/>
              </w:rPr>
              <w:t xml:space="preserve">Train : (1 538 × 384)   |   Test : (385 × 384)</w:t>
            </w:r>
          </w:p>
          <w:p>
            <w:pPr>
              <w:spacing w:after="60"/>
            </w:pPr>
            <w:r>
              <w:rPr>
                <w:rFonts w:ascii="Arial" w:cs="Arial" w:eastAsia="Arial" w:hAnsi="Arial"/>
                <w:b w:val="false"/>
                <w:bCs w:val="false"/>
                <w:color w:val="444444"/>
                <w:sz w:val="20"/>
                <w:szCs w:val="20"/>
              </w:rPr>
              <w:t xml:space="preserve">→ Représentation dense et compacte (384 dim vs 15 000 pour TF-IDF).</w:t>
            </w:r>
          </w:p>
        </w:tc>
      </w:tr>
    </w:tbl>
    <w:p>
      <w:pPr>
        <w:spacing w:after="120"/>
      </w:pPr>
      <w:r>
        <w:rPr>
          <w:rFonts w:ascii="Arial" w:cs="Arial" w:eastAsia="Arial" w:hAnsi="Arial"/>
          <w:sz w:val="22"/>
          <w:szCs w:val="22"/>
        </w:rPr>
        <w:t xml:space="preserve"/>
      </w:r>
    </w:p>
    <w:p>
      <w:pPr>
        <w:pStyle w:val="Heading3"/>
        <w:spacing w:after="120" w:before="180"/>
      </w:pPr>
      <w:r>
        <w:rPr>
          <w:rFonts w:ascii="Arial" w:cs="Arial" w:eastAsia="Arial" w:hAnsi="Arial"/>
          <w:b/>
          <w:bCs/>
          <w:color w:val="2E74B5"/>
          <w:sz w:val="24"/>
          <w:szCs w:val="24"/>
        </w:rPr>
        <w:t xml:space="preserve">2.2.3 Combinaison TF-IDF + Embeddings</w:t>
      </w:r>
    </w:p>
    <w:p>
      <w:pPr>
        <w:spacing w:after="120"/>
        <w:jc w:val="left"/>
      </w:pPr>
      <w:r>
        <w:rPr>
          <w:rFonts w:ascii="Arial" w:cs="Arial" w:eastAsia="Arial" w:hAnsi="Arial"/>
          <w:sz w:val="22"/>
          <w:szCs w:val="22"/>
        </w:rPr>
        <w:t xml:space="preserve">Les deux représentations sont concaténées pour former une matrice de 15 384 features (15 000 TF-IDF + 384 embeddings), cumulant la précision lexicale/stylistique et la compréhension sémantique.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none" w:color="FFFFFF" w:sz="0"/>
              <w:bottom w:val="none" w:color="FFFFFF" w:sz="0"/>
              <w:right w:val="none" w:color="FFFFFF" w:sz="0"/>
            </w:tcBorders>
            <w:shd w:fill="F2F9EC" w:val="clear"/>
            <w:tcMar>
              <w:top w:type="dxa" w:w="140"/>
              <w:left w:type="dxa" w:w="220"/>
              <w:bottom w:type="dxa" w:w="140"/>
              <w:right w:type="dxa" w:w="220"/>
            </w:tcMar>
          </w:tcPr>
          <w:p>
            <w:pPr>
              <w:spacing w:after="60"/>
            </w:pPr>
            <w:r>
              <w:rPr>
                <w:rFonts w:ascii="Arial" w:cs="Arial" w:eastAsia="Arial" w:hAnsi="Arial"/>
                <w:b/>
                <w:bCs/>
                <w:color w:val="375623"/>
                <w:sz w:val="20"/>
                <w:szCs w:val="20"/>
              </w:rPr>
              <w:t xml:space="preserve">Résultats Combinaison — TruthGuard</w:t>
            </w:r>
          </w:p>
          <w:p>
            <w:pPr>
              <w:spacing w:after="60"/>
            </w:pPr>
            <w:r>
              <w:rPr>
                <w:rFonts w:ascii="Arial" w:cs="Arial" w:eastAsia="Arial" w:hAnsi="Arial"/>
                <w:b w:val="false"/>
                <w:bCs w:val="false"/>
                <w:color w:val="444444"/>
                <w:sz w:val="20"/>
                <w:szCs w:val="20"/>
              </w:rPr>
              <w:t xml:space="preserve">Train : (1 538 × 15 384)   |   Test : (385 × 15 384)</w:t>
            </w:r>
          </w:p>
        </w:tc>
      </w:tr>
    </w:tbl>
    <w:p>
      <w:pPr>
        <w:spacing w:after="120"/>
      </w:pPr>
      <w:r>
        <w:rPr>
          <w:rFonts w:ascii="Arial" w:cs="Arial" w:eastAsia="Arial" w:hAnsi="Arial"/>
          <w:sz w:val="22"/>
          <w:szCs w:val="22"/>
        </w:rPr>
        <w:t xml:space="preserve"/>
      </w:r>
    </w:p>
    <w:p>
      <w:pPr>
        <w:pBdr>
          <w:bottom w:val="single" w:color="1F4E79" w:sz="6" w:space="1"/>
        </w:pBdr>
        <w:spacing w:after="200" w:before="400"/>
      </w:pPr>
      <w:r>
        <w:rPr>
          <w:rFonts w:ascii="Arial" w:cs="Arial" w:eastAsia="Arial" w:hAnsi="Arial"/>
          <w:b/>
          <w:bCs/>
          <w:color w:val="1F4E79"/>
          <w:sz w:val="40"/>
          <w:szCs w:val="40"/>
        </w:rPr>
        <w:t xml:space="preserve">PARTIE 3 — Comparaison des performances</w:t>
      </w:r>
    </w:p>
    <w:p>
      <w:pPr>
        <w:spacing w:after="120"/>
        <w:jc w:val="left"/>
      </w:pPr>
      <w:r>
        <w:rPr>
          <w:rFonts w:ascii="Arial" w:cs="Arial" w:eastAsia="Arial" w:hAnsi="Arial"/>
          <w:sz w:val="22"/>
          <w:szCs w:val="22"/>
        </w:rPr>
        <w:t xml:space="preserve">Les tableaux ci-dessous présentent les performances de chaque méthode de vectorisation et de chaque modèle, avec un code couleur pour identifier rapidement les meilleurs résultats.</w:t>
      </w:r>
    </w:p>
    <w:p>
      <w:pPr>
        <w:spacing w:after="80"/>
      </w:pPr>
      <w:r>
        <w:rPr>
          <w:rFonts w:ascii="Arial" w:cs="Arial" w:eastAsia="Arial" w:hAnsi="Arial"/>
          <w:sz w:val="22"/>
          <w:szCs w:val="22"/>
        </w:rPr>
        <w:t xml:space="preserve"/>
      </w:r>
    </w:p>
    <w:p>
      <w:pPr>
        <w:spacing w:after="80"/>
        <w:jc w:val="left"/>
      </w:pPr>
      <w:r>
        <w:rPr>
          <w:rFonts w:ascii="Arial" w:cs="Arial" w:eastAsia="Arial" w:hAnsi="Arial"/>
          <w:b/>
          <w:bCs/>
          <w:color w:val="000000"/>
          <w:sz w:val="20"/>
          <w:szCs w:val="20"/>
        </w:rPr>
        <w:t xml:space="preserve">Légende des couleurs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F0C2" w:val="clear"/>
            <w:tcMar>
              <w:top w:type="dxa" w:w="80"/>
              <w:left w:type="dxa" w:w="160"/>
              <w:bottom w:type="dxa" w:w="80"/>
              <w:right w:type="dxa" w:w="160"/>
            </w:tcMar>
          </w:tcPr>
          <w:p>
            <w:pPr>
              <w:jc w:val="center"/>
            </w:pPr>
            <w:r>
              <w:rPr>
                <w:rFonts w:ascii="Arial" w:cs="Arial" w:eastAsia="Arial" w:hAnsi="Arial"/>
                <w:b/>
                <w:bCs/>
                <w:color w:val="1A5E00"/>
                <w:sz w:val="18"/>
                <w:szCs w:val="18"/>
              </w:rPr>
              <w:t xml:space="preserve">≥ 0.93 — Excellent</w:t>
            </w:r>
          </w:p>
        </w:tc>
        <w:tc>
          <w:tcPr>
            <w:tcW w:type="dxa" w:w="3120"/>
            <w:tcBorders>
              <w:top w:val="single" w:color="CCCCCC" w:sz="1"/>
              <w:left w:val="single" w:color="CCCCCC" w:sz="1"/>
              <w:bottom w:val="single" w:color="CCCCCC" w:sz="1"/>
              <w:right w:val="single" w:color="CCCCCC" w:sz="1"/>
            </w:tcBorders>
            <w:shd w:fill="FFF4CC" w:val="clear"/>
            <w:tcMar>
              <w:top w:type="dxa" w:w="80"/>
              <w:left w:type="dxa" w:w="160"/>
              <w:bottom w:type="dxa" w:w="80"/>
              <w:right w:type="dxa" w:w="160"/>
            </w:tcMar>
          </w:tcPr>
          <w:p>
            <w:pPr>
              <w:jc w:val="center"/>
            </w:pPr>
            <w:r>
              <w:rPr>
                <w:rFonts w:ascii="Arial" w:cs="Arial" w:eastAsia="Arial" w:hAnsi="Arial"/>
                <w:b/>
                <w:bCs/>
                <w:color w:val="7B4900"/>
                <w:sz w:val="18"/>
                <w:szCs w:val="18"/>
              </w:rPr>
              <w:t xml:space="preserve">0.87–0.92 — Bon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000000"/>
                <w:sz w:val="18"/>
                <w:szCs w:val="18"/>
              </w:rPr>
              <w:t xml:space="preserve">&lt; 0.87 — Faible</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20"/>
        <w:gridCol w:w="1720"/>
        <w:gridCol w:w="1720"/>
      </w:tblGrid>
      <w:tr>
        <w:trPr>
          <w:tblHeader/>
        </w:trPr>
        <w:tc>
          <w:tcPr>
            <w:tcW w:type="dxa" w:w="32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Représentation / Modèle</w:t>
            </w:r>
          </w:p>
        </w:tc>
        <w:tc>
          <w:tcPr>
            <w:tcW w:type="dxa" w:w="172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Accuracy</w:t>
            </w:r>
          </w:p>
        </w:tc>
        <w:tc>
          <w:tcPr>
            <w:tcW w:type="dxa" w:w="172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F1-Score</w:t>
            </w:r>
          </w:p>
        </w:tc>
        <w:tc>
          <w:tcPr>
            <w:tcW w:type="dxa" w:w="172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AUC-ROC</w:t>
            </w:r>
          </w:p>
        </w:tc>
      </w:tr>
      <w:tr>
        <w:tc>
          <w:tcPr>
            <w:tcW w:type="dxa" w:w="8360"/>
            <w:gridSpan w:val="4"/>
            <w:tcBorders>
              <w:top w:val="single" w:color="2E74B5" w:sz="2"/>
              <w:left w:val="single" w:color="2E74B5" w:sz="2"/>
              <w:bottom w:val="single" w:color="2E74B5" w:sz="2"/>
              <w:right w:val="single" w:color="2E74B5" w:sz="2"/>
            </w:tcBorders>
            <w:shd w:fill="D9E8F5" w:val="clear"/>
            <w:tcMar>
              <w:top w:type="dxa" w:w="80"/>
              <w:left w:type="dxa" w:w="160"/>
              <w:bottom w:type="dxa" w:w="80"/>
              <w:right w:type="dxa" w:w="120"/>
            </w:tcMar>
          </w:tcPr>
          <w:p>
            <w:r>
              <w:rPr>
                <w:rFonts w:ascii="Arial" w:cs="Arial" w:eastAsia="Arial" w:hAnsi="Arial"/>
                <w:b/>
                <w:bCs/>
                <w:color w:val="1F4E79"/>
                <w:sz w:val="20"/>
                <w:szCs w:val="20"/>
              </w:rPr>
              <w:t xml:space="preserve">Dataset ISOT — TF-IDF (20 000 features)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sz w:val="20"/>
                <w:szCs w:val="20"/>
              </w:rPr>
              <w:t xml:space="preserve">TF-IDF — Logistic Regression</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0.9851</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0.9850</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0.9976</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val="false"/>
                <w:bCs w:val="false"/>
                <w:sz w:val="20"/>
                <w:szCs w:val="20"/>
              </w:rPr>
              <w:t xml:space="preserve">TF-IDF — SVM linéaire</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0.9872</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0.9872</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0.9980</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sz w:val="20"/>
                <w:szCs w:val="20"/>
              </w:rPr>
              <w:t xml:space="preserve">TF-IDF — Naive Bayes</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0.9431</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0.9430</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0.9847</w:t>
            </w:r>
          </w:p>
        </w:tc>
      </w:tr>
      <w:tr>
        <w:tc>
          <w:tcPr>
            <w:tcW w:type="dxa" w:w="8360"/>
            <w:gridSpan w:val="4"/>
            <w:tcBorders>
              <w:top w:val="single" w:color="2E74B5" w:sz="2"/>
              <w:left w:val="single" w:color="2E74B5" w:sz="2"/>
              <w:bottom w:val="single" w:color="2E74B5" w:sz="2"/>
              <w:right w:val="single" w:color="2E74B5" w:sz="2"/>
            </w:tcBorders>
            <w:shd w:fill="D9E8F5" w:val="clear"/>
            <w:tcMar>
              <w:top w:type="dxa" w:w="80"/>
              <w:left w:type="dxa" w:w="160"/>
              <w:bottom w:type="dxa" w:w="80"/>
              <w:right w:type="dxa" w:w="120"/>
            </w:tcMar>
          </w:tcPr>
          <w:p>
            <w:r>
              <w:rPr>
                <w:rFonts w:ascii="Arial" w:cs="Arial" w:eastAsia="Arial" w:hAnsi="Arial"/>
                <w:b/>
                <w:bCs/>
                <w:color w:val="1F4E79"/>
                <w:sz w:val="20"/>
                <w:szCs w:val="20"/>
              </w:rPr>
              <w:t xml:space="preserve">Dataset ISOT — Word2Vec 200d (mean pooling)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sz w:val="20"/>
                <w:szCs w:val="20"/>
              </w:rPr>
              <w:t xml:space="preserve">Word2Vec — Logistic Regression</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0.9341</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0.9340</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0.9810</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val="false"/>
                <w:bCs w:val="false"/>
                <w:sz w:val="20"/>
                <w:szCs w:val="20"/>
              </w:rPr>
              <w:t xml:space="preserve">Word2Vec — SVM (RBF)</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0.9512</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0.9511</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0.9860</w:t>
            </w:r>
          </w:p>
        </w:tc>
      </w:tr>
      <w:tr>
        <w:tc>
          <w:tcPr>
            <w:tcW w:type="dxa" w:w="8360"/>
            <w:gridSpan w:val="4"/>
            <w:tcBorders>
              <w:top w:val="single" w:color="2E74B5" w:sz="2"/>
              <w:left w:val="single" w:color="2E74B5" w:sz="2"/>
              <w:bottom w:val="single" w:color="2E74B5" w:sz="2"/>
              <w:right w:val="single" w:color="2E74B5" w:sz="2"/>
            </w:tcBorders>
            <w:shd w:fill="D9E8F5" w:val="clear"/>
            <w:tcMar>
              <w:top w:type="dxa" w:w="80"/>
              <w:left w:type="dxa" w:w="160"/>
              <w:bottom w:type="dxa" w:w="80"/>
              <w:right w:type="dxa" w:w="120"/>
            </w:tcMar>
          </w:tcPr>
          <w:p>
            <w:r>
              <w:rPr>
                <w:rFonts w:ascii="Arial" w:cs="Arial" w:eastAsia="Arial" w:hAnsi="Arial"/>
                <w:b/>
                <w:bCs/>
                <w:color w:val="1F4E79"/>
                <w:sz w:val="20"/>
                <w:szCs w:val="20"/>
              </w:rPr>
              <w:t xml:space="preserve">TruthGuard — Représentations comparées (Rég. Logistique)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sz w:val="20"/>
                <w:szCs w:val="20"/>
              </w:rPr>
              <w:t xml:space="preserve">TF-IDF seul (mots+car.)</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0.9377</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0.9388</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0.9724</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val="false"/>
                <w:bCs w:val="false"/>
                <w:sz w:val="20"/>
                <w:szCs w:val="20"/>
              </w:rPr>
              <w:t xml:space="preserve">Embeddings seul (MiniLM)</w:t>
            </w:r>
          </w:p>
        </w:tc>
        <w:tc>
          <w:tcPr>
            <w:tcW w:type="dxa" w:w="1720"/>
            <w:tcBorders>
              <w:top w:val="single" w:color="CCCCCC" w:sz="1"/>
              <w:left w:val="single" w:color="CCCCCC" w:sz="1"/>
              <w:bottom w:val="single" w:color="CCCCCC" w:sz="1"/>
              <w:right w:val="single" w:color="CCCCCC" w:sz="1"/>
            </w:tcBorders>
            <w:shd w:fill="FFF4CC" w:val="clear"/>
            <w:tcMar>
              <w:top w:type="dxa" w:w="100"/>
              <w:left w:type="dxa" w:w="140"/>
              <w:bottom w:type="dxa" w:w="100"/>
              <w:right w:type="dxa" w:w="140"/>
            </w:tcMar>
          </w:tcPr>
          <w:p>
            <w:pPr>
              <w:jc w:val="center"/>
            </w:pPr>
            <w:r>
              <w:rPr>
                <w:rFonts w:ascii="Arial" w:cs="Arial" w:eastAsia="Arial" w:hAnsi="Arial"/>
                <w:b w:val="false"/>
                <w:bCs w:val="false"/>
                <w:color w:val="7B4900"/>
                <w:sz w:val="20"/>
                <w:szCs w:val="20"/>
              </w:rPr>
              <w:t xml:space="preserve">0.8727</w:t>
            </w:r>
          </w:p>
        </w:tc>
        <w:tc>
          <w:tcPr>
            <w:tcW w:type="dxa" w:w="1720"/>
            <w:tcBorders>
              <w:top w:val="single" w:color="CCCCCC" w:sz="1"/>
              <w:left w:val="single" w:color="CCCCCC" w:sz="1"/>
              <w:bottom w:val="single" w:color="CCCCCC" w:sz="1"/>
              <w:right w:val="single" w:color="CCCCCC" w:sz="1"/>
            </w:tcBorders>
            <w:shd w:fill="FFF4CC" w:val="clear"/>
            <w:tcMar>
              <w:top w:type="dxa" w:w="100"/>
              <w:left w:type="dxa" w:w="140"/>
              <w:bottom w:type="dxa" w:w="100"/>
              <w:right w:type="dxa" w:w="140"/>
            </w:tcMar>
          </w:tcPr>
          <w:p>
            <w:pPr>
              <w:jc w:val="center"/>
            </w:pPr>
            <w:r>
              <w:rPr>
                <w:rFonts w:ascii="Arial" w:cs="Arial" w:eastAsia="Arial" w:hAnsi="Arial"/>
                <w:b w:val="false"/>
                <w:bCs w:val="false"/>
                <w:color w:val="7B4900"/>
                <w:sz w:val="20"/>
                <w:szCs w:val="20"/>
              </w:rPr>
              <w:t xml:space="preserve">0.8740</w:t>
            </w:r>
          </w:p>
        </w:tc>
        <w:tc>
          <w:tcPr>
            <w:tcW w:type="dxa" w:w="1720"/>
            <w:tcBorders>
              <w:top w:val="single" w:color="CCCCCC" w:sz="1"/>
              <w:left w:val="single" w:color="CCCCCC" w:sz="1"/>
              <w:bottom w:val="single" w:color="CCCCCC" w:sz="1"/>
              <w:right w:val="single" w:color="CCCCCC" w:sz="1"/>
            </w:tcBorders>
            <w:shd w:fill="FFF4CC" w:val="clear"/>
            <w:tcMar>
              <w:top w:type="dxa" w:w="100"/>
              <w:left w:type="dxa" w:w="140"/>
              <w:bottom w:type="dxa" w:w="100"/>
              <w:right w:type="dxa" w:w="140"/>
            </w:tcMar>
          </w:tcPr>
          <w:p>
            <w:pPr>
              <w:jc w:val="center"/>
            </w:pPr>
            <w:r>
              <w:rPr>
                <w:rFonts w:ascii="Arial" w:cs="Arial" w:eastAsia="Arial" w:hAnsi="Arial"/>
                <w:b w:val="false"/>
                <w:bCs w:val="false"/>
                <w:color w:val="7B4900"/>
                <w:sz w:val="20"/>
                <w:szCs w:val="20"/>
              </w:rPr>
              <w:t xml:space="preserve">0.9273</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sz w:val="20"/>
                <w:szCs w:val="20"/>
              </w:rPr>
              <w:t xml:space="preserve">TF-IDF + Embeddings</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0.9351</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0.9357</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0.9699</w:t>
            </w:r>
          </w:p>
        </w:tc>
      </w:tr>
      <w:tr>
        <w:tc>
          <w:tcPr>
            <w:tcW w:type="dxa" w:w="8360"/>
            <w:gridSpan w:val="4"/>
            <w:tcBorders>
              <w:top w:val="single" w:color="2E74B5" w:sz="2"/>
              <w:left w:val="single" w:color="2E74B5" w:sz="2"/>
              <w:bottom w:val="single" w:color="2E74B5" w:sz="2"/>
              <w:right w:val="single" w:color="2E74B5" w:sz="2"/>
            </w:tcBorders>
            <w:shd w:fill="D9E8F5" w:val="clear"/>
            <w:tcMar>
              <w:top w:type="dxa" w:w="80"/>
              <w:left w:type="dxa" w:w="160"/>
              <w:bottom w:type="dxa" w:w="80"/>
              <w:right w:type="dxa" w:w="120"/>
            </w:tcMar>
          </w:tcPr>
          <w:p>
            <w:r>
              <w:rPr>
                <w:rFonts w:ascii="Arial" w:cs="Arial" w:eastAsia="Arial" w:hAnsi="Arial"/>
                <w:b/>
                <w:bCs/>
                <w:color w:val="1F4E79"/>
                <w:sz w:val="20"/>
                <w:szCs w:val="20"/>
              </w:rPr>
              <w:t xml:space="preserve">TruthGuard — Modèles (features combinées 15 384 dim)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0"/>
                <w:szCs w:val="20"/>
              </w:rPr>
              <w:t xml:space="preserve">SVM (calibré)</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0.9377</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0.9385</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0.9732</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val="false"/>
                <w:bCs w:val="false"/>
                <w:sz w:val="20"/>
                <w:szCs w:val="20"/>
              </w:rPr>
              <w:t xml:space="preserve">Logistic Regression</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0.9351</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0.9357</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0.9699</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sz w:val="20"/>
                <w:szCs w:val="20"/>
              </w:rPr>
              <w:t xml:space="preserve">Random Forest</w:t>
            </w:r>
          </w:p>
        </w:tc>
        <w:tc>
          <w:tcPr>
            <w:tcW w:type="dxa" w:w="1720"/>
            <w:tcBorders>
              <w:top w:val="single" w:color="CCCCCC" w:sz="1"/>
              <w:left w:val="single" w:color="CCCCCC" w:sz="1"/>
              <w:bottom w:val="single" w:color="CCCCCC" w:sz="1"/>
              <w:right w:val="single" w:color="CCCCCC" w:sz="1"/>
            </w:tcBorders>
            <w:shd w:fill="FFF4CC" w:val="clear"/>
            <w:tcMar>
              <w:top w:type="dxa" w:w="100"/>
              <w:left w:type="dxa" w:w="140"/>
              <w:bottom w:type="dxa" w:w="100"/>
              <w:right w:type="dxa" w:w="140"/>
            </w:tcMar>
          </w:tcPr>
          <w:p>
            <w:pPr>
              <w:jc w:val="center"/>
            </w:pPr>
            <w:r>
              <w:rPr>
                <w:rFonts w:ascii="Arial" w:cs="Arial" w:eastAsia="Arial" w:hAnsi="Arial"/>
                <w:b w:val="false"/>
                <w:bCs w:val="false"/>
                <w:color w:val="7B4900"/>
                <w:sz w:val="20"/>
                <w:szCs w:val="20"/>
              </w:rPr>
              <w:t xml:space="preserve">0.9221</w:t>
            </w:r>
          </w:p>
        </w:tc>
        <w:tc>
          <w:tcPr>
            <w:tcW w:type="dxa" w:w="1720"/>
            <w:tcBorders>
              <w:top w:val="single" w:color="CCCCCC" w:sz="1"/>
              <w:left w:val="single" w:color="CCCCCC" w:sz="1"/>
              <w:bottom w:val="single" w:color="CCCCCC" w:sz="1"/>
              <w:right w:val="single" w:color="CCCCCC" w:sz="1"/>
            </w:tcBorders>
            <w:shd w:fill="FFF4CC" w:val="clear"/>
            <w:tcMar>
              <w:top w:type="dxa" w:w="100"/>
              <w:left w:type="dxa" w:w="140"/>
              <w:bottom w:type="dxa" w:w="100"/>
              <w:right w:type="dxa" w:w="140"/>
            </w:tcMar>
          </w:tcPr>
          <w:p>
            <w:pPr>
              <w:jc w:val="center"/>
            </w:pPr>
            <w:r>
              <w:rPr>
                <w:rFonts w:ascii="Arial" w:cs="Arial" w:eastAsia="Arial" w:hAnsi="Arial"/>
                <w:b w:val="false"/>
                <w:bCs w:val="false"/>
                <w:color w:val="7B4900"/>
                <w:sz w:val="20"/>
                <w:szCs w:val="20"/>
              </w:rPr>
              <w:t xml:space="preserve">0.9231</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0.9811</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val="false"/>
                <w:bCs w:val="false"/>
                <w:sz w:val="20"/>
                <w:szCs w:val="20"/>
              </w:rPr>
              <w:t xml:space="preserve">Complement Naive Bayes</w:t>
            </w:r>
          </w:p>
        </w:tc>
        <w:tc>
          <w:tcPr>
            <w:tcW w:type="dxa" w:w="1720"/>
            <w:tcBorders>
              <w:top w:val="single" w:color="CCCCCC" w:sz="1"/>
              <w:left w:val="single" w:color="CCCCCC" w:sz="1"/>
              <w:bottom w:val="single" w:color="CCCCCC" w:sz="1"/>
              <w:right w:val="single" w:color="CCCCCC" w:sz="1"/>
            </w:tcBorders>
            <w:shd w:fill="FFF4CC" w:val="clear"/>
            <w:tcMar>
              <w:top w:type="dxa" w:w="100"/>
              <w:left w:type="dxa" w:w="140"/>
              <w:bottom w:type="dxa" w:w="100"/>
              <w:right w:type="dxa" w:w="140"/>
            </w:tcMar>
          </w:tcPr>
          <w:p>
            <w:pPr>
              <w:jc w:val="center"/>
            </w:pPr>
            <w:r>
              <w:rPr>
                <w:rFonts w:ascii="Arial" w:cs="Arial" w:eastAsia="Arial" w:hAnsi="Arial"/>
                <w:b w:val="false"/>
                <w:bCs w:val="false"/>
                <w:color w:val="7B4900"/>
                <w:sz w:val="20"/>
                <w:szCs w:val="20"/>
              </w:rPr>
              <w:t xml:space="preserve">0.9169</w:t>
            </w:r>
          </w:p>
        </w:tc>
        <w:tc>
          <w:tcPr>
            <w:tcW w:type="dxa" w:w="1720"/>
            <w:tcBorders>
              <w:top w:val="single" w:color="CCCCCC" w:sz="1"/>
              <w:left w:val="single" w:color="CCCCCC" w:sz="1"/>
              <w:bottom w:val="single" w:color="CCCCCC" w:sz="1"/>
              <w:right w:val="single" w:color="CCCCCC" w:sz="1"/>
            </w:tcBorders>
            <w:shd w:fill="FFF4CC" w:val="clear"/>
            <w:tcMar>
              <w:top w:type="dxa" w:w="100"/>
              <w:left w:type="dxa" w:w="140"/>
              <w:bottom w:type="dxa" w:w="100"/>
              <w:right w:type="dxa" w:w="140"/>
            </w:tcMar>
          </w:tcPr>
          <w:p>
            <w:pPr>
              <w:jc w:val="center"/>
            </w:pPr>
            <w:r>
              <w:rPr>
                <w:rFonts w:ascii="Arial" w:cs="Arial" w:eastAsia="Arial" w:hAnsi="Arial"/>
                <w:b w:val="false"/>
                <w:bCs w:val="false"/>
                <w:color w:val="7B4900"/>
                <w:sz w:val="20"/>
                <w:szCs w:val="20"/>
              </w:rPr>
              <w:t xml:space="preserve">0.9162</w:t>
            </w:r>
          </w:p>
        </w:tc>
        <w:tc>
          <w:tcPr>
            <w:tcW w:type="dxa" w:w="1720"/>
            <w:tcBorders>
              <w:top w:val="single" w:color="CCCCCC" w:sz="1"/>
              <w:left w:val="single" w:color="CCCCCC" w:sz="1"/>
              <w:bottom w:val="single" w:color="CCCCCC" w:sz="1"/>
              <w:right w:val="single" w:color="CCCCCC" w:sz="1"/>
            </w:tcBorders>
            <w:shd w:fill="D6F0C2" w:val="clear"/>
            <w:tcMar>
              <w:top w:type="dxa" w:w="100"/>
              <w:left w:type="dxa" w:w="140"/>
              <w:bottom w:type="dxa" w:w="100"/>
              <w:right w:type="dxa" w:w="140"/>
            </w:tcMar>
          </w:tcPr>
          <w:p>
            <w:pPr>
              <w:jc w:val="center"/>
            </w:pPr>
            <w:r>
              <w:rPr>
                <w:rFonts w:ascii="Arial" w:cs="Arial" w:eastAsia="Arial" w:hAnsi="Arial"/>
                <w:b/>
                <w:bCs/>
                <w:color w:val="1A5E00"/>
                <w:sz w:val="20"/>
                <w:szCs w:val="20"/>
              </w:rPr>
              <w:t xml:space="preserve">0.9544</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none" w:color="FFFFFF" w:sz="0"/>
              <w:bottom w:val="none" w:color="FFFFFF" w:sz="0"/>
              <w:right w:val="none" w:color="FFFFFF" w:sz="0"/>
            </w:tcBorders>
            <w:shd w:fill="EEF4FB" w:val="clear"/>
            <w:tcMar>
              <w:top w:type="dxa" w:w="140"/>
              <w:left w:type="dxa" w:w="220"/>
              <w:bottom w:type="dxa" w:w="140"/>
              <w:right w:type="dxa" w:w="220"/>
            </w:tcMar>
          </w:tcPr>
          <w:p>
            <w:pPr>
              <w:spacing w:after="60"/>
            </w:pPr>
            <w:r>
              <w:rPr>
                <w:rFonts w:ascii="Arial" w:cs="Arial" w:eastAsia="Arial" w:hAnsi="Arial"/>
                <w:i w:val="false"/>
                <w:iCs w:val="false"/>
                <w:color w:val="333333"/>
                <w:sz w:val="20"/>
                <w:szCs w:val="20"/>
              </w:rPr>
              <w:t xml:space="preserve">Analyse des résultats — Points clés</w:t>
            </w:r>
          </w:p>
          <w:p>
            <w:pPr>
              <w:spacing w:after="60"/>
            </w:pPr>
            <w:r>
              <w:rPr>
                <w:rFonts w:ascii="Arial" w:cs="Arial" w:eastAsia="Arial" w:hAnsi="Arial"/>
                <w:i/>
                <w:iCs/>
                <w:color w:val="333333"/>
                <w:sz w:val="20"/>
                <w:szCs w:val="20"/>
              </w:rPr>
              <w:t xml:space="preserve">✔ Dataset ISOT : le TF-IDF avec SVM linéaire donne les meilleurs résultats (F1 = 0.987, AUC = 0.998) grâce à la grande taille du corpus.</w:t>
            </w:r>
          </w:p>
          <w:p>
            <w:pPr>
              <w:spacing w:after="60"/>
            </w:pPr>
            <w:r>
              <w:rPr>
                <w:rFonts w:ascii="Arial" w:cs="Arial" w:eastAsia="Arial" w:hAnsi="Arial"/>
                <w:i/>
                <w:iCs/>
                <w:color w:val="333333"/>
                <w:sz w:val="20"/>
                <w:szCs w:val="20"/>
              </w:rPr>
              <w:t xml:space="preserve">✔ TruthGuard : le TF-IDF seul (mots+car.) surpasse la combinaison TF-IDF+Embeddings (F1 = 0.939 vs 0.936) — les embeddings ajoutent surtout de la redondance sur ce corpus de taille modeste.</w:t>
            </w:r>
          </w:p>
          <w:p>
            <w:pPr>
              <w:spacing w:after="60"/>
            </w:pPr>
            <w:r>
              <w:rPr>
                <w:rFonts w:ascii="Arial" w:cs="Arial" w:eastAsia="Arial" w:hAnsi="Arial"/>
                <w:i/>
                <w:iCs/>
                <w:color w:val="333333"/>
                <w:sz w:val="20"/>
                <w:szCs w:val="20"/>
              </w:rPr>
              <w:t xml:space="preserve">⚠ Les embeddings seuls (F1 = 0.874) sont nettement en retrait : 384 dimensions denses perdent l'information des termes rares très révélateurs.</w:t>
            </w:r>
          </w:p>
          <w:p>
            <w:pPr>
              <w:spacing w:after="60"/>
            </w:pPr>
            <w:r>
              <w:rPr>
                <w:rFonts w:ascii="Arial" w:cs="Arial" w:eastAsia="Arial" w:hAnsi="Arial"/>
                <w:i/>
                <w:iCs/>
                <w:color w:val="333333"/>
                <w:sz w:val="20"/>
                <w:szCs w:val="20"/>
              </w:rPr>
              <w:t xml:space="preserve">✔ Le Random Forest atteint le meilleur AUC-ROC TruthGuard (0.981) mais une accuracy plus faible — il capture mieux les relations non linéaires mais threshold mal.</w:t>
            </w:r>
          </w:p>
        </w:tc>
      </w:tr>
    </w:tbl>
    <w:p>
      <w:pPr>
        <w:spacing w:after="120"/>
      </w:pPr>
      <w:r>
        <w:rPr>
          <w:rFonts w:ascii="Arial" w:cs="Arial" w:eastAsia="Arial" w:hAnsi="Arial"/>
          <w:sz w:val="22"/>
          <w:szCs w:val="22"/>
        </w:rPr>
        <w:t xml:space="preserve"/>
      </w:r>
    </w:p>
    <w:p>
      <w:pPr>
        <w:pBdr>
          <w:bottom w:val="single" w:color="1F4E79" w:sz="6" w:space="1"/>
        </w:pBdr>
        <w:spacing w:after="200" w:before="400"/>
      </w:pPr>
      <w:r>
        <w:rPr>
          <w:rFonts w:ascii="Arial" w:cs="Arial" w:eastAsia="Arial" w:hAnsi="Arial"/>
          <w:b/>
          <w:bCs/>
          <w:color w:val="1F4E79"/>
          <w:sz w:val="40"/>
          <w:szCs w:val="40"/>
        </w:rPr>
        <w:t xml:space="preserve">Synthèse comparative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Aspect</w:t>
            </w:r>
          </w:p>
        </w:tc>
        <w:tc>
          <w:tcPr>
            <w:tcW w:type="dxa" w:w="328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Dataset ISOT</w:t>
            </w:r>
          </w:p>
        </w:tc>
        <w:tc>
          <w:tcPr>
            <w:tcW w:type="dxa" w:w="328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TruthGuard</w:t>
            </w:r>
          </w:p>
        </w:tc>
      </w:tr>
      <w:tr>
        <w:tc>
          <w:tcPr>
            <w:tcW w:type="dxa" w:w="2800"/>
            <w:tcBorders>
              <w:top w:val="single" w:color="CCCCCC" w:sz="1"/>
              <w:left w:val="single" w:color="CCCCCC" w:sz="1"/>
              <w:bottom w:val="single" w:color="CCCCCC" w:sz="1"/>
              <w:right w:val="single" w:color="CCCCCC" w:sz="1"/>
            </w:tcBorders>
            <w:shd w:fill="EDF3FB" w:val="clear"/>
            <w:tcMar>
              <w:top w:type="dxa" w:w="100"/>
              <w:left w:type="dxa" w:w="160"/>
              <w:bottom w:type="dxa" w:w="100"/>
              <w:right w:type="dxa" w:w="120"/>
            </w:tcMar>
          </w:tcPr>
          <w:p>
            <w:r>
              <w:rPr>
                <w:rFonts w:ascii="Arial" w:cs="Arial" w:eastAsia="Arial" w:hAnsi="Arial"/>
                <w:b/>
                <w:bCs/>
                <w:color w:val="1F4E79"/>
                <w:sz w:val="20"/>
                <w:szCs w:val="20"/>
              </w:rPr>
              <w:t xml:space="preserve">Corpus</w:t>
            </w:r>
          </w:p>
        </w:tc>
        <w:tc>
          <w:tcPr>
            <w:tcW w:type="dxa" w:w="3280"/>
            <w:tcBorders>
              <w:top w:val="single" w:color="CCCCCC" w:sz="1"/>
              <w:left w:val="single" w:color="CCCCCC" w:sz="1"/>
              <w:bottom w:val="single" w:color="CCCCCC" w:sz="1"/>
              <w:right w:val="single" w:color="CCCCCC" w:sz="1"/>
            </w:tcBorders>
            <w:shd w:fill="EDF3FB" w:val="clear"/>
            <w:tcMar>
              <w:top w:type="dxa" w:w="100"/>
              <w:left w:type="dxa" w:w="160"/>
              <w:bottom w:type="dxa" w:w="100"/>
              <w:right w:type="dxa" w:w="120"/>
            </w:tcMar>
          </w:tcPr>
          <w:p>
            <w:r>
              <w:rPr>
                <w:rFonts w:ascii="Arial" w:cs="Arial" w:eastAsia="Arial" w:hAnsi="Arial"/>
                <w:sz w:val="20"/>
                <w:szCs w:val="20"/>
              </w:rPr>
              <w:t xml:space="preserve">ISOT (39 096 articles)</w:t>
            </w:r>
          </w:p>
        </w:tc>
        <w:tc>
          <w:tcPr>
            <w:tcW w:type="dxa" w:w="3280"/>
            <w:tcBorders>
              <w:top w:val="single" w:color="CCCCCC" w:sz="1"/>
              <w:left w:val="single" w:color="CCCCCC" w:sz="1"/>
              <w:bottom w:val="single" w:color="CCCCCC" w:sz="1"/>
              <w:right w:val="single" w:color="CCCCCC" w:sz="1"/>
            </w:tcBorders>
            <w:shd w:fill="EDF3FB" w:val="clear"/>
            <w:tcMar>
              <w:top w:type="dxa" w:w="100"/>
              <w:left w:type="dxa" w:w="160"/>
              <w:bottom w:type="dxa" w:w="100"/>
              <w:right w:type="dxa" w:w="120"/>
            </w:tcMar>
          </w:tcPr>
          <w:p>
            <w:r>
              <w:rPr>
                <w:rFonts w:ascii="Arial" w:cs="Arial" w:eastAsia="Arial" w:hAnsi="Arial"/>
                <w:sz w:val="20"/>
                <w:szCs w:val="20"/>
              </w:rPr>
              <w:t xml:space="preserve">ISOT + FakeNewsNet (1 923 articles)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color w:val="1F4E79"/>
                <w:sz w:val="20"/>
                <w:szCs w:val="20"/>
              </w:rPr>
              <w:t xml:space="preserve">Nettoyage structurel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Non appliqué</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Doublons + NaN + textes courts</w:t>
            </w:r>
          </w:p>
        </w:tc>
      </w:tr>
      <w:tr>
        <w:tc>
          <w:tcPr>
            <w:tcW w:type="dxa" w:w="2800"/>
            <w:tcBorders>
              <w:top w:val="single" w:color="CCCCCC" w:sz="1"/>
              <w:left w:val="single" w:color="CCCCCC" w:sz="1"/>
              <w:bottom w:val="single" w:color="CCCCCC" w:sz="1"/>
              <w:right w:val="single" w:color="CCCCCC" w:sz="1"/>
            </w:tcBorders>
            <w:shd w:fill="EDF3FB" w:val="clear"/>
            <w:tcMar>
              <w:top w:type="dxa" w:w="100"/>
              <w:left w:type="dxa" w:w="160"/>
              <w:bottom w:type="dxa" w:w="100"/>
              <w:right w:type="dxa" w:w="120"/>
            </w:tcMar>
          </w:tcPr>
          <w:p>
            <w:r>
              <w:rPr>
                <w:rFonts w:ascii="Arial" w:cs="Arial" w:eastAsia="Arial" w:hAnsi="Arial"/>
                <w:b/>
                <w:bCs/>
                <w:color w:val="1F4E79"/>
                <w:sz w:val="20"/>
                <w:szCs w:val="20"/>
              </w:rPr>
              <w:t xml:space="preserve">Pipeline NLP</w:t>
            </w:r>
          </w:p>
        </w:tc>
        <w:tc>
          <w:tcPr>
            <w:tcW w:type="dxa" w:w="3280"/>
            <w:tcBorders>
              <w:top w:val="single" w:color="CCCCCC" w:sz="1"/>
              <w:left w:val="single" w:color="CCCCCC" w:sz="1"/>
              <w:bottom w:val="single" w:color="CCCCCC" w:sz="1"/>
              <w:right w:val="single" w:color="CCCCCC" w:sz="1"/>
            </w:tcBorders>
            <w:shd w:fill="EDF3FB" w:val="clear"/>
            <w:tcMar>
              <w:top w:type="dxa" w:w="100"/>
              <w:left w:type="dxa" w:w="160"/>
              <w:bottom w:type="dxa" w:w="100"/>
              <w:right w:type="dxa" w:w="120"/>
            </w:tcMar>
          </w:tcPr>
          <w:p>
            <w:r>
              <w:rPr>
                <w:rFonts w:ascii="Arial" w:cs="Arial" w:eastAsia="Arial" w:hAnsi="Arial"/>
                <w:sz w:val="20"/>
                <w:szCs w:val="20"/>
              </w:rPr>
              <w:t xml:space="preserve">Normalisation → Token. → Stopwords → Lemme POS</w:t>
            </w:r>
          </w:p>
        </w:tc>
        <w:tc>
          <w:tcPr>
            <w:tcW w:type="dxa" w:w="3280"/>
            <w:tcBorders>
              <w:top w:val="single" w:color="CCCCCC" w:sz="1"/>
              <w:left w:val="single" w:color="CCCCCC" w:sz="1"/>
              <w:bottom w:val="single" w:color="CCCCCC" w:sz="1"/>
              <w:right w:val="single" w:color="CCCCCC" w:sz="1"/>
            </w:tcBorders>
            <w:shd w:fill="EDF3FB" w:val="clear"/>
            <w:tcMar>
              <w:top w:type="dxa" w:w="100"/>
              <w:left w:type="dxa" w:w="160"/>
              <w:bottom w:type="dxa" w:w="100"/>
              <w:right w:type="dxa" w:w="120"/>
            </w:tcMar>
          </w:tcPr>
          <w:p>
            <w:r>
              <w:rPr>
                <w:rFonts w:ascii="Arial" w:cs="Arial" w:eastAsia="Arial" w:hAnsi="Arial"/>
                <w:sz w:val="20"/>
                <w:szCs w:val="20"/>
              </w:rPr>
              <w:t xml:space="preserve">Identique + diagnostics TTR et split stratifié</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color w:val="1F4E79"/>
                <w:sz w:val="20"/>
                <w:szCs w:val="20"/>
              </w:rPr>
              <w:t xml:space="preserve">Vectorisation sparse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TF-IDF uni+bigram (20 000 dim)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TF-IDF mots+car. (15 000 dim)</w:t>
            </w:r>
          </w:p>
        </w:tc>
      </w:tr>
      <w:tr>
        <w:tc>
          <w:tcPr>
            <w:tcW w:type="dxa" w:w="2800"/>
            <w:tcBorders>
              <w:top w:val="single" w:color="CCCCCC" w:sz="1"/>
              <w:left w:val="single" w:color="CCCCCC" w:sz="1"/>
              <w:bottom w:val="single" w:color="CCCCCC" w:sz="1"/>
              <w:right w:val="single" w:color="CCCCCC" w:sz="1"/>
            </w:tcBorders>
            <w:shd w:fill="EDF3FB" w:val="clear"/>
            <w:tcMar>
              <w:top w:type="dxa" w:w="100"/>
              <w:left w:type="dxa" w:w="160"/>
              <w:bottom w:type="dxa" w:w="100"/>
              <w:right w:type="dxa" w:w="120"/>
            </w:tcMar>
          </w:tcPr>
          <w:p>
            <w:r>
              <w:rPr>
                <w:rFonts w:ascii="Arial" w:cs="Arial" w:eastAsia="Arial" w:hAnsi="Arial"/>
                <w:b/>
                <w:bCs/>
                <w:color w:val="1F4E79"/>
                <w:sz w:val="20"/>
                <w:szCs w:val="20"/>
              </w:rPr>
              <w:t xml:space="preserve">Vectorisation dense</w:t>
            </w:r>
          </w:p>
        </w:tc>
        <w:tc>
          <w:tcPr>
            <w:tcW w:type="dxa" w:w="3280"/>
            <w:tcBorders>
              <w:top w:val="single" w:color="CCCCCC" w:sz="1"/>
              <w:left w:val="single" w:color="CCCCCC" w:sz="1"/>
              <w:bottom w:val="single" w:color="CCCCCC" w:sz="1"/>
              <w:right w:val="single" w:color="CCCCCC" w:sz="1"/>
            </w:tcBorders>
            <w:shd w:fill="EDF3FB" w:val="clear"/>
            <w:tcMar>
              <w:top w:type="dxa" w:w="100"/>
              <w:left w:type="dxa" w:w="160"/>
              <w:bottom w:type="dxa" w:w="100"/>
              <w:right w:type="dxa" w:w="120"/>
            </w:tcMar>
          </w:tcPr>
          <w:p>
            <w:r>
              <w:rPr>
                <w:rFonts w:ascii="Arial" w:cs="Arial" w:eastAsia="Arial" w:hAnsi="Arial"/>
                <w:sz w:val="20"/>
                <w:szCs w:val="20"/>
              </w:rPr>
              <w:t xml:space="preserve">Word2Vec 200d (entraîné sur corpus)</w:t>
            </w:r>
          </w:p>
        </w:tc>
        <w:tc>
          <w:tcPr>
            <w:tcW w:type="dxa" w:w="3280"/>
            <w:tcBorders>
              <w:top w:val="single" w:color="CCCCCC" w:sz="1"/>
              <w:left w:val="single" w:color="CCCCCC" w:sz="1"/>
              <w:bottom w:val="single" w:color="CCCCCC" w:sz="1"/>
              <w:right w:val="single" w:color="CCCCCC" w:sz="1"/>
            </w:tcBorders>
            <w:shd w:fill="EDF3FB" w:val="clear"/>
            <w:tcMar>
              <w:top w:type="dxa" w:w="100"/>
              <w:left w:type="dxa" w:w="160"/>
              <w:bottom w:type="dxa" w:w="100"/>
              <w:right w:type="dxa" w:w="120"/>
            </w:tcMar>
          </w:tcPr>
          <w:p>
            <w:r>
              <w:rPr>
                <w:rFonts w:ascii="Arial" w:cs="Arial" w:eastAsia="Arial" w:hAnsi="Arial"/>
                <w:sz w:val="20"/>
                <w:szCs w:val="20"/>
              </w:rPr>
              <w:t xml:space="preserve">SentenceTransformer 384d (pré-entraîné)</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color w:val="1F4E79"/>
                <w:sz w:val="20"/>
                <w:szCs w:val="20"/>
              </w:rPr>
              <w:t xml:space="preserve">Combinaison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Non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TF-IDF + Embeddings (15 384 dim)</w:t>
            </w:r>
          </w:p>
        </w:tc>
      </w:tr>
      <w:tr>
        <w:tc>
          <w:tcPr>
            <w:tcW w:type="dxa" w:w="2800"/>
            <w:tcBorders>
              <w:top w:val="single" w:color="CCCCCC" w:sz="1"/>
              <w:left w:val="single" w:color="CCCCCC" w:sz="1"/>
              <w:bottom w:val="single" w:color="CCCCCC" w:sz="1"/>
              <w:right w:val="single" w:color="CCCCCC" w:sz="1"/>
            </w:tcBorders>
            <w:shd w:fill="EDF3FB" w:val="clear"/>
            <w:tcMar>
              <w:top w:type="dxa" w:w="100"/>
              <w:left w:type="dxa" w:w="160"/>
              <w:bottom w:type="dxa" w:w="100"/>
              <w:right w:type="dxa" w:w="120"/>
            </w:tcMar>
          </w:tcPr>
          <w:p>
            <w:r>
              <w:rPr>
                <w:rFonts w:ascii="Arial" w:cs="Arial" w:eastAsia="Arial" w:hAnsi="Arial"/>
                <w:b/>
                <w:bCs/>
                <w:color w:val="1F4E79"/>
                <w:sz w:val="20"/>
                <w:szCs w:val="20"/>
              </w:rPr>
              <w:t xml:space="preserve">Meilleur résultat</w:t>
            </w:r>
          </w:p>
        </w:tc>
        <w:tc>
          <w:tcPr>
            <w:tcW w:type="dxa" w:w="3280"/>
            <w:tcBorders>
              <w:top w:val="single" w:color="CCCCCC" w:sz="1"/>
              <w:left w:val="single" w:color="CCCCCC" w:sz="1"/>
              <w:bottom w:val="single" w:color="CCCCCC" w:sz="1"/>
              <w:right w:val="single" w:color="CCCCCC" w:sz="1"/>
            </w:tcBorders>
            <w:shd w:fill="EDF3FB" w:val="clear"/>
            <w:tcMar>
              <w:top w:type="dxa" w:w="100"/>
              <w:left w:type="dxa" w:w="160"/>
              <w:bottom w:type="dxa" w:w="100"/>
              <w:right w:type="dxa" w:w="120"/>
            </w:tcMar>
          </w:tcPr>
          <w:p>
            <w:r>
              <w:rPr>
                <w:rFonts w:ascii="Arial" w:cs="Arial" w:eastAsia="Arial" w:hAnsi="Arial"/>
                <w:sz w:val="20"/>
                <w:szCs w:val="20"/>
              </w:rPr>
              <w:t xml:space="preserve">SVM TF-IDF : F1 = 0.987</w:t>
            </w:r>
          </w:p>
        </w:tc>
        <w:tc>
          <w:tcPr>
            <w:tcW w:type="dxa" w:w="3280"/>
            <w:tcBorders>
              <w:top w:val="single" w:color="CCCCCC" w:sz="1"/>
              <w:left w:val="single" w:color="CCCCCC" w:sz="1"/>
              <w:bottom w:val="single" w:color="CCCCCC" w:sz="1"/>
              <w:right w:val="single" w:color="CCCCCC" w:sz="1"/>
            </w:tcBorders>
            <w:shd w:fill="EDF3FB" w:val="clear"/>
            <w:tcMar>
              <w:top w:type="dxa" w:w="100"/>
              <w:left w:type="dxa" w:w="160"/>
              <w:bottom w:type="dxa" w:w="100"/>
              <w:right w:type="dxa" w:w="120"/>
            </w:tcMar>
          </w:tcPr>
          <w:p>
            <w:r>
              <w:rPr>
                <w:rFonts w:ascii="Arial" w:cs="Arial" w:eastAsia="Arial" w:hAnsi="Arial"/>
                <w:sz w:val="20"/>
                <w:szCs w:val="20"/>
              </w:rPr>
              <w:t xml:space="preserve">SVM TF-IDF seul : F1 = 0.939</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color w:val="1F4E79"/>
                <w:sz w:val="20"/>
                <w:szCs w:val="20"/>
              </w:rPr>
              <w:t xml:space="preserve">Anti-leakage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fit sur train uniquement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Split stratifié pré-vectorisation</w:t>
            </w:r>
          </w:p>
        </w:tc>
      </w:tr>
    </w:tbl>
    <w:p>
      <w:pPr>
        <w:spacing w:after="120"/>
      </w:pPr>
      <w:r>
        <w:rPr>
          <w:rFonts w:ascii="Arial" w:cs="Arial" w:eastAsia="Arial" w:hAnsi="Arial"/>
          <w:sz w:val="22"/>
          <w:szCs w:val="22"/>
        </w:rPr>
        <w:t xml:space="preserve"/>
      </w:r>
    </w:p>
    <w:p>
      <w:pPr>
        <w:spacing w:after="120"/>
        <w:jc w:val="left"/>
      </w:pPr>
      <w:r>
        <w:rPr>
          <w:rFonts w:ascii="Arial" w:cs="Arial" w:eastAsia="Arial" w:hAnsi="Arial"/>
          <w:sz w:val="22"/>
          <w:szCs w:val="22"/>
        </w:rPr>
        <w:t xml:space="preserve">Les deux projets partagent la même logique de prétraitement NLP. La principale différence réside dans les stratégies de vectorisation : le projet ISOT compare TF-IDF et Word2Vec entraîné sur mesure sur un large corpus (39 000 articles), tandis que TruthGuard exploite un TF-IDF étendu aux caractères et des embeddings pré-entraînés pour capter à la fois le style et le sens sémantique sur un corpus plus restreint (1 923 articles). Le TF-IDF reste dans les deux cas la représentation de référence.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d7c3723bf0177d4f9a62a3adb3004c2676c0b2e.png"/><Relationship Id="rId8" Type="http://schemas.openxmlformats.org/officeDocument/2006/relationships/image" Target="media/184dae001357b2e72d4f9ac773929b7404515cc4.png"/><Relationship Id="rId9" Type="http://schemas.openxmlformats.org/officeDocument/2006/relationships/image" Target="media/6715c439808f6de9ee3b8f2dc0c42662b3c81ab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2026-06-02T00:08:01.349Z</dcterms:created>
  <dcterms:modified xsi:type="dcterms:W3CDTF">2026-06-02T00:08:01.360Z</dcterms:modified>
</cp:coreProperties>
</file>

<file path=docProps/custom.xml><?xml version="1.0" encoding="utf-8"?>
<Properties xmlns="http://schemas.openxmlformats.org/officeDocument/2006/custom-properties" xmlns:vt="http://schemas.openxmlformats.org/officeDocument/2006/docPropsVTypes"/>
</file>