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line="280"/>
        <w:jc w:val="center"/>
      </w:pPr>
      <w:r>
        <w:rPr>
          <w:rFonts w:ascii="Arial" w:cs="Arial" w:eastAsia="Arial" w:hAnsi="Arial"/>
          <w:b/>
          <w:bCs/>
          <w:color w:val="1F4E79"/>
          <w:sz w:val="52"/>
          <w:szCs w:val="52"/>
        </w:rPr>
        <w:t xml:space="preserve">PROJET TRUTHGUARD</w:t>
      </w:r>
    </w:p>
    <w:p>
      <w:pPr>
        <w:spacing w:after="120" w:before="0" w:line="280"/>
        <w:jc w:val="center"/>
      </w:pPr>
      <w:r>
        <w:rPr>
          <w:rFonts w:ascii="Arial" w:cs="Arial" w:eastAsia="Arial" w:hAnsi="Arial"/>
          <w:i/>
          <w:iCs/>
          <w:color w:val="2E75B6"/>
          <w:sz w:val="26"/>
          <w:szCs w:val="26"/>
        </w:rPr>
        <w:t xml:space="preserve">Détection de Fake News par Apprentissage Automatique</w:t>
      </w:r>
    </w:p>
    <w:p>
      <w:pPr>
        <w:pBdr>
          <w:bottom w:val="single" w:color="2E75B6" w:sz="10" w:space="8"/>
        </w:pBdr>
        <w:spacing w:after="2400" w:before="0" w:line="280"/>
        <w:jc w:val="center"/>
      </w:pPr>
      <w:r>
        <w:t xml:space="preserve"/>
      </w:r>
    </w:p>
    <w:p>
      <w:pPr>
        <w:spacing w:after="80" w:before="400" w:line="280"/>
        <w:jc w:val="center"/>
      </w:pPr>
      <w:r>
        <w:rPr>
          <w:rFonts w:ascii="Arial" w:cs="Arial" w:eastAsia="Arial" w:hAnsi="Arial"/>
          <w:b/>
          <w:bCs/>
          <w:color w:val="1F4E79"/>
          <w:sz w:val="30"/>
          <w:szCs w:val="30"/>
        </w:rPr>
        <w:t xml:space="preserve">Chapitre 4</w:t>
      </w:r>
    </w:p>
    <w:p>
      <w:pPr>
        <w:spacing w:after="600" w:before="0" w:line="280"/>
        <w:jc w:val="center"/>
      </w:pPr>
      <w:r>
        <w:rPr>
          <w:rFonts w:ascii="Arial" w:cs="Arial" w:eastAsia="Arial" w:hAnsi="Arial"/>
          <w:b/>
          <w:bCs/>
          <w:color w:val="2E75B6"/>
          <w:sz w:val="38"/>
          <w:szCs w:val="38"/>
        </w:rPr>
        <w:t xml:space="preserve">Prétraitement des Données NLP</w:t>
      </w:r>
    </w:p>
    <w:p>
      <w:pPr>
        <w:spacing w:after="80" w:before="0" w:line="280"/>
        <w:jc w:val="center"/>
      </w:pPr>
      <w:r>
        <w:rPr>
          <w:rFonts w:ascii="Arial" w:cs="Arial" w:eastAsia="Arial" w:hAnsi="Arial"/>
          <w:color w:val="555555"/>
          <w:sz w:val="22"/>
          <w:szCs w:val="22"/>
        </w:rPr>
        <w:t xml:space="preserve">Datasets utilisés :</w:t>
      </w:r>
    </w:p>
    <w:p>
      <w:pPr>
        <w:spacing w:after="80" w:before="0" w:line="280"/>
        <w:jc w:val="center"/>
      </w:pPr>
      <w:r>
        <w:rPr>
          <w:rFonts w:ascii="Arial" w:cs="Arial" w:eastAsia="Arial" w:hAnsi="Arial"/>
          <w:b/>
          <w:bCs/>
          <w:color w:val="1F4E79"/>
          <w:sz w:val="22"/>
          <w:szCs w:val="22"/>
        </w:rPr>
        <w:t xml:space="preserve">ISOT Fake News  •  FakeNewsNet  •  Dataset Fusionné</w:t>
      </w:r>
    </w:p>
    <w:p>
      <w:pPr>
        <w:pBdr>
          <w:bottom w:val="single" w:color="2E75B6" w:sz="6" w:space="1"/>
        </w:pBdr>
        <w:spacing w:after="200" w:before="200" w:line="280"/>
      </w:pPr>
      <w:r>
        <w:t xml:space="preserve"/>
      </w:r>
    </w:p>
    <w:p>
      <w:pPr>
        <w:pStyle w:val="Heading1"/>
        <w:spacing w:after="180" w:before="360" w:line="280"/>
      </w:pPr>
      <w:r>
        <w:rPr>
          <w:rFonts w:ascii="Arial" w:cs="Arial" w:eastAsia="Arial" w:hAnsi="Arial"/>
          <w:b/>
          <w:bCs/>
          <w:color w:val="1F4E79"/>
          <w:sz w:val="30"/>
          <w:szCs w:val="30"/>
        </w:rPr>
        <w:t xml:space="preserve">Chapitre 4 : Prétraitement des Données NLP</w:t>
      </w:r>
    </w:p>
    <w:p>
      <w:pPr>
        <w:pBdr>
          <w:bottom w:val="single" w:color="2E75B6" w:sz="6" w:space="1"/>
        </w:pBdr>
        <w:spacing w:after="200" w:before="200" w:line="280"/>
      </w:pPr>
      <w:r>
        <w:t xml:space="preserve"/>
      </w:r>
    </w:p>
    <w:p>
      <w:pPr>
        <w:spacing w:after="100" w:before="60" w:line="320"/>
        <w:jc w:val="both"/>
      </w:pPr>
      <w:r>
        <w:rPr>
          <w:rFonts w:ascii="Arial" w:cs="Arial" w:eastAsia="Arial" w:hAnsi="Arial"/>
          <w:color w:val="404040"/>
          <w:sz w:val="21"/>
          <w:szCs w:val="21"/>
        </w:rPr>
        <w:t xml:space="preserve">Le prétraitement des données constitue une étape fondamentale dans tout pipeline de traitement automatique du langage naturel (NLP). Dans le cadre du projet TruthGuard, trois datasets ont été utilisés : ISOT Fake News, FakeNewsNet et un dataset fusionné. Chaque source présentant des caractéristiques propres, un pipeline unifié a été conçu pour garantir des représentations textuelles homogènes et de qualité.</w:t>
      </w:r>
    </w:p>
    <w:p>
      <w:pPr>
        <w:spacing w:after="80" w:before="0"/>
      </w:pPr>
      <w:r>
        <w:t xml:space="preserve"/>
      </w:r>
    </w:p>
    <w:p>
      <w:pPr>
        <w:pStyle w:val="Heading2"/>
        <w:spacing w:after="140" w:before="260" w:line="280"/>
      </w:pPr>
      <w:r>
        <w:rPr>
          <w:rFonts w:ascii="Arial" w:cs="Arial" w:eastAsia="Arial" w:hAnsi="Arial"/>
          <w:b/>
          <w:bCs/>
          <w:color w:val="2E75B6"/>
          <w:sz w:val="26"/>
          <w:szCs w:val="26"/>
        </w:rPr>
        <w:t xml:space="preserve">4.0  Vue d'ensemble des Datasets</w:t>
      </w:r>
    </w:p>
    <w:p>
      <w:pPr>
        <w:spacing w:after="60" w:before="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1800"/>
        <w:gridCol w:w="1620"/>
      </w:tblGrid>
      <w:tr>
        <w:trPr>
          <w:tblHeader/>
        </w:trPr>
        <w:tc>
          <w:tcPr>
            <w:tcW w:type="dxa" w:w="3240"/>
            <w:tcBorders>
              <w:top w:val="single" w:color="ADB9CA" w:sz="1"/>
              <w:left w:val="single" w:color="ADB9CA" w:sz="1"/>
              <w:bottom w:val="single" w:color="ADB9CA" w:sz="1"/>
              <w:right w:val="single" w:color="ADB9CA" w:sz="1"/>
            </w:tcBorders>
            <w:shd w:fill="1F4E79"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Dataset</w:t>
            </w:r>
          </w:p>
        </w:tc>
        <w:tc>
          <w:tcPr>
            <w:tcW w:type="dxa" w:w="1800"/>
            <w:tcBorders>
              <w:top w:val="single" w:color="ADB9CA" w:sz="1"/>
              <w:left w:val="single" w:color="ADB9CA" w:sz="1"/>
              <w:bottom w:val="single" w:color="ADB9CA" w:sz="1"/>
              <w:right w:val="single" w:color="ADB9CA" w:sz="1"/>
            </w:tcBorders>
            <w:shd w:fill="1F4E79"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Articles réels</w:t>
            </w:r>
          </w:p>
        </w:tc>
        <w:tc>
          <w:tcPr>
            <w:tcW w:type="dxa" w:w="1800"/>
            <w:tcBorders>
              <w:top w:val="single" w:color="ADB9CA" w:sz="1"/>
              <w:left w:val="single" w:color="ADB9CA" w:sz="1"/>
              <w:bottom w:val="single" w:color="ADB9CA" w:sz="1"/>
              <w:right w:val="single" w:color="ADB9CA" w:sz="1"/>
            </w:tcBorders>
            <w:shd w:fill="1F4E79"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Articles faux</w:t>
            </w:r>
          </w:p>
        </w:tc>
        <w:tc>
          <w:tcPr>
            <w:tcW w:type="dxa" w:w="1620"/>
            <w:tcBorders>
              <w:top w:val="single" w:color="ADB9CA" w:sz="1"/>
              <w:left w:val="single" w:color="ADB9CA" w:sz="1"/>
              <w:bottom w:val="single" w:color="ADB9CA" w:sz="1"/>
              <w:right w:val="single" w:color="ADB9CA" w:sz="1"/>
            </w:tcBorders>
            <w:shd w:fill="1F4E79"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Total</w:t>
            </w:r>
          </w:p>
        </w:tc>
      </w:tr>
      <w:tr>
        <w:tc>
          <w:tcPr>
            <w:tcW w:type="dxa" w:w="324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left"/>
            </w:pPr>
            <w:r>
              <w:rPr>
                <w:rFonts w:ascii="Arial" w:cs="Arial" w:eastAsia="Arial" w:hAnsi="Arial"/>
                <w:color w:val="404040"/>
                <w:sz w:val="19"/>
                <w:szCs w:val="19"/>
              </w:rPr>
              <w:t xml:space="preserve">ISOT Fake News</w:t>
            </w:r>
          </w:p>
        </w:tc>
        <w:tc>
          <w:tcPr>
            <w:tcW w:type="dxa" w:w="180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center"/>
            </w:pPr>
            <w:r>
              <w:rPr>
                <w:rFonts w:ascii="Arial" w:cs="Arial" w:eastAsia="Arial" w:hAnsi="Arial"/>
                <w:color w:val="404040"/>
                <w:sz w:val="19"/>
                <w:szCs w:val="19"/>
              </w:rPr>
              <w:t xml:space="preserve">21 417</w:t>
            </w:r>
          </w:p>
        </w:tc>
        <w:tc>
          <w:tcPr>
            <w:tcW w:type="dxa" w:w="180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center"/>
            </w:pPr>
            <w:r>
              <w:rPr>
                <w:rFonts w:ascii="Arial" w:cs="Arial" w:eastAsia="Arial" w:hAnsi="Arial"/>
                <w:color w:val="404040"/>
                <w:sz w:val="19"/>
                <w:szCs w:val="19"/>
              </w:rPr>
              <w:t xml:space="preserve">23 481</w:t>
            </w:r>
          </w:p>
        </w:tc>
        <w:tc>
          <w:tcPr>
            <w:tcW w:type="dxa" w:w="162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center"/>
            </w:pPr>
            <w:r>
              <w:rPr>
                <w:rFonts w:ascii="Arial" w:cs="Arial" w:eastAsia="Arial" w:hAnsi="Arial"/>
                <w:color w:val="404040"/>
                <w:sz w:val="19"/>
                <w:szCs w:val="19"/>
              </w:rPr>
              <w:t xml:space="preserve">44 898</w:t>
            </w:r>
          </w:p>
        </w:tc>
      </w:tr>
      <w:tr>
        <w:tc>
          <w:tcPr>
            <w:tcW w:type="dxa" w:w="3240"/>
            <w:tcBorders>
              <w:top w:val="single" w:color="ADB9CA" w:sz="1"/>
              <w:left w:val="single" w:color="ADB9CA" w:sz="1"/>
              <w:bottom w:val="single" w:color="ADB9CA" w:sz="1"/>
              <w:right w:val="single" w:color="ADB9CA" w:sz="1"/>
            </w:tcBorders>
            <w:shd w:fill="FFFFFF" w:val="clear"/>
            <w:tcMar>
              <w:top w:type="dxa" w:w="70"/>
              <w:left w:type="dxa" w:w="140"/>
              <w:bottom w:type="dxa" w:w="70"/>
              <w:right w:type="dxa" w:w="140"/>
            </w:tcMar>
          </w:tcPr>
          <w:p>
            <w:pPr>
              <w:jc w:val="left"/>
            </w:pPr>
            <w:r>
              <w:rPr>
                <w:rFonts w:ascii="Arial" w:cs="Arial" w:eastAsia="Arial" w:hAnsi="Arial"/>
                <w:color w:val="404040"/>
                <w:sz w:val="19"/>
                <w:szCs w:val="19"/>
              </w:rPr>
              <w:t xml:space="preserve">FakeNewsNet</w:t>
            </w:r>
          </w:p>
        </w:tc>
        <w:tc>
          <w:tcPr>
            <w:tcW w:type="dxa" w:w="1800"/>
            <w:tcBorders>
              <w:top w:val="single" w:color="ADB9CA" w:sz="1"/>
              <w:left w:val="single" w:color="ADB9CA" w:sz="1"/>
              <w:bottom w:val="single" w:color="ADB9CA" w:sz="1"/>
              <w:right w:val="single" w:color="ADB9CA" w:sz="1"/>
            </w:tcBorders>
            <w:shd w:fill="FFFFFF" w:val="clear"/>
            <w:tcMar>
              <w:top w:type="dxa" w:w="70"/>
              <w:left w:type="dxa" w:w="140"/>
              <w:bottom w:type="dxa" w:w="70"/>
              <w:right w:type="dxa" w:w="140"/>
            </w:tcMar>
          </w:tcPr>
          <w:p>
            <w:pPr>
              <w:jc w:val="center"/>
            </w:pPr>
            <w:r>
              <w:rPr>
                <w:rFonts w:ascii="Arial" w:cs="Arial" w:eastAsia="Arial" w:hAnsi="Arial"/>
                <w:color w:val="404040"/>
                <w:sz w:val="19"/>
                <w:szCs w:val="19"/>
              </w:rPr>
              <w:t xml:space="preserve">~3 600</w:t>
            </w:r>
          </w:p>
        </w:tc>
        <w:tc>
          <w:tcPr>
            <w:tcW w:type="dxa" w:w="1800"/>
            <w:tcBorders>
              <w:top w:val="single" w:color="ADB9CA" w:sz="1"/>
              <w:left w:val="single" w:color="ADB9CA" w:sz="1"/>
              <w:bottom w:val="single" w:color="ADB9CA" w:sz="1"/>
              <w:right w:val="single" w:color="ADB9CA" w:sz="1"/>
            </w:tcBorders>
            <w:shd w:fill="FFFFFF" w:val="clear"/>
            <w:tcMar>
              <w:top w:type="dxa" w:w="70"/>
              <w:left w:type="dxa" w:w="140"/>
              <w:bottom w:type="dxa" w:w="70"/>
              <w:right w:type="dxa" w:w="140"/>
            </w:tcMar>
          </w:tcPr>
          <w:p>
            <w:pPr>
              <w:jc w:val="center"/>
            </w:pPr>
            <w:r>
              <w:rPr>
                <w:rFonts w:ascii="Arial" w:cs="Arial" w:eastAsia="Arial" w:hAnsi="Arial"/>
                <w:color w:val="404040"/>
                <w:sz w:val="19"/>
                <w:szCs w:val="19"/>
              </w:rPr>
              <w:t xml:space="preserve">~3 900</w:t>
            </w:r>
          </w:p>
        </w:tc>
        <w:tc>
          <w:tcPr>
            <w:tcW w:type="dxa" w:w="1620"/>
            <w:tcBorders>
              <w:top w:val="single" w:color="ADB9CA" w:sz="1"/>
              <w:left w:val="single" w:color="ADB9CA" w:sz="1"/>
              <w:bottom w:val="single" w:color="ADB9CA" w:sz="1"/>
              <w:right w:val="single" w:color="ADB9CA" w:sz="1"/>
            </w:tcBorders>
            <w:shd w:fill="FFFFFF" w:val="clear"/>
            <w:tcMar>
              <w:top w:type="dxa" w:w="70"/>
              <w:left w:type="dxa" w:w="140"/>
              <w:bottom w:type="dxa" w:w="70"/>
              <w:right w:type="dxa" w:w="140"/>
            </w:tcMar>
          </w:tcPr>
          <w:p>
            <w:pPr>
              <w:jc w:val="center"/>
            </w:pPr>
            <w:r>
              <w:rPr>
                <w:rFonts w:ascii="Arial" w:cs="Arial" w:eastAsia="Arial" w:hAnsi="Arial"/>
                <w:color w:val="404040"/>
                <w:sz w:val="19"/>
                <w:szCs w:val="19"/>
              </w:rPr>
              <w:t xml:space="preserve">~7 500</w:t>
            </w:r>
          </w:p>
        </w:tc>
      </w:tr>
      <w:tr>
        <w:tc>
          <w:tcPr>
            <w:tcW w:type="dxa" w:w="324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left"/>
            </w:pPr>
            <w:r>
              <w:rPr>
                <w:rFonts w:ascii="Arial" w:cs="Arial" w:eastAsia="Arial" w:hAnsi="Arial"/>
                <w:color w:val="404040"/>
                <w:sz w:val="19"/>
                <w:szCs w:val="19"/>
              </w:rPr>
              <w:t xml:space="preserve">Dataset Fusionné</w:t>
            </w:r>
          </w:p>
        </w:tc>
        <w:tc>
          <w:tcPr>
            <w:tcW w:type="dxa" w:w="180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center"/>
            </w:pPr>
            <w:r>
              <w:rPr>
                <w:rFonts w:ascii="Arial" w:cs="Arial" w:eastAsia="Arial" w:hAnsi="Arial"/>
                <w:color w:val="404040"/>
                <w:sz w:val="19"/>
                <w:szCs w:val="19"/>
              </w:rPr>
              <w:t xml:space="preserve">~25 000</w:t>
            </w:r>
          </w:p>
        </w:tc>
        <w:tc>
          <w:tcPr>
            <w:tcW w:type="dxa" w:w="180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center"/>
            </w:pPr>
            <w:r>
              <w:rPr>
                <w:rFonts w:ascii="Arial" w:cs="Arial" w:eastAsia="Arial" w:hAnsi="Arial"/>
                <w:color w:val="404040"/>
                <w:sz w:val="19"/>
                <w:szCs w:val="19"/>
              </w:rPr>
              <w:t xml:space="preserve">~27 000</w:t>
            </w:r>
          </w:p>
        </w:tc>
        <w:tc>
          <w:tcPr>
            <w:tcW w:type="dxa" w:w="162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center"/>
            </w:pPr>
            <w:r>
              <w:rPr>
                <w:rFonts w:ascii="Arial" w:cs="Arial" w:eastAsia="Arial" w:hAnsi="Arial"/>
                <w:color w:val="404040"/>
                <w:sz w:val="19"/>
                <w:szCs w:val="19"/>
              </w:rPr>
              <w:t xml:space="preserve">~52 000</w:t>
            </w:r>
          </w:p>
        </w:tc>
      </w:tr>
    </w:tbl>
    <w:p>
      <w:pPr>
        <w:spacing w:after="80" w:before="0"/>
      </w:pPr>
      <w:r>
        <w:t xml:space="preserve"/>
      </w:r>
    </w:p>
    <w:p>
      <w:pPr>
        <w:pBdr>
          <w:bottom w:val="single" w:color="2E75B6" w:sz="6" w:space="1"/>
        </w:pBdr>
        <w:spacing w:after="200" w:before="200" w:line="280"/>
      </w:pPr>
      <w:r>
        <w:t xml:space="preserve"/>
      </w:r>
    </w:p>
    <w:p>
      <w:pPr>
        <w:pStyle w:val="Heading2"/>
        <w:spacing w:after="140" w:before="260" w:line="280"/>
      </w:pPr>
      <w:r>
        <w:rPr>
          <w:rFonts w:ascii="Arial" w:cs="Arial" w:eastAsia="Arial" w:hAnsi="Arial"/>
          <w:b/>
          <w:bCs/>
          <w:color w:val="2E75B6"/>
          <w:sz w:val="26"/>
          <w:szCs w:val="26"/>
        </w:rPr>
        <w:t xml:space="preserve">4.1  Nettoyage des Données</w:t>
      </w:r>
    </w:p>
    <w:p>
      <w:pPr>
        <w:spacing w:after="100" w:before="60" w:line="320"/>
        <w:jc w:val="both"/>
      </w:pPr>
      <w:r>
        <w:rPr>
          <w:rFonts w:ascii="Arial" w:cs="Arial" w:eastAsia="Arial" w:hAnsi="Arial"/>
          <w:color w:val="404040"/>
          <w:sz w:val="21"/>
          <w:szCs w:val="21"/>
        </w:rPr>
        <w:t xml:space="preserve">Le nettoyage vise à éliminer les enregistrements parasites avant toute transformation linguistique. Trois opérations principales sont appliquées sur les trois datasets :</w:t>
      </w:r>
    </w:p>
    <w:p>
      <w:pPr>
        <w:spacing w:after="60" w:before="0"/>
      </w:pPr>
      <w:r>
        <w:t xml:space="preserve"/>
      </w:r>
    </w:p>
    <w:p>
      <w:pPr>
        <w:pStyle w:val="ListParagraph"/>
        <w:numPr>
          <w:ilvl w:val="0"/>
          <w:numId w:val="2"/>
        </w:numPr>
        <w:spacing w:after="50" w:before="50" w:line="300"/>
      </w:pPr>
      <w:r>
        <w:rPr>
          <w:rFonts w:ascii="Arial" w:cs="Arial" w:eastAsia="Arial" w:hAnsi="Arial"/>
          <w:color w:val="404040"/>
          <w:sz w:val="21"/>
          <w:szCs w:val="21"/>
        </w:rPr>
        <w:t xml:space="preserve">Suppression des doublons : les articles dupliqués issus de fusions de sources sont retirés sur la colonne textuelle principale.</w:t>
      </w:r>
    </w:p>
    <w:p>
      <w:pPr>
        <w:pStyle w:val="ListParagraph"/>
        <w:numPr>
          <w:ilvl w:val="0"/>
          <w:numId w:val="2"/>
        </w:numPr>
        <w:spacing w:after="50" w:before="50" w:line="300"/>
      </w:pPr>
      <w:r>
        <w:rPr>
          <w:rFonts w:ascii="Arial" w:cs="Arial" w:eastAsia="Arial" w:hAnsi="Arial"/>
          <w:color w:val="404040"/>
          <w:sz w:val="21"/>
          <w:szCs w:val="21"/>
        </w:rPr>
        <w:t xml:space="preserve">Suppression des valeurs manquantes : les lignes sans texte ou sans label sont écartées.</w:t>
      </w:r>
    </w:p>
    <w:p>
      <w:pPr>
        <w:pStyle w:val="ListParagraph"/>
        <w:numPr>
          <w:ilvl w:val="0"/>
          <w:numId w:val="2"/>
        </w:numPr>
        <w:spacing w:after="50" w:before="50" w:line="300"/>
      </w:pPr>
      <w:r>
        <w:rPr>
          <w:rFonts w:ascii="Arial" w:cs="Arial" w:eastAsia="Arial" w:hAnsi="Arial"/>
          <w:color w:val="404040"/>
          <w:sz w:val="21"/>
          <w:szCs w:val="21"/>
        </w:rPr>
        <w:t xml:space="preserve">Filtrage des textes trop courts : les articles de moins de 5 mots (avant NLP) et de moins de 3 mots (après NLP) sont supprimés, car ils ne fournissent pas suffisamment d'information discriminante.</w:t>
      </w:r>
    </w:p>
    <w:p>
      <w:pPr>
        <w:spacing w:after="80" w:before="0"/>
      </w:pPr>
      <w:r>
        <w:t xml:space="preserve"/>
      </w:r>
    </w:p>
    <w:p>
      <w:pPr>
        <w:spacing w:after="60" w:before="120" w:line="280"/>
        <w:jc w:val="center"/>
      </w:pPr>
      <w:r>
        <w:drawing>
          <wp:inline distT="0" distB="0" distL="0" distR="0">
            <wp:extent cx="4953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809750"/>
                    </a:xfrm>
                    <a:prstGeom prst="rect">
                      <a:avLst/>
                    </a:prstGeom>
                  </pic:spPr>
                </pic:pic>
              </a:graphicData>
            </a:graphic>
          </wp:inline>
        </w:drawing>
      </w:r>
    </w:p>
    <w:p>
      <w:pPr>
        <w:spacing w:after="160" w:before="60" w:line="280"/>
        <w:jc w:val="center"/>
      </w:pPr>
      <w:r>
        <w:rPr>
          <w:rFonts w:ascii="Arial" w:cs="Arial" w:eastAsia="Arial" w:hAnsi="Arial"/>
          <w:i/>
          <w:iCs/>
          <w:color w:val="666666"/>
          <w:sz w:val="18"/>
          <w:szCs w:val="18"/>
        </w:rPr>
        <w:t xml:space="preserve">Figure 4.1 — Impact du nettoyage structurel sur les trois datasets et taux de compression NLP moyen</w:t>
      </w:r>
    </w:p>
    <w:p>
      <w:pPr>
        <w:spacing w:after="80" w:before="0"/>
      </w:pPr>
      <w:r>
        <w:t xml:space="preserve"/>
      </w:r>
    </w:p>
    <w:p>
      <w:pPr>
        <w:spacing w:after="100" w:before="60" w:line="320"/>
        <w:jc w:val="both"/>
      </w:pPr>
      <w:r>
        <w:rPr>
          <w:rFonts w:ascii="Arial" w:cs="Arial" w:eastAsia="Arial" w:hAnsi="Arial"/>
          <w:color w:val="404040"/>
          <w:sz w:val="21"/>
          <w:szCs w:val="21"/>
        </w:rPr>
        <w:t xml:space="preserve">Les graphiques ci-dessus illustrent le faible taux de perte lors du nettoyage (moins de 1% des articles), confirmant la bonne qualité des données brutes. Le taux de compression après l'ensemble du pipeline NLP (suppression des stopwords, lemmatisation) atteint en moyenne 40 à 43% du nombre de tokens initiaux.</w:t>
      </w:r>
    </w:p>
    <w:p>
      <w:pPr>
        <w:spacing w:after="80" w:before="0"/>
      </w:pPr>
      <w:r>
        <w:t xml:space="preserve"/>
      </w:r>
    </w:p>
    <w:p>
      <w:pPr>
        <w:pBdr>
          <w:bottom w:val="single" w:color="2E75B6" w:sz="6" w:space="1"/>
        </w:pBdr>
        <w:spacing w:after="200" w:before="200" w:line="280"/>
      </w:pPr>
      <w:r>
        <w:t xml:space="preserve"/>
      </w:r>
    </w:p>
    <w:p>
      <w:pPr>
        <w:pStyle w:val="Heading2"/>
        <w:spacing w:after="140" w:before="260" w:line="280"/>
      </w:pPr>
      <w:r>
        <w:rPr>
          <w:rFonts w:ascii="Arial" w:cs="Arial" w:eastAsia="Arial" w:hAnsi="Arial"/>
          <w:b/>
          <w:bCs/>
          <w:color w:val="2E75B6"/>
          <w:sz w:val="26"/>
          <w:szCs w:val="26"/>
        </w:rPr>
        <w:t xml:space="preserve">4.2  Normalisation du Texte</w:t>
      </w:r>
    </w:p>
    <w:p>
      <w:pPr>
        <w:spacing w:after="100" w:before="60" w:line="320"/>
        <w:jc w:val="both"/>
      </w:pPr>
      <w:r>
        <w:rPr>
          <w:rFonts w:ascii="Arial" w:cs="Arial" w:eastAsia="Arial" w:hAnsi="Arial"/>
          <w:color w:val="404040"/>
          <w:sz w:val="21"/>
          <w:szCs w:val="21"/>
        </w:rPr>
        <w:t xml:space="preserve">La normalisation harmonise la forme des textes avant la tokenisation. Elle est réalisée au sein d'une fonction unifiée clean_text() appliquée sur les trois datasets. Les transformations successives sont les suivantes :</w:t>
      </w:r>
    </w:p>
    <w:p>
      <w:pPr>
        <w:spacing w:after="60" w:before="0"/>
      </w:pPr>
      <w:r>
        <w:t xml:space="preserve"/>
      </w:r>
    </w:p>
    <w:p>
      <w:pPr>
        <w:pStyle w:val="ListParagraph"/>
        <w:numPr>
          <w:ilvl w:val="0"/>
          <w:numId w:val="2"/>
        </w:numPr>
        <w:spacing w:after="50" w:before="50" w:line="300"/>
      </w:pPr>
      <w:r>
        <w:rPr>
          <w:rFonts w:ascii="Arial" w:cs="Arial" w:eastAsia="Arial" w:hAnsi="Arial"/>
          <w:color w:val="404040"/>
          <w:sz w:val="21"/>
          <w:szCs w:val="21"/>
        </w:rPr>
        <w:t xml:space="preserve">Conversion en minuscules : supprime les variations de casse sans signification sémantique.</w:t>
      </w:r>
    </w:p>
    <w:p>
      <w:pPr>
        <w:pStyle w:val="ListParagraph"/>
        <w:numPr>
          <w:ilvl w:val="0"/>
          <w:numId w:val="2"/>
        </w:numPr>
        <w:spacing w:after="50" w:before="50" w:line="300"/>
      </w:pPr>
      <w:r>
        <w:rPr>
          <w:rFonts w:ascii="Arial" w:cs="Arial" w:eastAsia="Arial" w:hAnsi="Arial"/>
          <w:color w:val="404040"/>
          <w:sz w:val="21"/>
          <w:szCs w:val="21"/>
        </w:rPr>
        <w:t xml:space="preserve">Suppression des URLs et balises HTML : élimine les artefacts de scraping web.</w:t>
      </w:r>
    </w:p>
    <w:p>
      <w:pPr>
        <w:pStyle w:val="ListParagraph"/>
        <w:numPr>
          <w:ilvl w:val="0"/>
          <w:numId w:val="2"/>
        </w:numPr>
        <w:spacing w:after="50" w:before="50" w:line="300"/>
      </w:pPr>
      <w:r>
        <w:rPr>
          <w:rFonts w:ascii="Arial" w:cs="Arial" w:eastAsia="Arial" w:hAnsi="Arial"/>
          <w:color w:val="404040"/>
          <w:sz w:val="21"/>
          <w:szCs w:val="21"/>
        </w:rPr>
        <w:t xml:space="preserve">Suppression de la ponctuation et des chiffres : seules les lettres de l'alphabet latin sont conservées.</w:t>
      </w:r>
    </w:p>
    <w:p>
      <w:pPr>
        <w:pStyle w:val="ListParagraph"/>
        <w:numPr>
          <w:ilvl w:val="0"/>
          <w:numId w:val="2"/>
        </w:numPr>
        <w:spacing w:after="50" w:before="50" w:line="300"/>
      </w:pPr>
      <w:r>
        <w:rPr>
          <w:rFonts w:ascii="Arial" w:cs="Arial" w:eastAsia="Arial" w:hAnsi="Arial"/>
          <w:color w:val="404040"/>
          <w:sz w:val="21"/>
          <w:szCs w:val="21"/>
        </w:rPr>
        <w:t xml:space="preserve">Normalisation des espaces : les espaces multiples sont remplacés par un espace unique.</w:t>
      </w:r>
    </w:p>
    <w:p>
      <w:pPr>
        <w:spacing w:after="80" w:before="0"/>
      </w:pPr>
      <w:r>
        <w:t xml:space="preserve"/>
      </w:r>
    </w:p>
    <w:p>
      <w:pPr>
        <w:spacing w:after="100" w:before="60" w:line="320"/>
        <w:jc w:val="both"/>
      </w:pPr>
      <w:r>
        <w:rPr>
          <w:rFonts w:ascii="Arial" w:cs="Arial" w:eastAsia="Arial" w:hAnsi="Arial"/>
          <w:b/>
          <w:bCs/>
          <w:color w:val="404040"/>
          <w:sz w:val="21"/>
          <w:szCs w:val="21"/>
        </w:rPr>
        <w:t xml:space="preserve">Extraction des features stylistiques. </w:t>
      </w:r>
      <w:r>
        <w:rPr>
          <w:rFonts w:ascii="Arial" w:cs="Arial" w:eastAsia="Arial" w:hAnsi="Arial"/>
          <w:color w:val="404040"/>
          <w:sz w:val="21"/>
          <w:szCs w:val="21"/>
        </w:rPr>
        <w:t xml:space="preserve">Avant la normalisation complète, des indicateurs comportementaux sont calculés sur le texte brut : ratio de majuscules, nombre de points d'exclamation, longueur moyenne des phrases, richesse lexicale (Type-Token Ratio). Ces 8 features serviront de représentation complémentaire pour la classification.</w:t>
      </w:r>
    </w:p>
    <w:p>
      <w:pPr>
        <w:spacing w:after="80" w:before="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420"/>
        <w:gridCol w:w="5040"/>
      </w:tblGrid>
      <w:tr>
        <w:trPr>
          <w:tblHeader/>
        </w:trPr>
        <w:tc>
          <w:tcPr>
            <w:tcW w:type="dxa" w:w="3420"/>
            <w:tcBorders>
              <w:top w:val="single" w:color="ADB9CA" w:sz="1"/>
              <w:left w:val="single" w:color="ADB9CA" w:sz="1"/>
              <w:bottom w:val="single" w:color="ADB9CA" w:sz="1"/>
              <w:right w:val="single" w:color="ADB9CA" w:sz="1"/>
            </w:tcBorders>
            <w:shd w:fill="1F4E79"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Feature stylistique</w:t>
            </w:r>
          </w:p>
        </w:tc>
        <w:tc>
          <w:tcPr>
            <w:tcW w:type="dxa" w:w="5040"/>
            <w:tcBorders>
              <w:top w:val="single" w:color="ADB9CA" w:sz="1"/>
              <w:left w:val="single" w:color="ADB9CA" w:sz="1"/>
              <w:bottom w:val="single" w:color="ADB9CA" w:sz="1"/>
              <w:right w:val="single" w:color="ADB9CA" w:sz="1"/>
            </w:tcBorders>
            <w:shd w:fill="1F4E79"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Description</w:t>
            </w:r>
          </w:p>
        </w:tc>
      </w:tr>
      <w:tr>
        <w:tc>
          <w:tcPr>
            <w:tcW w:type="dxa" w:w="342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left"/>
            </w:pPr>
            <w:r>
              <w:rPr>
                <w:rFonts w:ascii="Arial" w:cs="Arial" w:eastAsia="Arial" w:hAnsi="Arial"/>
                <w:color w:val="404040"/>
                <w:sz w:val="19"/>
                <w:szCs w:val="19"/>
              </w:rPr>
              <w:t xml:space="preserve">upper_ratio</w:t>
            </w:r>
          </w:p>
        </w:tc>
        <w:tc>
          <w:tcPr>
            <w:tcW w:type="dxa" w:w="504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center"/>
            </w:pPr>
            <w:r>
              <w:rPr>
                <w:rFonts w:ascii="Arial" w:cs="Arial" w:eastAsia="Arial" w:hAnsi="Arial"/>
                <w:color w:val="404040"/>
                <w:sz w:val="19"/>
                <w:szCs w:val="19"/>
              </w:rPr>
              <w:t xml:space="preserve">Proportion de lettres majuscules dans le texte</w:t>
            </w:r>
          </w:p>
        </w:tc>
      </w:tr>
      <w:tr>
        <w:tc>
          <w:tcPr>
            <w:tcW w:type="dxa" w:w="3420"/>
            <w:tcBorders>
              <w:top w:val="single" w:color="ADB9CA" w:sz="1"/>
              <w:left w:val="single" w:color="ADB9CA" w:sz="1"/>
              <w:bottom w:val="single" w:color="ADB9CA" w:sz="1"/>
              <w:right w:val="single" w:color="ADB9CA" w:sz="1"/>
            </w:tcBorders>
            <w:shd w:fill="FFFFFF" w:val="clear"/>
            <w:tcMar>
              <w:top w:type="dxa" w:w="70"/>
              <w:left w:type="dxa" w:w="140"/>
              <w:bottom w:type="dxa" w:w="70"/>
              <w:right w:type="dxa" w:w="140"/>
            </w:tcMar>
          </w:tcPr>
          <w:p>
            <w:pPr>
              <w:jc w:val="left"/>
            </w:pPr>
            <w:r>
              <w:rPr>
                <w:rFonts w:ascii="Arial" w:cs="Arial" w:eastAsia="Arial" w:hAnsi="Arial"/>
                <w:color w:val="404040"/>
                <w:sz w:val="19"/>
                <w:szCs w:val="19"/>
              </w:rPr>
              <w:t xml:space="preserve">upper_word_ratio</w:t>
            </w:r>
          </w:p>
        </w:tc>
        <w:tc>
          <w:tcPr>
            <w:tcW w:type="dxa" w:w="5040"/>
            <w:tcBorders>
              <w:top w:val="single" w:color="ADB9CA" w:sz="1"/>
              <w:left w:val="single" w:color="ADB9CA" w:sz="1"/>
              <w:bottom w:val="single" w:color="ADB9CA" w:sz="1"/>
              <w:right w:val="single" w:color="ADB9CA" w:sz="1"/>
            </w:tcBorders>
            <w:shd w:fill="FFFFFF" w:val="clear"/>
            <w:tcMar>
              <w:top w:type="dxa" w:w="70"/>
              <w:left w:type="dxa" w:w="140"/>
              <w:bottom w:type="dxa" w:w="70"/>
              <w:right w:type="dxa" w:w="140"/>
            </w:tcMar>
          </w:tcPr>
          <w:p>
            <w:pPr>
              <w:jc w:val="center"/>
            </w:pPr>
            <w:r>
              <w:rPr>
                <w:rFonts w:ascii="Arial" w:cs="Arial" w:eastAsia="Arial" w:hAnsi="Arial"/>
                <w:color w:val="404040"/>
                <w:sz w:val="19"/>
                <w:szCs w:val="19"/>
              </w:rPr>
              <w:t xml:space="preserve">Proportion de mots entièrement en majuscules</w:t>
            </w:r>
          </w:p>
        </w:tc>
      </w:tr>
      <w:tr>
        <w:tc>
          <w:tcPr>
            <w:tcW w:type="dxa" w:w="342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left"/>
            </w:pPr>
            <w:r>
              <w:rPr>
                <w:rFonts w:ascii="Arial" w:cs="Arial" w:eastAsia="Arial" w:hAnsi="Arial"/>
                <w:color w:val="404040"/>
                <w:sz w:val="19"/>
                <w:szCs w:val="19"/>
              </w:rPr>
              <w:t xml:space="preserve">excl_count / quest_count</w:t>
            </w:r>
          </w:p>
        </w:tc>
        <w:tc>
          <w:tcPr>
            <w:tcW w:type="dxa" w:w="504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center"/>
            </w:pPr>
            <w:r>
              <w:rPr>
                <w:rFonts w:ascii="Arial" w:cs="Arial" w:eastAsia="Arial" w:hAnsi="Arial"/>
                <w:color w:val="404040"/>
                <w:sz w:val="19"/>
                <w:szCs w:val="19"/>
              </w:rPr>
              <w:t xml:space="preserve">Nombre de ! et ? (indicateurs de ton émotionnel)</w:t>
            </w:r>
          </w:p>
        </w:tc>
      </w:tr>
      <w:tr>
        <w:tc>
          <w:tcPr>
            <w:tcW w:type="dxa" w:w="3420"/>
            <w:tcBorders>
              <w:top w:val="single" w:color="ADB9CA" w:sz="1"/>
              <w:left w:val="single" w:color="ADB9CA" w:sz="1"/>
              <w:bottom w:val="single" w:color="ADB9CA" w:sz="1"/>
              <w:right w:val="single" w:color="ADB9CA" w:sz="1"/>
            </w:tcBorders>
            <w:shd w:fill="FFFFFF" w:val="clear"/>
            <w:tcMar>
              <w:top w:type="dxa" w:w="70"/>
              <w:left w:type="dxa" w:w="140"/>
              <w:bottom w:type="dxa" w:w="70"/>
              <w:right w:type="dxa" w:w="140"/>
            </w:tcMar>
          </w:tcPr>
          <w:p>
            <w:pPr>
              <w:jc w:val="left"/>
            </w:pPr>
            <w:r>
              <w:rPr>
                <w:rFonts w:ascii="Arial" w:cs="Arial" w:eastAsia="Arial" w:hAnsi="Arial"/>
                <w:color w:val="404040"/>
                <w:sz w:val="19"/>
                <w:szCs w:val="19"/>
              </w:rPr>
              <w:t xml:space="preserve">digit_ratio</w:t>
            </w:r>
          </w:p>
        </w:tc>
        <w:tc>
          <w:tcPr>
            <w:tcW w:type="dxa" w:w="5040"/>
            <w:tcBorders>
              <w:top w:val="single" w:color="ADB9CA" w:sz="1"/>
              <w:left w:val="single" w:color="ADB9CA" w:sz="1"/>
              <w:bottom w:val="single" w:color="ADB9CA" w:sz="1"/>
              <w:right w:val="single" w:color="ADB9CA" w:sz="1"/>
            </w:tcBorders>
            <w:shd w:fill="FFFFFF" w:val="clear"/>
            <w:tcMar>
              <w:top w:type="dxa" w:w="70"/>
              <w:left w:type="dxa" w:w="140"/>
              <w:bottom w:type="dxa" w:w="70"/>
              <w:right w:type="dxa" w:w="140"/>
            </w:tcMar>
          </w:tcPr>
          <w:p>
            <w:pPr>
              <w:jc w:val="center"/>
            </w:pPr>
            <w:r>
              <w:rPr>
                <w:rFonts w:ascii="Arial" w:cs="Arial" w:eastAsia="Arial" w:hAnsi="Arial"/>
                <w:color w:val="404040"/>
                <w:sz w:val="19"/>
                <w:szCs w:val="19"/>
              </w:rPr>
              <w:t xml:space="preserve">Proportion de chiffres (précision factuelle)</w:t>
            </w:r>
          </w:p>
        </w:tc>
      </w:tr>
      <w:tr>
        <w:tc>
          <w:tcPr>
            <w:tcW w:type="dxa" w:w="342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left"/>
            </w:pPr>
            <w:r>
              <w:rPr>
                <w:rFonts w:ascii="Arial" w:cs="Arial" w:eastAsia="Arial" w:hAnsi="Arial"/>
                <w:color w:val="404040"/>
                <w:sz w:val="19"/>
                <w:szCs w:val="19"/>
              </w:rPr>
              <w:t xml:space="preserve">avg_sent_len</w:t>
            </w:r>
          </w:p>
        </w:tc>
        <w:tc>
          <w:tcPr>
            <w:tcW w:type="dxa" w:w="504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center"/>
            </w:pPr>
            <w:r>
              <w:rPr>
                <w:rFonts w:ascii="Arial" w:cs="Arial" w:eastAsia="Arial" w:hAnsi="Arial"/>
                <w:color w:val="404040"/>
                <w:sz w:val="19"/>
                <w:szCs w:val="19"/>
              </w:rPr>
              <w:t xml:space="preserve">Longueur moyenne des phrases (complexité)</w:t>
            </w:r>
          </w:p>
        </w:tc>
      </w:tr>
      <w:tr>
        <w:tc>
          <w:tcPr>
            <w:tcW w:type="dxa" w:w="3420"/>
            <w:tcBorders>
              <w:top w:val="single" w:color="ADB9CA" w:sz="1"/>
              <w:left w:val="single" w:color="ADB9CA" w:sz="1"/>
              <w:bottom w:val="single" w:color="ADB9CA" w:sz="1"/>
              <w:right w:val="single" w:color="ADB9CA" w:sz="1"/>
            </w:tcBorders>
            <w:shd w:fill="FFFFFF" w:val="clear"/>
            <w:tcMar>
              <w:top w:type="dxa" w:w="70"/>
              <w:left w:type="dxa" w:w="140"/>
              <w:bottom w:type="dxa" w:w="70"/>
              <w:right w:type="dxa" w:w="140"/>
            </w:tcMar>
          </w:tcPr>
          <w:p>
            <w:pPr>
              <w:jc w:val="left"/>
            </w:pPr>
            <w:r>
              <w:rPr>
                <w:rFonts w:ascii="Arial" w:cs="Arial" w:eastAsia="Arial" w:hAnsi="Arial"/>
                <w:color w:val="404040"/>
                <w:sz w:val="19"/>
                <w:szCs w:val="19"/>
              </w:rPr>
              <w:t xml:space="preserve">unique_word_ratio (TTR)</w:t>
            </w:r>
          </w:p>
        </w:tc>
        <w:tc>
          <w:tcPr>
            <w:tcW w:type="dxa" w:w="5040"/>
            <w:tcBorders>
              <w:top w:val="single" w:color="ADB9CA" w:sz="1"/>
              <w:left w:val="single" w:color="ADB9CA" w:sz="1"/>
              <w:bottom w:val="single" w:color="ADB9CA" w:sz="1"/>
              <w:right w:val="single" w:color="ADB9CA" w:sz="1"/>
            </w:tcBorders>
            <w:shd w:fill="FFFFFF" w:val="clear"/>
            <w:tcMar>
              <w:top w:type="dxa" w:w="70"/>
              <w:left w:type="dxa" w:w="140"/>
              <w:bottom w:type="dxa" w:w="70"/>
              <w:right w:type="dxa" w:w="140"/>
            </w:tcMar>
          </w:tcPr>
          <w:p>
            <w:pPr>
              <w:jc w:val="center"/>
            </w:pPr>
            <w:r>
              <w:rPr>
                <w:rFonts w:ascii="Arial" w:cs="Arial" w:eastAsia="Arial" w:hAnsi="Arial"/>
                <w:color w:val="404040"/>
                <w:sz w:val="19"/>
                <w:szCs w:val="19"/>
              </w:rPr>
              <w:t xml:space="preserve">Type-Token Ratio — richesse du vocabulaire</w:t>
            </w:r>
          </w:p>
        </w:tc>
      </w:tr>
    </w:tbl>
    <w:p>
      <w:pPr>
        <w:spacing w:after="80" w:before="0"/>
      </w:pPr>
      <w:r>
        <w:t xml:space="preserve"/>
      </w:r>
    </w:p>
    <w:p>
      <w:pPr>
        <w:pBdr>
          <w:bottom w:val="single" w:color="2E75B6" w:sz="6" w:space="1"/>
        </w:pBdr>
        <w:spacing w:after="200" w:before="200" w:line="280"/>
      </w:pPr>
      <w:r>
        <w:t xml:space="preserve"/>
      </w:r>
    </w:p>
    <w:p>
      <w:pPr>
        <w:pStyle w:val="Heading2"/>
        <w:spacing w:after="140" w:before="260" w:line="280"/>
      </w:pPr>
      <w:r>
        <w:rPr>
          <w:rFonts w:ascii="Arial" w:cs="Arial" w:eastAsia="Arial" w:hAnsi="Arial"/>
          <w:b/>
          <w:bCs/>
          <w:color w:val="2E75B6"/>
          <w:sz w:val="26"/>
          <w:szCs w:val="26"/>
        </w:rPr>
        <w:t xml:space="preserve">4.3  Suppression des Stopwords</w:t>
      </w:r>
    </w:p>
    <w:p>
      <w:pPr>
        <w:spacing w:after="100" w:before="60" w:line="320"/>
        <w:jc w:val="both"/>
      </w:pPr>
      <w:r>
        <w:rPr>
          <w:rFonts w:ascii="Arial" w:cs="Arial" w:eastAsia="Arial" w:hAnsi="Arial"/>
          <w:color w:val="404040"/>
          <w:sz w:val="21"/>
          <w:szCs w:val="21"/>
        </w:rPr>
        <w:t xml:space="preserve">Les stopwords sont des mots très fréquents dans la langue qui n'apportent pas de valeur discriminante pour la classification (articles, prépositions, pronoms, conjonctions). Leur suppression réduit le bruit lexical et améliore la pertinence des représentations.</w:t>
      </w:r>
    </w:p>
    <w:p>
      <w:pPr>
        <w:spacing w:after="80" w:before="0"/>
      </w:pPr>
      <w:r>
        <w:t xml:space="preserve"/>
      </w:r>
    </w:p>
    <w:p>
      <w:pPr>
        <w:spacing w:after="100" w:before="60" w:line="320"/>
        <w:jc w:val="both"/>
      </w:pPr>
      <w:r>
        <w:rPr>
          <w:rFonts w:ascii="Arial" w:cs="Arial" w:eastAsia="Arial" w:hAnsi="Arial"/>
          <w:color w:val="404040"/>
          <w:sz w:val="21"/>
          <w:szCs w:val="21"/>
        </w:rPr>
        <w:t xml:space="preserve">La liste de stopwords anglais de la bibliothèque NLTK (179 mots) est utilisée. Un filtre additionnel écarte également les tokens de moins de 3 caractères, qui sont généralement des abréviations ou des artefacts de segmentation sans valeur sémantique.</w:t>
      </w:r>
    </w:p>
    <w:p>
      <w:pPr>
        <w:spacing w:after="80" w:before="0"/>
      </w:pPr>
      <w:r>
        <w:t xml:space="preserve"/>
      </w:r>
    </w:p>
    <w:p>
      <w:pPr>
        <w:spacing w:after="100" w:before="60" w:line="320"/>
        <w:jc w:val="both"/>
      </w:pPr>
      <w:r>
        <w:rPr>
          <w:rFonts w:ascii="Arial" w:cs="Arial" w:eastAsia="Arial" w:hAnsi="Arial"/>
          <w:color w:val="404040"/>
          <w:sz w:val="21"/>
          <w:szCs w:val="21"/>
        </w:rPr>
        <w:t xml:space="preserve">Le Type-Token Ratio (TTR) augmente mécaniquement après suppression, traduisant une meilleure densité sémantique du vocabulaire conservé. C'est cet indicateur qui est utilisé dans les diagnostics post-nettoyage pour évaluer la qualité du corpus traité.</w:t>
      </w:r>
    </w:p>
    <w:p>
      <w:pPr>
        <w:spacing w:after="80" w:before="0"/>
      </w:pPr>
      <w:r>
        <w:t xml:space="preserve"/>
      </w:r>
    </w:p>
    <w:p>
      <w:pPr>
        <w:pBdr>
          <w:bottom w:val="single" w:color="2E75B6" w:sz="6" w:space="1"/>
        </w:pBdr>
        <w:spacing w:after="200" w:before="200" w:line="280"/>
      </w:pPr>
      <w:r>
        <w:t xml:space="preserve"/>
      </w:r>
    </w:p>
    <w:p>
      <w:pPr>
        <w:pStyle w:val="Heading2"/>
        <w:spacing w:after="140" w:before="260" w:line="280"/>
      </w:pPr>
      <w:r>
        <w:rPr>
          <w:rFonts w:ascii="Arial" w:cs="Arial" w:eastAsia="Arial" w:hAnsi="Arial"/>
          <w:b/>
          <w:bCs/>
          <w:color w:val="2E75B6"/>
          <w:sz w:val="26"/>
          <w:szCs w:val="26"/>
        </w:rPr>
        <w:t xml:space="preserve">4.4  Tokenisation</w:t>
      </w:r>
    </w:p>
    <w:p>
      <w:pPr>
        <w:spacing w:after="100" w:before="60" w:line="320"/>
        <w:jc w:val="both"/>
      </w:pPr>
      <w:r>
        <w:rPr>
          <w:rFonts w:ascii="Arial" w:cs="Arial" w:eastAsia="Arial" w:hAnsi="Arial"/>
          <w:color w:val="404040"/>
          <w:sz w:val="21"/>
          <w:szCs w:val="21"/>
        </w:rPr>
        <w:t xml:space="preserve">La tokenisation décompose le texte normalisé en unités élémentaires (tokens). La fonction word_tokenize de NLTK est utilisée : plus robuste qu'une simple segmentation par espaces, elle gère correctement les contractions anglaises et les cas particuliers de ponctuation.</w:t>
      </w:r>
    </w:p>
    <w:p>
      <w:pPr>
        <w:spacing w:after="80" w:before="0"/>
      </w:pPr>
      <w:r>
        <w:t xml:space="preserve"/>
      </w:r>
    </w:p>
    <w:p>
      <w:pPr>
        <w:spacing w:after="100" w:before="60" w:line="320"/>
        <w:jc w:val="both"/>
      </w:pPr>
      <w:r>
        <w:rPr>
          <w:rFonts w:ascii="Arial" w:cs="Arial" w:eastAsia="Arial" w:hAnsi="Arial"/>
          <w:b/>
          <w:bCs/>
          <w:color w:val="404040"/>
          <w:sz w:val="21"/>
          <w:szCs w:val="21"/>
        </w:rPr>
        <w:t xml:space="preserve">POS Tagging (étiquetage grammatical). </w:t>
      </w:r>
      <w:r>
        <w:rPr>
          <w:rFonts w:ascii="Arial" w:cs="Arial" w:eastAsia="Arial" w:hAnsi="Arial"/>
          <w:color w:val="404040"/>
          <w:sz w:val="21"/>
          <w:szCs w:val="21"/>
        </w:rPr>
        <w:t xml:space="preserve">Après tokenisation, chaque token reçoit une étiquette grammaticale (nom, verbe, adjectif, adverbe) à l'aide du tagger Penn Treebank de NLTK. Cet étiquetage est indispensable pour la lemmatisation contextuelle.</w:t>
      </w:r>
    </w:p>
    <w:p>
      <w:pPr>
        <w:spacing w:after="80" w:before="0"/>
      </w:pPr>
      <w:r>
        <w:t xml:space="preserve"/>
      </w:r>
    </w:p>
    <w:p>
      <w:pPr>
        <w:spacing w:after="100" w:before="60" w:line="320"/>
        <w:jc w:val="both"/>
      </w:pPr>
      <w:r>
        <w:rPr>
          <w:rFonts w:ascii="Arial" w:cs="Arial" w:eastAsia="Arial" w:hAnsi="Arial"/>
          <w:b/>
          <w:bCs/>
          <w:color w:val="404040"/>
          <w:sz w:val="21"/>
          <w:szCs w:val="21"/>
        </w:rPr>
        <w:t xml:space="preserve">Lemmatisation (WordNetLemmatizer). </w:t>
      </w:r>
      <w:r>
        <w:rPr>
          <w:rFonts w:ascii="Arial" w:cs="Arial" w:eastAsia="Arial" w:hAnsi="Arial"/>
          <w:color w:val="404040"/>
          <w:sz w:val="21"/>
          <w:szCs w:val="21"/>
        </w:rPr>
        <w:t xml:space="preserve">Chaque token est réduit à sa forme canonique (lemme) en tenant compte de sa catégorie grammaticale. Contrairement au stemming qui tronque mécaniquement les suffixes, la lemmatisation produit des formes linguistiquement valides : « running » → « run », « was » → « be ».</w:t>
      </w:r>
    </w:p>
    <w:p>
      <w:pPr>
        <w:spacing w:after="80" w:before="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700"/>
        <w:gridCol w:w="5760"/>
      </w:tblGrid>
      <w:tr>
        <w:trPr>
          <w:tblHeader/>
        </w:trPr>
        <w:tc>
          <w:tcPr>
            <w:tcW w:type="dxa" w:w="2700"/>
            <w:tcBorders>
              <w:top w:val="single" w:color="ADB9CA" w:sz="1"/>
              <w:left w:val="single" w:color="ADB9CA" w:sz="1"/>
              <w:bottom w:val="single" w:color="ADB9CA" w:sz="1"/>
              <w:right w:val="single" w:color="ADB9CA" w:sz="1"/>
            </w:tcBorders>
            <w:shd w:fill="1F4E79"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Étape du pipeline</w:t>
            </w:r>
          </w:p>
        </w:tc>
        <w:tc>
          <w:tcPr>
            <w:tcW w:type="dxa" w:w="5760"/>
            <w:tcBorders>
              <w:top w:val="single" w:color="ADB9CA" w:sz="1"/>
              <w:left w:val="single" w:color="ADB9CA" w:sz="1"/>
              <w:bottom w:val="single" w:color="ADB9CA" w:sz="1"/>
              <w:right w:val="single" w:color="ADB9CA" w:sz="1"/>
            </w:tcBorders>
            <w:shd w:fill="1F4E79"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Exemple de texte</w:t>
            </w:r>
          </w:p>
        </w:tc>
      </w:tr>
      <w:tr>
        <w:tc>
          <w:tcPr>
            <w:tcW w:type="dxa" w:w="270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left"/>
            </w:pPr>
            <w:r>
              <w:rPr>
                <w:rFonts w:ascii="Arial" w:cs="Arial" w:eastAsia="Arial" w:hAnsi="Arial"/>
                <w:color w:val="404040"/>
                <w:sz w:val="19"/>
                <w:szCs w:val="19"/>
              </w:rPr>
              <w:t xml:space="preserve">Texte brut</w:t>
            </w:r>
          </w:p>
        </w:tc>
        <w:tc>
          <w:tcPr>
            <w:tcW w:type="dxa" w:w="576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center"/>
            </w:pPr>
            <w:r>
              <w:rPr>
                <w:rFonts w:ascii="Arial" w:cs="Arial" w:eastAsia="Arial" w:hAnsi="Arial"/>
                <w:color w:val="404040"/>
                <w:sz w:val="19"/>
                <w:szCs w:val="19"/>
              </w:rPr>
              <w:t xml:space="preserve">Breaking!! Trump's White House issued a STATEMENT &lt;p&gt;See http://example.com&lt;/p&gt;</w:t>
            </w:r>
          </w:p>
        </w:tc>
      </w:tr>
      <w:tr>
        <w:tc>
          <w:tcPr>
            <w:tcW w:type="dxa" w:w="2700"/>
            <w:tcBorders>
              <w:top w:val="single" w:color="ADB9CA" w:sz="1"/>
              <w:left w:val="single" w:color="ADB9CA" w:sz="1"/>
              <w:bottom w:val="single" w:color="ADB9CA" w:sz="1"/>
              <w:right w:val="single" w:color="ADB9CA" w:sz="1"/>
            </w:tcBorders>
            <w:shd w:fill="FFFFFF" w:val="clear"/>
            <w:tcMar>
              <w:top w:type="dxa" w:w="70"/>
              <w:left w:type="dxa" w:w="140"/>
              <w:bottom w:type="dxa" w:w="70"/>
              <w:right w:type="dxa" w:w="140"/>
            </w:tcMar>
          </w:tcPr>
          <w:p>
            <w:pPr>
              <w:jc w:val="left"/>
            </w:pPr>
            <w:r>
              <w:rPr>
                <w:rFonts w:ascii="Arial" w:cs="Arial" w:eastAsia="Arial" w:hAnsi="Arial"/>
                <w:color w:val="404040"/>
                <w:sz w:val="19"/>
                <w:szCs w:val="19"/>
              </w:rPr>
              <w:t xml:space="preserve">Après normalisation</w:t>
            </w:r>
          </w:p>
        </w:tc>
        <w:tc>
          <w:tcPr>
            <w:tcW w:type="dxa" w:w="5760"/>
            <w:tcBorders>
              <w:top w:val="single" w:color="ADB9CA" w:sz="1"/>
              <w:left w:val="single" w:color="ADB9CA" w:sz="1"/>
              <w:bottom w:val="single" w:color="ADB9CA" w:sz="1"/>
              <w:right w:val="single" w:color="ADB9CA" w:sz="1"/>
            </w:tcBorders>
            <w:shd w:fill="FFFFFF" w:val="clear"/>
            <w:tcMar>
              <w:top w:type="dxa" w:w="70"/>
              <w:left w:type="dxa" w:w="140"/>
              <w:bottom w:type="dxa" w:w="70"/>
              <w:right w:type="dxa" w:w="140"/>
            </w:tcMar>
          </w:tcPr>
          <w:p>
            <w:pPr>
              <w:jc w:val="center"/>
            </w:pPr>
            <w:r>
              <w:rPr>
                <w:rFonts w:ascii="Arial" w:cs="Arial" w:eastAsia="Arial" w:hAnsi="Arial"/>
                <w:color w:val="404040"/>
                <w:sz w:val="19"/>
                <w:szCs w:val="19"/>
              </w:rPr>
              <w:t xml:space="preserve">breaking trump s white house issued a statement see</w:t>
            </w:r>
          </w:p>
        </w:tc>
      </w:tr>
      <w:tr>
        <w:tc>
          <w:tcPr>
            <w:tcW w:type="dxa" w:w="270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left"/>
            </w:pPr>
            <w:r>
              <w:rPr>
                <w:rFonts w:ascii="Arial" w:cs="Arial" w:eastAsia="Arial" w:hAnsi="Arial"/>
                <w:color w:val="404040"/>
                <w:sz w:val="19"/>
                <w:szCs w:val="19"/>
              </w:rPr>
              <w:t xml:space="preserve">Après filtre stopwords</w:t>
            </w:r>
          </w:p>
        </w:tc>
        <w:tc>
          <w:tcPr>
            <w:tcW w:type="dxa" w:w="576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center"/>
            </w:pPr>
            <w:r>
              <w:rPr>
                <w:rFonts w:ascii="Arial" w:cs="Arial" w:eastAsia="Arial" w:hAnsi="Arial"/>
                <w:color w:val="404040"/>
                <w:sz w:val="19"/>
                <w:szCs w:val="19"/>
              </w:rPr>
              <w:t xml:space="preserve">breaking trump white house issued statement</w:t>
            </w:r>
          </w:p>
        </w:tc>
      </w:tr>
      <w:tr>
        <w:tc>
          <w:tcPr>
            <w:tcW w:type="dxa" w:w="2700"/>
            <w:tcBorders>
              <w:top w:val="single" w:color="ADB9CA" w:sz="1"/>
              <w:left w:val="single" w:color="ADB9CA" w:sz="1"/>
              <w:bottom w:val="single" w:color="ADB9CA" w:sz="1"/>
              <w:right w:val="single" w:color="ADB9CA" w:sz="1"/>
            </w:tcBorders>
            <w:shd w:fill="FFFFFF" w:val="clear"/>
            <w:tcMar>
              <w:top w:type="dxa" w:w="70"/>
              <w:left w:type="dxa" w:w="140"/>
              <w:bottom w:type="dxa" w:w="70"/>
              <w:right w:type="dxa" w:w="140"/>
            </w:tcMar>
          </w:tcPr>
          <w:p>
            <w:pPr>
              <w:jc w:val="left"/>
            </w:pPr>
            <w:r>
              <w:rPr>
                <w:rFonts w:ascii="Arial" w:cs="Arial" w:eastAsia="Arial" w:hAnsi="Arial"/>
                <w:color w:val="404040"/>
                <w:sz w:val="19"/>
                <w:szCs w:val="19"/>
              </w:rPr>
              <w:t xml:space="preserve">Après lemmatisation</w:t>
            </w:r>
          </w:p>
        </w:tc>
        <w:tc>
          <w:tcPr>
            <w:tcW w:type="dxa" w:w="5760"/>
            <w:tcBorders>
              <w:top w:val="single" w:color="ADB9CA" w:sz="1"/>
              <w:left w:val="single" w:color="ADB9CA" w:sz="1"/>
              <w:bottom w:val="single" w:color="ADB9CA" w:sz="1"/>
              <w:right w:val="single" w:color="ADB9CA" w:sz="1"/>
            </w:tcBorders>
            <w:shd w:fill="FFFFFF" w:val="clear"/>
            <w:tcMar>
              <w:top w:type="dxa" w:w="70"/>
              <w:left w:type="dxa" w:w="140"/>
              <w:bottom w:type="dxa" w:w="70"/>
              <w:right w:type="dxa" w:w="140"/>
            </w:tcMar>
          </w:tcPr>
          <w:p>
            <w:pPr>
              <w:jc w:val="center"/>
            </w:pPr>
            <w:r>
              <w:rPr>
                <w:rFonts w:ascii="Arial" w:cs="Arial" w:eastAsia="Arial" w:hAnsi="Arial"/>
                <w:color w:val="404040"/>
                <w:sz w:val="19"/>
                <w:szCs w:val="19"/>
              </w:rPr>
              <w:t xml:space="preserve">breaking trump white house issue statement</w:t>
            </w:r>
          </w:p>
        </w:tc>
      </w:tr>
    </w:tbl>
    <w:p>
      <w:pPr>
        <w:spacing w:after="160" w:before="60" w:line="280"/>
        <w:jc w:val="center"/>
      </w:pPr>
      <w:r>
        <w:rPr>
          <w:rFonts w:ascii="Arial" w:cs="Arial" w:eastAsia="Arial" w:hAnsi="Arial"/>
          <w:i/>
          <w:iCs/>
          <w:color w:val="666666"/>
          <w:sz w:val="18"/>
          <w:szCs w:val="18"/>
        </w:rPr>
        <w:t xml:space="preserve">Table 4.2 — Illustration du pipeline complet sur un exemple de texte du dataset ISOT</w:t>
      </w:r>
    </w:p>
    <w:p>
      <w:pPr>
        <w:spacing w:after="80" w:before="0"/>
      </w:pPr>
      <w:r>
        <w:t xml:space="preserve"/>
      </w:r>
    </w:p>
    <w:p>
      <w:pPr>
        <w:spacing w:after="60" w:before="120" w:line="280"/>
        <w:jc w:val="center"/>
      </w:pPr>
      <w:r>
        <w:drawing>
          <wp:inline distT="0" distB="0" distL="0" distR="0">
            <wp:extent cx="5334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333500"/>
                    </a:xfrm>
                    <a:prstGeom prst="rect">
                      <a:avLst/>
                    </a:prstGeom>
                  </pic:spPr>
                </pic:pic>
              </a:graphicData>
            </a:graphic>
          </wp:inline>
        </w:drawing>
      </w:r>
    </w:p>
    <w:p>
      <w:pPr>
        <w:spacing w:after="160" w:before="60" w:line="280"/>
        <w:jc w:val="center"/>
      </w:pPr>
      <w:r>
        <w:rPr>
          <w:rFonts w:ascii="Arial" w:cs="Arial" w:eastAsia="Arial" w:hAnsi="Arial"/>
          <w:i/>
          <w:iCs/>
          <w:color w:val="666666"/>
          <w:sz w:val="18"/>
          <w:szCs w:val="18"/>
        </w:rPr>
        <w:t xml:space="preserve">Figure 4.2 — Vue d'ensemble du pipeline de prétraitement NLP TruthGuard</w:t>
      </w:r>
    </w:p>
    <w:p>
      <w:pPr>
        <w:spacing w:after="80" w:before="0"/>
      </w:pPr>
      <w:r>
        <w:t xml:space="preserve"/>
      </w:r>
    </w:p>
    <w:p>
      <w:pPr>
        <w:pBdr>
          <w:bottom w:val="single" w:color="2E75B6" w:sz="6" w:space="1"/>
        </w:pBdr>
        <w:spacing w:after="200" w:before="200" w:line="280"/>
      </w:pPr>
      <w:r>
        <w:t xml:space="preserve"/>
      </w:r>
    </w:p>
    <w:p>
      <w:pPr>
        <w:pStyle w:val="Heading2"/>
        <w:spacing w:after="140" w:before="260" w:line="280"/>
      </w:pPr>
      <w:r>
        <w:rPr>
          <w:rFonts w:ascii="Arial" w:cs="Arial" w:eastAsia="Arial" w:hAnsi="Arial"/>
          <w:b/>
          <w:bCs/>
          <w:color w:val="2E75B6"/>
          <w:sz w:val="26"/>
          <w:szCs w:val="26"/>
        </w:rPr>
        <w:t xml:space="preserve">4.5  Vectorisation</w:t>
      </w:r>
    </w:p>
    <w:p>
      <w:pPr>
        <w:spacing w:after="100" w:before="60" w:line="320"/>
        <w:jc w:val="both"/>
      </w:pPr>
      <w:r>
        <w:rPr>
          <w:rFonts w:ascii="Arial" w:cs="Arial" w:eastAsia="Arial" w:hAnsi="Arial"/>
          <w:color w:val="404040"/>
          <w:sz w:val="21"/>
          <w:szCs w:val="21"/>
        </w:rPr>
        <w:t xml:space="preserve">La vectorisation transforme les textes prétraités en représentations numériques exploitables par les algorithmes de classification. Une approche multi-représentation a été adoptée dans TruthGuard, combinant trois types de features complémentaires.</w:t>
      </w:r>
    </w:p>
    <w:p>
      <w:pPr>
        <w:spacing w:after="80" w:before="0"/>
      </w:pPr>
      <w:r>
        <w:t xml:space="preserve"/>
      </w:r>
    </w:p>
    <w:p>
      <w:pPr>
        <w:spacing w:after="100" w:before="60" w:line="320"/>
        <w:jc w:val="both"/>
      </w:pPr>
      <w:r>
        <w:rPr>
          <w:rFonts w:ascii="Arial" w:cs="Arial" w:eastAsia="Arial" w:hAnsi="Arial"/>
          <w:b/>
          <w:bCs/>
          <w:color w:val="404040"/>
          <w:sz w:val="21"/>
          <w:szCs w:val="21"/>
        </w:rPr>
        <w:t xml:space="preserve">Principe fondamental : </w:t>
      </w:r>
      <w:r>
        <w:rPr>
          <w:rFonts w:ascii="Arial" w:cs="Arial" w:eastAsia="Arial" w:hAnsi="Arial"/>
          <w:color w:val="404040"/>
          <w:sz w:val="21"/>
          <w:szCs w:val="21"/>
        </w:rPr>
        <w:t xml:space="preserve">le split train/test (80%/20%) est effectué sur les textes nettoyés avant toute vectorisation. Les vectoriseurs sont entraînés exclusivement sur les données d'entraînement puis appliqués aux données de test, évitant ainsi tout data leakage.</w:t>
      </w:r>
    </w:p>
    <w:p>
      <w:pPr>
        <w:spacing w:after="80" w:before="0"/>
      </w:pPr>
      <w:r>
        <w:t xml:space="preserve"/>
      </w:r>
    </w:p>
    <w:p>
      <w:pPr>
        <w:pStyle w:val="Heading3"/>
        <w:spacing w:after="100" w:before="180" w:line="280"/>
      </w:pPr>
      <w:r>
        <w:rPr>
          <w:rFonts w:ascii="Arial" w:cs="Arial" w:eastAsia="Arial" w:hAnsi="Arial"/>
          <w:b/>
          <w:bCs/>
          <w:color w:val="2F5496"/>
          <w:sz w:val="23"/>
          <w:szCs w:val="23"/>
        </w:rPr>
        <w:t xml:space="preserve">4.5.1  TF-IDF Word N-grams</w:t>
      </w:r>
    </w:p>
    <w:p>
      <w:pPr>
        <w:spacing w:after="100" w:before="60" w:line="320"/>
        <w:jc w:val="both"/>
      </w:pPr>
      <w:r>
        <w:rPr>
          <w:rFonts w:ascii="Arial" w:cs="Arial" w:eastAsia="Arial" w:hAnsi="Arial"/>
          <w:color w:val="404040"/>
          <w:sz w:val="21"/>
          <w:szCs w:val="21"/>
        </w:rPr>
        <w:t xml:space="preserve">Le TF-IDF (Term Frequency - Inverse Document Frequency) attribue à chaque terme un poids proportionnel à sa fréquence dans le document et inversement proportionnel à sa présence dans l'ensemble du corpus. Le vectoriseur est configuré pour capturer les unigrammes, bigrammes et trigrammes (n-grams de 1 à 3 mots), produisant 20 000 features par article.</w:t>
      </w:r>
    </w:p>
    <w:p>
      <w:pPr>
        <w:spacing w:after="80" w:before="0"/>
      </w:pPr>
      <w:r>
        <w:t xml:space="preserve"/>
      </w:r>
    </w:p>
    <w:p>
      <w:pPr>
        <w:pStyle w:val="Heading3"/>
        <w:spacing w:after="100" w:before="180" w:line="280"/>
      </w:pPr>
      <w:r>
        <w:rPr>
          <w:rFonts w:ascii="Arial" w:cs="Arial" w:eastAsia="Arial" w:hAnsi="Arial"/>
          <w:b/>
          <w:bCs/>
          <w:color w:val="2F5496"/>
          <w:sz w:val="23"/>
          <w:szCs w:val="23"/>
        </w:rPr>
        <w:t xml:space="preserve">4.5.2  TF-IDF Char N-grams</w:t>
      </w:r>
    </w:p>
    <w:p>
      <w:pPr>
        <w:spacing w:after="100" w:before="60" w:line="320"/>
        <w:jc w:val="both"/>
      </w:pPr>
      <w:r>
        <w:rPr>
          <w:rFonts w:ascii="Arial" w:cs="Arial" w:eastAsia="Arial" w:hAnsi="Arial"/>
          <w:color w:val="404040"/>
          <w:sz w:val="21"/>
          <w:szCs w:val="21"/>
        </w:rPr>
        <w:t xml:space="preserve">Un second vectoriseur opère au niveau des caractères (séquences de 2 à 6 caractères, mode char_wb). Cette représentation est particulièrement robuste aux fautes d'orthographe et variations morphologiques, tout en capturant des patterns stylistiques fins souvent associés aux fake news. Il génère 10 000 features additionnelles.</w:t>
      </w:r>
    </w:p>
    <w:p>
      <w:pPr>
        <w:spacing w:after="80" w:before="0"/>
      </w:pPr>
      <w:r>
        <w:t xml:space="preserve"/>
      </w:r>
    </w:p>
    <w:p>
      <w:pPr>
        <w:pStyle w:val="Heading3"/>
        <w:spacing w:after="100" w:before="180" w:line="280"/>
      </w:pPr>
      <w:r>
        <w:rPr>
          <w:rFonts w:ascii="Arial" w:cs="Arial" w:eastAsia="Arial" w:hAnsi="Arial"/>
          <w:b/>
          <w:bCs/>
          <w:color w:val="2F5496"/>
          <w:sz w:val="23"/>
          <w:szCs w:val="23"/>
        </w:rPr>
        <w:t xml:space="preserve">4.5.3  Embeddings sémantiques</w:t>
      </w:r>
    </w:p>
    <w:p>
      <w:pPr>
        <w:spacing w:after="100" w:before="60" w:line="320"/>
        <w:jc w:val="both"/>
      </w:pPr>
      <w:r>
        <w:rPr>
          <w:rFonts w:ascii="Arial" w:cs="Arial" w:eastAsia="Arial" w:hAnsi="Arial"/>
          <w:color w:val="404040"/>
          <w:sz w:val="21"/>
          <w:szCs w:val="21"/>
        </w:rPr>
        <w:t xml:space="preserve">Les embeddings SentenceTransformer fournissent une représentation dense et contextuelle du texte, capable de capturer sa signification globale au-delà des occurrences lexicales. Le modèle all-MiniLM-L6-v2 (384 dimensions) a été utilisé dans la version principale, et all-mpnet-base-v2 (768 dimensions) dans la version avancée du pipeline.</w:t>
      </w:r>
    </w:p>
    <w:p>
      <w:pPr>
        <w:spacing w:after="80" w:before="0"/>
      </w:pPr>
      <w:r>
        <w:t xml:space="preserve"/>
      </w:r>
    </w:p>
    <w:p>
      <w:pPr>
        <w:pStyle w:val="Heading3"/>
        <w:spacing w:after="100" w:before="180" w:line="280"/>
      </w:pPr>
      <w:r>
        <w:rPr>
          <w:rFonts w:ascii="Arial" w:cs="Arial" w:eastAsia="Arial" w:hAnsi="Arial"/>
          <w:b/>
          <w:bCs/>
          <w:color w:val="2F5496"/>
          <w:sz w:val="23"/>
          <w:szCs w:val="23"/>
        </w:rPr>
        <w:t xml:space="preserve">4.5.4  Features stylistiques</w:t>
      </w:r>
    </w:p>
    <w:p>
      <w:pPr>
        <w:spacing w:after="100" w:before="60" w:line="320"/>
        <w:jc w:val="both"/>
      </w:pPr>
      <w:r>
        <w:rPr>
          <w:rFonts w:ascii="Arial" w:cs="Arial" w:eastAsia="Arial" w:hAnsi="Arial"/>
          <w:color w:val="404040"/>
          <w:sz w:val="21"/>
          <w:szCs w:val="21"/>
        </w:rPr>
        <w:t xml:space="preserve">Les 8 features stylistiques extraites lors de la normalisation sont normalisées (StandardScaler) puis intégrées comme troisième type de représentation, assurant que leur amplitude ne domine pas les features TF-IDF et embeddings lors de la combinaison.</w:t>
      </w:r>
    </w:p>
    <w:p>
      <w:pPr>
        <w:spacing w:after="80" w:before="0"/>
      </w:pPr>
      <w:r>
        <w:t xml:space="preserve"/>
      </w:r>
    </w:p>
    <w:p>
      <w:pPr>
        <w:spacing w:after="60" w:before="120" w:line="280"/>
        <w:jc w:val="center"/>
      </w:pPr>
      <w:r>
        <w:drawing>
          <wp:inline distT="0" distB="0" distL="0" distR="0">
            <wp:extent cx="5143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000250"/>
                    </a:xfrm>
                    <a:prstGeom prst="rect">
                      <a:avLst/>
                    </a:prstGeom>
                  </pic:spPr>
                </pic:pic>
              </a:graphicData>
            </a:graphic>
          </wp:inline>
        </w:drawing>
      </w:r>
    </w:p>
    <w:p>
      <w:pPr>
        <w:spacing w:after="160" w:before="60" w:line="280"/>
        <w:jc w:val="center"/>
      </w:pPr>
      <w:r>
        <w:rPr>
          <w:rFonts w:ascii="Arial" w:cs="Arial" w:eastAsia="Arial" w:hAnsi="Arial"/>
          <w:i/>
          <w:iCs/>
          <w:color w:val="666666"/>
          <w:sz w:val="18"/>
          <w:szCs w:val="18"/>
        </w:rPr>
        <w:t xml:space="preserve">Figure 4.3 — Architecture de la vectorisation multi-représentation</w:t>
      </w:r>
    </w:p>
    <w:p>
      <w:pPr>
        <w:spacing w:after="80" w:before="0"/>
      </w:pPr>
      <w:r>
        <w:t xml:space="preserve"/>
      </w:r>
    </w:p>
    <w:p>
      <w:pPr>
        <w:spacing w:after="60" w:before="120" w:line="280"/>
        <w:jc w:val="center"/>
      </w:pPr>
      <w:r>
        <w:drawing>
          <wp:inline distT="0" distB="0" distL="0" distR="0">
            <wp:extent cx="4953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857375"/>
                    </a:xfrm>
                    <a:prstGeom prst="rect">
                      <a:avLst/>
                    </a:prstGeom>
                  </pic:spPr>
                </pic:pic>
              </a:graphicData>
            </a:graphic>
          </wp:inline>
        </w:drawing>
      </w:r>
    </w:p>
    <w:p>
      <w:pPr>
        <w:spacing w:after="160" w:before="60" w:line="280"/>
        <w:jc w:val="center"/>
      </w:pPr>
      <w:r>
        <w:rPr>
          <w:rFonts w:ascii="Arial" w:cs="Arial" w:eastAsia="Arial" w:hAnsi="Arial"/>
          <w:i/>
          <w:iCs/>
          <w:color w:val="666666"/>
          <w:sz w:val="18"/>
          <w:szCs w:val="18"/>
        </w:rPr>
        <w:t xml:space="preserve">Figure 4.4 — Répartition et dimensionnalité des features par type de représentation</w:t>
      </w:r>
    </w:p>
    <w:p>
      <w:pPr>
        <w:spacing w:after="80" w:before="0"/>
      </w:pPr>
      <w:r>
        <w:t xml:space="preserve"/>
      </w:r>
    </w:p>
    <w:p>
      <w:pPr>
        <w:pStyle w:val="Heading3"/>
        <w:spacing w:after="100" w:before="180" w:line="280"/>
      </w:pPr>
      <w:r>
        <w:rPr>
          <w:rFonts w:ascii="Arial" w:cs="Arial" w:eastAsia="Arial" w:hAnsi="Arial"/>
          <w:b/>
          <w:bCs/>
          <w:color w:val="2F5496"/>
          <w:sz w:val="23"/>
          <w:szCs w:val="23"/>
        </w:rPr>
        <w:t xml:space="preserve">4.5.5  Combinaison finale des features</w:t>
      </w:r>
    </w:p>
    <w:p>
      <w:pPr>
        <w:spacing w:after="100" w:before="60" w:line="320"/>
        <w:jc w:val="both"/>
      </w:pPr>
      <w:r>
        <w:rPr>
          <w:rFonts w:ascii="Arial" w:cs="Arial" w:eastAsia="Arial" w:hAnsi="Arial"/>
          <w:color w:val="404040"/>
          <w:sz w:val="21"/>
          <w:szCs w:val="21"/>
        </w:rPr>
        <w:t xml:space="preserve">Les trois représentations sont concaténées horizontalement (hstack) en une seule matrice sparse. Cette approche exploite la complémentarité des différentes sources d'information : patterns lexicaux (TF-IDF), sens global (embeddings) et style rédactionnel (stylistique).</w:t>
      </w:r>
    </w:p>
    <w:p>
      <w:pPr>
        <w:spacing w:after="80" w:before="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2700"/>
      </w:tblGrid>
      <w:tr>
        <w:trPr>
          <w:tblHeader/>
        </w:trPr>
        <w:tc>
          <w:tcPr>
            <w:tcW w:type="dxa" w:w="3600"/>
            <w:tcBorders>
              <w:top w:val="single" w:color="ADB9CA" w:sz="1"/>
              <w:left w:val="single" w:color="ADB9CA" w:sz="1"/>
              <w:bottom w:val="single" w:color="ADB9CA" w:sz="1"/>
              <w:right w:val="single" w:color="ADB9CA" w:sz="1"/>
            </w:tcBorders>
            <w:shd w:fill="1F4E79"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Représentation</w:t>
            </w:r>
          </w:p>
        </w:tc>
        <w:tc>
          <w:tcPr>
            <w:tcW w:type="dxa" w:w="2160"/>
            <w:tcBorders>
              <w:top w:val="single" w:color="ADB9CA" w:sz="1"/>
              <w:left w:val="single" w:color="ADB9CA" w:sz="1"/>
              <w:bottom w:val="single" w:color="ADB9CA" w:sz="1"/>
              <w:right w:val="single" w:color="ADB9CA" w:sz="1"/>
            </w:tcBorders>
            <w:shd w:fill="1F4E79"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Type</w:t>
            </w:r>
          </w:p>
        </w:tc>
        <w:tc>
          <w:tcPr>
            <w:tcW w:type="dxa" w:w="2700"/>
            <w:tcBorders>
              <w:top w:val="single" w:color="ADB9CA" w:sz="1"/>
              <w:left w:val="single" w:color="ADB9CA" w:sz="1"/>
              <w:bottom w:val="single" w:color="ADB9CA" w:sz="1"/>
              <w:right w:val="single" w:color="ADB9CA" w:sz="1"/>
            </w:tcBorders>
            <w:shd w:fill="1F4E79"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Dimensions</w:t>
            </w:r>
          </w:p>
        </w:tc>
      </w:tr>
      <w:tr>
        <w:tc>
          <w:tcPr>
            <w:tcW w:type="dxa" w:w="360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left"/>
            </w:pPr>
            <w:r>
              <w:rPr>
                <w:rFonts w:ascii="Arial" w:cs="Arial" w:eastAsia="Arial" w:hAnsi="Arial"/>
                <w:color w:val="404040"/>
                <w:sz w:val="19"/>
                <w:szCs w:val="19"/>
              </w:rPr>
              <w:t xml:space="preserve">TF-IDF Word N-grams (1-3)</w:t>
            </w:r>
          </w:p>
        </w:tc>
        <w:tc>
          <w:tcPr>
            <w:tcW w:type="dxa" w:w="216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center"/>
            </w:pPr>
            <w:r>
              <w:rPr>
                <w:rFonts w:ascii="Arial" w:cs="Arial" w:eastAsia="Arial" w:hAnsi="Arial"/>
                <w:color w:val="404040"/>
                <w:sz w:val="19"/>
                <w:szCs w:val="19"/>
              </w:rPr>
              <w:t xml:space="preserve">Sparse</w:t>
            </w:r>
          </w:p>
        </w:tc>
        <w:tc>
          <w:tcPr>
            <w:tcW w:type="dxa" w:w="270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center"/>
            </w:pPr>
            <w:r>
              <w:rPr>
                <w:rFonts w:ascii="Arial" w:cs="Arial" w:eastAsia="Arial" w:hAnsi="Arial"/>
                <w:color w:val="404040"/>
                <w:sz w:val="19"/>
                <w:szCs w:val="19"/>
              </w:rPr>
              <w:t xml:space="preserve">20 000</w:t>
            </w:r>
          </w:p>
        </w:tc>
      </w:tr>
      <w:tr>
        <w:tc>
          <w:tcPr>
            <w:tcW w:type="dxa" w:w="3600"/>
            <w:tcBorders>
              <w:top w:val="single" w:color="ADB9CA" w:sz="1"/>
              <w:left w:val="single" w:color="ADB9CA" w:sz="1"/>
              <w:bottom w:val="single" w:color="ADB9CA" w:sz="1"/>
              <w:right w:val="single" w:color="ADB9CA" w:sz="1"/>
            </w:tcBorders>
            <w:shd w:fill="FFFFFF" w:val="clear"/>
            <w:tcMar>
              <w:top w:type="dxa" w:w="70"/>
              <w:left w:type="dxa" w:w="140"/>
              <w:bottom w:type="dxa" w:w="70"/>
              <w:right w:type="dxa" w:w="140"/>
            </w:tcMar>
          </w:tcPr>
          <w:p>
            <w:pPr>
              <w:jc w:val="left"/>
            </w:pPr>
            <w:r>
              <w:rPr>
                <w:rFonts w:ascii="Arial" w:cs="Arial" w:eastAsia="Arial" w:hAnsi="Arial"/>
                <w:color w:val="404040"/>
                <w:sz w:val="19"/>
                <w:szCs w:val="19"/>
              </w:rPr>
              <w:t xml:space="preserve">TF-IDF Char N-grams (2-6)</w:t>
            </w:r>
          </w:p>
        </w:tc>
        <w:tc>
          <w:tcPr>
            <w:tcW w:type="dxa" w:w="2160"/>
            <w:tcBorders>
              <w:top w:val="single" w:color="ADB9CA" w:sz="1"/>
              <w:left w:val="single" w:color="ADB9CA" w:sz="1"/>
              <w:bottom w:val="single" w:color="ADB9CA" w:sz="1"/>
              <w:right w:val="single" w:color="ADB9CA" w:sz="1"/>
            </w:tcBorders>
            <w:shd w:fill="FFFFFF" w:val="clear"/>
            <w:tcMar>
              <w:top w:type="dxa" w:w="70"/>
              <w:left w:type="dxa" w:w="140"/>
              <w:bottom w:type="dxa" w:w="70"/>
              <w:right w:type="dxa" w:w="140"/>
            </w:tcMar>
          </w:tcPr>
          <w:p>
            <w:pPr>
              <w:jc w:val="center"/>
            </w:pPr>
            <w:r>
              <w:rPr>
                <w:rFonts w:ascii="Arial" w:cs="Arial" w:eastAsia="Arial" w:hAnsi="Arial"/>
                <w:color w:val="404040"/>
                <w:sz w:val="19"/>
                <w:szCs w:val="19"/>
              </w:rPr>
              <w:t xml:space="preserve">Sparse</w:t>
            </w:r>
          </w:p>
        </w:tc>
        <w:tc>
          <w:tcPr>
            <w:tcW w:type="dxa" w:w="2700"/>
            <w:tcBorders>
              <w:top w:val="single" w:color="ADB9CA" w:sz="1"/>
              <w:left w:val="single" w:color="ADB9CA" w:sz="1"/>
              <w:bottom w:val="single" w:color="ADB9CA" w:sz="1"/>
              <w:right w:val="single" w:color="ADB9CA" w:sz="1"/>
            </w:tcBorders>
            <w:shd w:fill="FFFFFF" w:val="clear"/>
            <w:tcMar>
              <w:top w:type="dxa" w:w="70"/>
              <w:left w:type="dxa" w:w="140"/>
              <w:bottom w:type="dxa" w:w="70"/>
              <w:right w:type="dxa" w:w="140"/>
            </w:tcMar>
          </w:tcPr>
          <w:p>
            <w:pPr>
              <w:jc w:val="center"/>
            </w:pPr>
            <w:r>
              <w:rPr>
                <w:rFonts w:ascii="Arial" w:cs="Arial" w:eastAsia="Arial" w:hAnsi="Arial"/>
                <w:color w:val="404040"/>
                <w:sz w:val="19"/>
                <w:szCs w:val="19"/>
              </w:rPr>
              <w:t xml:space="preserve">10 000</w:t>
            </w:r>
          </w:p>
        </w:tc>
      </w:tr>
      <w:tr>
        <w:tc>
          <w:tcPr>
            <w:tcW w:type="dxa" w:w="360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left"/>
            </w:pPr>
            <w:r>
              <w:rPr>
                <w:rFonts w:ascii="Arial" w:cs="Arial" w:eastAsia="Arial" w:hAnsi="Arial"/>
                <w:color w:val="404040"/>
                <w:sz w:val="19"/>
                <w:szCs w:val="19"/>
              </w:rPr>
              <w:t xml:space="preserve">Embeddings sémantiques</w:t>
            </w:r>
          </w:p>
        </w:tc>
        <w:tc>
          <w:tcPr>
            <w:tcW w:type="dxa" w:w="216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center"/>
            </w:pPr>
            <w:r>
              <w:rPr>
                <w:rFonts w:ascii="Arial" w:cs="Arial" w:eastAsia="Arial" w:hAnsi="Arial"/>
                <w:color w:val="404040"/>
                <w:sz w:val="19"/>
                <w:szCs w:val="19"/>
              </w:rPr>
              <w:t xml:space="preserve">Dense</w:t>
            </w:r>
          </w:p>
        </w:tc>
        <w:tc>
          <w:tcPr>
            <w:tcW w:type="dxa" w:w="270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center"/>
            </w:pPr>
            <w:r>
              <w:rPr>
                <w:rFonts w:ascii="Arial" w:cs="Arial" w:eastAsia="Arial" w:hAnsi="Arial"/>
                <w:color w:val="404040"/>
                <w:sz w:val="19"/>
                <w:szCs w:val="19"/>
              </w:rPr>
              <w:t xml:space="preserve">384 / 768</w:t>
            </w:r>
          </w:p>
        </w:tc>
      </w:tr>
      <w:tr>
        <w:tc>
          <w:tcPr>
            <w:tcW w:type="dxa" w:w="3600"/>
            <w:tcBorders>
              <w:top w:val="single" w:color="ADB9CA" w:sz="1"/>
              <w:left w:val="single" w:color="ADB9CA" w:sz="1"/>
              <w:bottom w:val="single" w:color="ADB9CA" w:sz="1"/>
              <w:right w:val="single" w:color="ADB9CA" w:sz="1"/>
            </w:tcBorders>
            <w:shd w:fill="FFFFFF" w:val="clear"/>
            <w:tcMar>
              <w:top w:type="dxa" w:w="70"/>
              <w:left w:type="dxa" w:w="140"/>
              <w:bottom w:type="dxa" w:w="70"/>
              <w:right w:type="dxa" w:w="140"/>
            </w:tcMar>
          </w:tcPr>
          <w:p>
            <w:pPr>
              <w:jc w:val="left"/>
            </w:pPr>
            <w:r>
              <w:rPr>
                <w:rFonts w:ascii="Arial" w:cs="Arial" w:eastAsia="Arial" w:hAnsi="Arial"/>
                <w:color w:val="404040"/>
                <w:sz w:val="19"/>
                <w:szCs w:val="19"/>
              </w:rPr>
              <w:t xml:space="preserve">Features stylistiques</w:t>
            </w:r>
          </w:p>
        </w:tc>
        <w:tc>
          <w:tcPr>
            <w:tcW w:type="dxa" w:w="2160"/>
            <w:tcBorders>
              <w:top w:val="single" w:color="ADB9CA" w:sz="1"/>
              <w:left w:val="single" w:color="ADB9CA" w:sz="1"/>
              <w:bottom w:val="single" w:color="ADB9CA" w:sz="1"/>
              <w:right w:val="single" w:color="ADB9CA" w:sz="1"/>
            </w:tcBorders>
            <w:shd w:fill="FFFFFF" w:val="clear"/>
            <w:tcMar>
              <w:top w:type="dxa" w:w="70"/>
              <w:left w:type="dxa" w:w="140"/>
              <w:bottom w:type="dxa" w:w="70"/>
              <w:right w:type="dxa" w:w="140"/>
            </w:tcMar>
          </w:tcPr>
          <w:p>
            <w:pPr>
              <w:jc w:val="center"/>
            </w:pPr>
            <w:r>
              <w:rPr>
                <w:rFonts w:ascii="Arial" w:cs="Arial" w:eastAsia="Arial" w:hAnsi="Arial"/>
                <w:color w:val="404040"/>
                <w:sz w:val="19"/>
                <w:szCs w:val="19"/>
              </w:rPr>
              <w:t xml:space="preserve">Dense</w:t>
            </w:r>
          </w:p>
        </w:tc>
        <w:tc>
          <w:tcPr>
            <w:tcW w:type="dxa" w:w="2700"/>
            <w:tcBorders>
              <w:top w:val="single" w:color="ADB9CA" w:sz="1"/>
              <w:left w:val="single" w:color="ADB9CA" w:sz="1"/>
              <w:bottom w:val="single" w:color="ADB9CA" w:sz="1"/>
              <w:right w:val="single" w:color="ADB9CA" w:sz="1"/>
            </w:tcBorders>
            <w:shd w:fill="FFFFFF" w:val="clear"/>
            <w:tcMar>
              <w:top w:type="dxa" w:w="70"/>
              <w:left w:type="dxa" w:w="140"/>
              <w:bottom w:type="dxa" w:w="70"/>
              <w:right w:type="dxa" w:w="140"/>
            </w:tcMar>
          </w:tcPr>
          <w:p>
            <w:pPr>
              <w:jc w:val="center"/>
            </w:pPr>
            <w:r>
              <w:rPr>
                <w:rFonts w:ascii="Arial" w:cs="Arial" w:eastAsia="Arial" w:hAnsi="Arial"/>
                <w:color w:val="404040"/>
                <w:sz w:val="19"/>
                <w:szCs w:val="19"/>
              </w:rPr>
              <w:t xml:space="preserve">8</w:t>
            </w:r>
          </w:p>
        </w:tc>
      </w:tr>
      <w:tr>
        <w:tc>
          <w:tcPr>
            <w:tcW w:type="dxa" w:w="360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left"/>
            </w:pPr>
            <w:r>
              <w:rPr>
                <w:rFonts w:ascii="Arial" w:cs="Arial" w:eastAsia="Arial" w:hAnsi="Arial"/>
                <w:color w:val="404040"/>
                <w:sz w:val="19"/>
                <w:szCs w:val="19"/>
              </w:rPr>
              <w:t xml:space="preserve">TOTAL combiné</w:t>
            </w:r>
          </w:p>
        </w:tc>
        <w:tc>
          <w:tcPr>
            <w:tcW w:type="dxa" w:w="216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center"/>
            </w:pPr>
            <w:r>
              <w:rPr>
                <w:rFonts w:ascii="Arial" w:cs="Arial" w:eastAsia="Arial" w:hAnsi="Arial"/>
                <w:color w:val="404040"/>
                <w:sz w:val="19"/>
                <w:szCs w:val="19"/>
              </w:rPr>
              <w:t xml:space="preserve">Hybrid sparse</w:t>
            </w:r>
          </w:p>
        </w:tc>
        <w:tc>
          <w:tcPr>
            <w:tcW w:type="dxa" w:w="2700"/>
            <w:tcBorders>
              <w:top w:val="single" w:color="ADB9CA" w:sz="1"/>
              <w:left w:val="single" w:color="ADB9CA" w:sz="1"/>
              <w:bottom w:val="single" w:color="ADB9CA" w:sz="1"/>
              <w:right w:val="single" w:color="ADB9CA" w:sz="1"/>
            </w:tcBorders>
            <w:shd w:fill="D6E4F0" w:val="clear"/>
            <w:tcMar>
              <w:top w:type="dxa" w:w="70"/>
              <w:left w:type="dxa" w:w="140"/>
              <w:bottom w:type="dxa" w:w="70"/>
              <w:right w:type="dxa" w:w="140"/>
            </w:tcMar>
          </w:tcPr>
          <w:p>
            <w:pPr>
              <w:jc w:val="center"/>
            </w:pPr>
            <w:r>
              <w:rPr>
                <w:rFonts w:ascii="Arial" w:cs="Arial" w:eastAsia="Arial" w:hAnsi="Arial"/>
                <w:color w:val="404040"/>
                <w:sz w:val="19"/>
                <w:szCs w:val="19"/>
              </w:rPr>
              <w:t xml:space="preserve">≈ 30 776</w:t>
            </w:r>
          </w:p>
        </w:tc>
      </w:tr>
    </w:tbl>
    <w:p>
      <w:pPr>
        <w:spacing w:after="160" w:before="60" w:line="280"/>
        <w:jc w:val="center"/>
      </w:pPr>
      <w:r>
        <w:rPr>
          <w:rFonts w:ascii="Arial" w:cs="Arial" w:eastAsia="Arial" w:hAnsi="Arial"/>
          <w:i/>
          <w:iCs/>
          <w:color w:val="666666"/>
          <w:sz w:val="18"/>
          <w:szCs w:val="18"/>
        </w:rPr>
        <w:t xml:space="preserve">Table 4.3 — Récapitulatif de l'espace de features final</w:t>
      </w:r>
    </w:p>
    <w:p>
      <w:pPr>
        <w:spacing w:after="80" w:before="0"/>
      </w:pPr>
      <w:r>
        <w:t xml:space="preserve"/>
      </w:r>
    </w:p>
    <w:p>
      <w:pPr>
        <w:pBdr>
          <w:bottom w:val="single" w:color="2E75B6" w:sz="6" w:space="1"/>
        </w:pBdr>
        <w:spacing w:after="200" w:before="200" w:line="280"/>
      </w:pPr>
      <w:r>
        <w:t xml:space="preserve"/>
      </w:r>
    </w:p>
    <w:p>
      <w:pPr>
        <w:pStyle w:val="Heading2"/>
        <w:spacing w:after="140" w:before="260" w:line="280"/>
      </w:pPr>
      <w:r>
        <w:rPr>
          <w:rFonts w:ascii="Arial" w:cs="Arial" w:eastAsia="Arial" w:hAnsi="Arial"/>
          <w:b/>
          <w:bCs/>
          <w:color w:val="2E75B6"/>
          <w:sz w:val="26"/>
          <w:szCs w:val="26"/>
        </w:rPr>
        <w:t xml:space="preserve">Synthèse du Chapitre 4</w:t>
      </w:r>
    </w:p>
    <w:p>
      <w:pPr>
        <w:spacing w:after="100" w:before="60" w:line="320"/>
        <w:jc w:val="both"/>
      </w:pPr>
      <w:r>
        <w:rPr>
          <w:rFonts w:ascii="Arial" w:cs="Arial" w:eastAsia="Arial" w:hAnsi="Arial"/>
          <w:color w:val="404040"/>
          <w:sz w:val="21"/>
          <w:szCs w:val="21"/>
        </w:rPr>
        <w:t xml:space="preserve">Le pipeline de prétraitement NLP développé dans le cadre du projet TruthGuard constitue une chaîne de traitement complète et rigoureuse. Les points clés sont :</w:t>
      </w:r>
    </w:p>
    <w:p>
      <w:pPr>
        <w:spacing w:after="60" w:before="0"/>
      </w:pPr>
      <w:r>
        <w:t xml:space="preserve"/>
      </w:r>
    </w:p>
    <w:p>
      <w:pPr>
        <w:pStyle w:val="ListParagraph"/>
        <w:numPr>
          <w:ilvl w:val="0"/>
          <w:numId w:val="2"/>
        </w:numPr>
        <w:spacing w:after="50" w:before="50" w:line="300"/>
      </w:pPr>
      <w:r>
        <w:rPr>
          <w:rFonts w:ascii="Arial" w:cs="Arial" w:eastAsia="Arial" w:hAnsi="Arial"/>
          <w:color w:val="404040"/>
          <w:sz w:val="21"/>
          <w:szCs w:val="21"/>
        </w:rPr>
        <w:t xml:space="preserve">Un nettoyage structurel minimal mais efficace, préservant plus de 99% du corpus initial.</w:t>
      </w:r>
    </w:p>
    <w:p>
      <w:pPr>
        <w:pStyle w:val="ListParagraph"/>
        <w:numPr>
          <w:ilvl w:val="0"/>
          <w:numId w:val="2"/>
        </w:numPr>
        <w:spacing w:after="50" w:before="50" w:line="300"/>
      </w:pPr>
      <w:r>
        <w:rPr>
          <w:rFonts w:ascii="Arial" w:cs="Arial" w:eastAsia="Arial" w:hAnsi="Arial"/>
          <w:color w:val="404040"/>
          <w:sz w:val="21"/>
          <w:szCs w:val="21"/>
        </w:rPr>
        <w:t xml:space="preserve">Une normalisation unifiée appliquée identiquement sur les trois datasets pour garantir la comparabilité des résultats.</w:t>
      </w:r>
    </w:p>
    <w:p>
      <w:pPr>
        <w:pStyle w:val="ListParagraph"/>
        <w:numPr>
          <w:ilvl w:val="0"/>
          <w:numId w:val="2"/>
        </w:numPr>
        <w:spacing w:after="50" w:before="50" w:line="300"/>
      </w:pPr>
      <w:r>
        <w:rPr>
          <w:rFonts w:ascii="Arial" w:cs="Arial" w:eastAsia="Arial" w:hAnsi="Arial"/>
          <w:color w:val="404040"/>
          <w:sz w:val="21"/>
          <w:szCs w:val="21"/>
        </w:rPr>
        <w:t xml:space="preserve">Une suppression des stopwords couplée à un filtre sur la longueur des tokens, réduisant le bruit lexical de 40 à 43%.</w:t>
      </w:r>
    </w:p>
    <w:p>
      <w:pPr>
        <w:pStyle w:val="ListParagraph"/>
        <w:numPr>
          <w:ilvl w:val="0"/>
          <w:numId w:val="2"/>
        </w:numPr>
        <w:spacing w:after="50" w:before="50" w:line="300"/>
      </w:pPr>
      <w:r>
        <w:rPr>
          <w:rFonts w:ascii="Arial" w:cs="Arial" w:eastAsia="Arial" w:hAnsi="Arial"/>
          <w:color w:val="404040"/>
          <w:sz w:val="21"/>
          <w:szCs w:val="21"/>
        </w:rPr>
        <w:t xml:space="preserve">Une tokenisation NLTK avec lemmatisation guidée par POS tagging, produisant des formes canoniques linguistiquement valides.</w:t>
      </w:r>
    </w:p>
    <w:p>
      <w:pPr>
        <w:pStyle w:val="ListParagraph"/>
        <w:numPr>
          <w:ilvl w:val="0"/>
          <w:numId w:val="2"/>
        </w:numPr>
        <w:spacing w:after="50" w:before="50" w:line="300"/>
      </w:pPr>
      <w:r>
        <w:rPr>
          <w:rFonts w:ascii="Arial" w:cs="Arial" w:eastAsia="Arial" w:hAnsi="Arial"/>
          <w:color w:val="404040"/>
          <w:sz w:val="21"/>
          <w:szCs w:val="21"/>
        </w:rPr>
        <w:t xml:space="preserve">Une stratégie multi-représentation (TF-IDF word+char, embeddings, stylistique) offrant une vision complémentaire du texte pour la classification.</w:t>
      </w:r>
    </w:p>
    <w:p>
      <w:pPr>
        <w:spacing w:after="60" w:before="0"/>
      </w:pPr>
      <w:r>
        <w:t xml:space="preserve"/>
      </w:r>
    </w:p>
    <w:p>
      <w:pPr>
        <w:spacing w:after="100" w:before="60" w:line="320"/>
        <w:jc w:val="both"/>
      </w:pPr>
      <w:r>
        <w:rPr>
          <w:rFonts w:ascii="Arial" w:cs="Arial" w:eastAsia="Arial" w:hAnsi="Arial"/>
          <w:color w:val="404040"/>
          <w:sz w:val="21"/>
          <w:szCs w:val="21"/>
        </w:rPr>
        <w:t xml:space="preserve">L'ensemble de ces étapes est appliqué de manière cohérente sur ISOT, FakeNewsNet et le dataset fusionné, assurant la reproductibilité et la fiabilité des expérimentations de classification présentées dans les chapitres suivants.</w:t>
      </w:r>
    </w:p>
    <w:p>
      <w:pPr>
        <w:spacing w:after="80" w:before="0"/>
      </w:pPr>
      <w:r>
        <w:t xml:space="preserve"/>
      </w:r>
    </w:p>
    <w:p>
      <w:pPr>
        <w:pBdr>
          <w:bottom w:val="single" w:color="2E75B6" w:sz="6" w:space="1"/>
        </w:pBdr>
        <w:spacing w:after="200" w:before="200" w:line="280"/>
      </w:pPr>
      <w:r>
        <w:t xml:space="preserve"/>
      </w:r>
    </w:p>
    <w:sectPr>
      <w:footerReference w:type="default" r:id="rId7"/>
      <w:pgSz w:w="11906" w:h="16838"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00"/>
      <w:jc w:val="center"/>
    </w:pPr>
    <w:r>
      <w:rPr>
        <w:rFonts w:ascii="Arial" w:cs="Arial" w:eastAsia="Arial" w:hAnsi="Arial"/>
        <w:color w:val="888888"/>
        <w:sz w:val="17"/>
        <w:szCs w:val="17"/>
      </w:rPr>
      <w:t xml:space="preserve">TruthGuard — Détection de Fake News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e638aceb20cfef3aadf1302dc96be3d8add3839.png"/><Relationship Id="rId9" Type="http://schemas.openxmlformats.org/officeDocument/2006/relationships/image" Target="media/a3aeeb3b34317f2f004bc8346d366b3f2044e4e0.png"/><Relationship Id="rId10" Type="http://schemas.openxmlformats.org/officeDocument/2006/relationships/image" Target="media/02dfda3069cd6edd4f7629935d95890282a782f2.png"/><Relationship Id="rId11" Type="http://schemas.openxmlformats.org/officeDocument/2006/relationships/image" Target="media/a290563cd99e07ac0005ce67ad0ed43f072680f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2026-06-01T23:00:16.035Z</dcterms:created>
  <dcterms:modified xsi:type="dcterms:W3CDTF">2026-06-01T23:00:16.047Z</dcterms:modified>
</cp:coreProperties>
</file>

<file path=docProps/custom.xml><?xml version="1.0" encoding="utf-8"?>
<Properties xmlns="http://schemas.openxmlformats.org/officeDocument/2006/custom-properties" xmlns:vt="http://schemas.openxmlformats.org/officeDocument/2006/docPropsVTypes"/>
</file>