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9D8B5" w14:textId="77777777" w:rsidR="00E73D4F" w:rsidRPr="00DC1056" w:rsidRDefault="00E73D4F">
      <w:pPr>
        <w:rPr>
          <w:rFonts w:asciiTheme="majorHAnsi" w:hAnsiTheme="majorHAnsi" w:cstheme="majorHAnsi"/>
        </w:rPr>
      </w:pPr>
      <w:r w:rsidRPr="00DC1056">
        <w:rPr>
          <w:rFonts w:asciiTheme="majorHAnsi" w:hAnsiTheme="majorHAnsi" w:cstheme="majorHAnsi"/>
        </w:rPr>
        <w:t xml:space="preserve">Abstract </w:t>
      </w:r>
    </w:p>
    <w:p w14:paraId="156B7C3C" w14:textId="77777777" w:rsidR="00E73D4F" w:rsidRPr="00DC1056" w:rsidRDefault="00E73D4F" w:rsidP="00E73D4F">
      <w:pPr>
        <w:pStyle w:val="NormalWeb"/>
        <w:shd w:val="clear" w:color="auto" w:fill="FFFFFF"/>
        <w:rPr>
          <w:rFonts w:asciiTheme="majorHAnsi" w:hAnsiTheme="majorHAnsi" w:cstheme="majorHAnsi"/>
        </w:rPr>
      </w:pPr>
      <w:r w:rsidRPr="00DC1056">
        <w:rPr>
          <w:rFonts w:asciiTheme="majorHAnsi" w:hAnsiTheme="majorHAnsi" w:cstheme="majorHAnsi"/>
        </w:rPr>
        <w:t xml:space="preserve">Empirical studies exploring the response of human mobility to varying temperature across the United States are often completed under the assumption of relatively stable social and policy environment. Given the behavioral changes associated with shelter-in-place restrictions and guidelines, has there been an impact on the movement </w:t>
      </w:r>
      <w:r w:rsidR="0079020C" w:rsidRPr="00DC1056">
        <w:rPr>
          <w:rFonts w:asciiTheme="majorHAnsi" w:hAnsiTheme="majorHAnsi" w:cstheme="majorHAnsi"/>
        </w:rPr>
        <w:t>11</w:t>
      </w:r>
      <w:r w:rsidRPr="00DC1056">
        <w:rPr>
          <w:rFonts w:asciiTheme="majorHAnsi" w:hAnsiTheme="majorHAnsi" w:cstheme="majorHAnsi"/>
        </w:rPr>
        <w:t xml:space="preserve">patterns in response to extreme heat across the San Francisco Bay Area?  To explore this question, we created a highly resolved mobility metric utilizing </w:t>
      </w:r>
      <w:proofErr w:type="spellStart"/>
      <w:r w:rsidRPr="00DC1056">
        <w:rPr>
          <w:rFonts w:asciiTheme="majorHAnsi" w:hAnsiTheme="majorHAnsi" w:cstheme="majorHAnsi"/>
        </w:rPr>
        <w:t>Safegraph’s</w:t>
      </w:r>
      <w:proofErr w:type="spellEnd"/>
      <w:r w:rsidRPr="00DC1056">
        <w:rPr>
          <w:rFonts w:asciiTheme="majorHAnsi" w:hAnsiTheme="majorHAnsi" w:cstheme="majorHAnsi"/>
        </w:rPr>
        <w:t xml:space="preserve"> Neighborhood Patterns data, and combined the results with gridMET temperature data and demographic data from the US census. We then used a binned fixed effects regression model to characterize the mobility response to temperatures across the region. We find that when compared to the two years prior, 2020 saw an overall reduction in movement. In addition, while extremely hot temperatures historically resulted in an increase in mobility between census block groups, in 2020 there were dramatic declines in movement when compared to lower temperatures in the same year. Given these observations, further research may explore the role public indoor spaces previously had in heat mitigation and adaptation strategies that allow for continued activities in extreme temperatures. </w:t>
      </w:r>
    </w:p>
    <w:p w14:paraId="5789D386" w14:textId="77777777" w:rsidR="00E73D4F" w:rsidRPr="00DC1056" w:rsidRDefault="00E73D4F">
      <w:pPr>
        <w:rPr>
          <w:rFonts w:asciiTheme="majorHAnsi" w:hAnsiTheme="majorHAnsi" w:cstheme="majorHAnsi"/>
        </w:rPr>
      </w:pPr>
    </w:p>
    <w:p w14:paraId="5D84B1B1" w14:textId="7382B7BD" w:rsidR="0052067B" w:rsidRPr="00DC1056" w:rsidRDefault="00E73D4F">
      <w:pPr>
        <w:rPr>
          <w:rFonts w:asciiTheme="majorHAnsi" w:hAnsiTheme="majorHAnsi" w:cstheme="majorHAnsi"/>
        </w:rPr>
      </w:pPr>
      <w:r w:rsidRPr="00DC1056">
        <w:rPr>
          <w:rFonts w:asciiTheme="majorHAnsi" w:hAnsiTheme="majorHAnsi" w:cstheme="majorHAnsi"/>
        </w:rPr>
        <w:t>Intro/Background</w:t>
      </w:r>
    </w:p>
    <w:p w14:paraId="6EF48BEB" w14:textId="6BE7E3B6" w:rsidR="001A520B" w:rsidRPr="001A520B" w:rsidRDefault="001A520B" w:rsidP="001A520B">
      <w:pPr>
        <w:shd w:val="clear" w:color="auto" w:fill="FFFFFF"/>
        <w:spacing w:before="100" w:beforeAutospacing="1" w:after="100" w:afterAutospacing="1"/>
        <w:rPr>
          <w:rFonts w:asciiTheme="majorHAnsi" w:hAnsiTheme="majorHAnsi" w:cstheme="majorHAnsi"/>
        </w:rPr>
      </w:pPr>
      <w:r w:rsidRPr="001A520B">
        <w:rPr>
          <w:rFonts w:asciiTheme="majorHAnsi" w:hAnsiTheme="majorHAnsi" w:cstheme="majorHAnsi"/>
        </w:rPr>
        <w:t>As of October 202</w:t>
      </w:r>
      <w:r w:rsidRPr="00DC1056">
        <w:rPr>
          <w:rFonts w:asciiTheme="majorHAnsi" w:hAnsiTheme="majorHAnsi" w:cstheme="majorHAnsi"/>
        </w:rPr>
        <w:t>1</w:t>
      </w:r>
      <w:r w:rsidRPr="001A520B">
        <w:rPr>
          <w:rFonts w:asciiTheme="majorHAnsi" w:hAnsiTheme="majorHAnsi" w:cstheme="majorHAnsi"/>
        </w:rPr>
        <w:t xml:space="preserve">, COVID-19 has been a devastating cause of death for </w:t>
      </w:r>
      <w:r w:rsidRPr="00DC1056">
        <w:rPr>
          <w:rFonts w:asciiTheme="majorHAnsi" w:hAnsiTheme="majorHAnsi" w:cstheme="majorHAnsi"/>
        </w:rPr>
        <w:t>nearly 700,000</w:t>
      </w:r>
      <w:r w:rsidRPr="001A520B">
        <w:rPr>
          <w:rFonts w:asciiTheme="majorHAnsi" w:hAnsiTheme="majorHAnsi" w:cstheme="majorHAnsi"/>
        </w:rPr>
        <w:t xml:space="preserve"> individuals in the United States, and </w:t>
      </w:r>
      <w:r w:rsidRPr="00DC1056">
        <w:rPr>
          <w:rFonts w:asciiTheme="majorHAnsi" w:hAnsiTheme="majorHAnsi" w:cstheme="majorHAnsi"/>
        </w:rPr>
        <w:t>has been</w:t>
      </w:r>
      <w:r w:rsidRPr="001A520B">
        <w:rPr>
          <w:rFonts w:asciiTheme="majorHAnsi" w:hAnsiTheme="majorHAnsi" w:cstheme="majorHAnsi"/>
        </w:rPr>
        <w:t xml:space="preserve"> the third leading cause of death </w:t>
      </w:r>
      <w:r w:rsidRPr="00DC1056">
        <w:rPr>
          <w:rFonts w:asciiTheme="majorHAnsi" w:hAnsiTheme="majorHAnsi" w:cstheme="majorHAnsi"/>
        </w:rPr>
        <w:t>for nearly two years</w:t>
      </w:r>
      <w:r w:rsidRPr="001A520B">
        <w:rPr>
          <w:rFonts w:asciiTheme="majorHAnsi" w:hAnsiTheme="majorHAnsi" w:cstheme="majorHAnsi"/>
        </w:rPr>
        <w:t xml:space="preserve"> (NCHS 2020, Zhou &amp; Stix 2020). As the virus has spread across the country, government responses to the COVID-19 pandemic have seen high spatial variability as individual municipalities have instilled their own guidelines and ordinances in the absence of a blanket federal order (Dave et al. 2020, Diffenbaugh et al. 2020). The pandemic has also again revealed the inequalities in healthcare access among various socio-economic classes (Hooper et al. 2020, Tai et al. 2020).</w:t>
      </w:r>
      <w:r w:rsidRPr="00DC1056">
        <w:rPr>
          <w:rFonts w:asciiTheme="majorHAnsi" w:hAnsiTheme="majorHAnsi" w:cstheme="majorHAnsi"/>
        </w:rPr>
        <w:t xml:space="preserve"> </w:t>
      </w:r>
      <w:r w:rsidR="004039B1" w:rsidRPr="00DC1056">
        <w:rPr>
          <w:rFonts w:asciiTheme="majorHAnsi" w:hAnsiTheme="majorHAnsi" w:cstheme="majorHAnsi"/>
        </w:rPr>
        <w:t>From the early days of the virus discovery in the US, t</w:t>
      </w:r>
      <w:r w:rsidRPr="00DC1056">
        <w:rPr>
          <w:rFonts w:asciiTheme="majorHAnsi" w:hAnsiTheme="majorHAnsi" w:cstheme="majorHAnsi"/>
        </w:rPr>
        <w:t>he</w:t>
      </w:r>
      <w:r w:rsidR="004039B1" w:rsidRPr="00DC1056">
        <w:rPr>
          <w:rFonts w:asciiTheme="majorHAnsi" w:hAnsiTheme="majorHAnsi" w:cstheme="majorHAnsi"/>
        </w:rPr>
        <w:t xml:space="preserve"> California</w:t>
      </w:r>
      <w:r w:rsidRPr="00DC1056">
        <w:rPr>
          <w:rFonts w:asciiTheme="majorHAnsi" w:hAnsiTheme="majorHAnsi" w:cstheme="majorHAnsi"/>
        </w:rPr>
        <w:t xml:space="preserve"> Bay Area</w:t>
      </w:r>
      <w:r w:rsidR="004039B1" w:rsidRPr="00DC1056">
        <w:rPr>
          <w:rFonts w:asciiTheme="majorHAnsi" w:hAnsiTheme="majorHAnsi" w:cstheme="majorHAnsi"/>
        </w:rPr>
        <w:t xml:space="preserve"> </w:t>
      </w:r>
      <w:r w:rsidRPr="00DC1056">
        <w:rPr>
          <w:rFonts w:asciiTheme="majorHAnsi" w:hAnsiTheme="majorHAnsi" w:cstheme="majorHAnsi"/>
        </w:rPr>
        <w:t>has consistently seen some of the most restrictive pandemic management policies in the US</w:t>
      </w:r>
      <w:r w:rsidR="004039B1" w:rsidRPr="00DC1056">
        <w:rPr>
          <w:rFonts w:asciiTheme="majorHAnsi" w:hAnsiTheme="majorHAnsi" w:cstheme="majorHAnsi"/>
        </w:rPr>
        <w:t xml:space="preserve"> (</w:t>
      </w:r>
      <w:r w:rsidR="004039B1" w:rsidRPr="00DC1056">
        <w:rPr>
          <w:rFonts w:asciiTheme="majorHAnsi" w:hAnsiTheme="majorHAnsi" w:cstheme="majorHAnsi"/>
          <w:color w:val="FF0000"/>
        </w:rPr>
        <w:t>REF</w:t>
      </w:r>
      <w:r w:rsidR="004039B1" w:rsidRPr="00DC1056">
        <w:rPr>
          <w:rFonts w:asciiTheme="majorHAnsi" w:hAnsiTheme="majorHAnsi" w:cstheme="majorHAnsi"/>
        </w:rPr>
        <w:t xml:space="preserve">). These Shelter in Place policies heavily restricted business operations and travel for the subsequent year. </w:t>
      </w:r>
    </w:p>
    <w:p w14:paraId="3C39BF5D" w14:textId="0FC70085" w:rsidR="004039B1" w:rsidRPr="00DC1056" w:rsidRDefault="004039B1" w:rsidP="004039B1">
      <w:pPr>
        <w:rPr>
          <w:rFonts w:asciiTheme="majorHAnsi" w:hAnsiTheme="majorHAnsi" w:cstheme="majorHAnsi"/>
        </w:rPr>
      </w:pPr>
      <w:r w:rsidRPr="00DC1056">
        <w:rPr>
          <w:rFonts w:asciiTheme="majorHAnsi" w:hAnsiTheme="majorHAnsi" w:cstheme="majorHAnsi"/>
        </w:rPr>
        <w:t xml:space="preserve">While the specific conditions of 2020 created by a mixture of public policy and behavioral changes in response to the COVID-19 pandemic, we can utilize this ‘natural experiment’ to explore the influence of these pressures on mobility patterns during </w:t>
      </w:r>
      <w:r w:rsidR="00145A0B" w:rsidRPr="00DC1056">
        <w:rPr>
          <w:rFonts w:asciiTheme="majorHAnsi" w:hAnsiTheme="majorHAnsi" w:cstheme="majorHAnsi"/>
        </w:rPr>
        <w:t>periods of extreme heat</w:t>
      </w:r>
      <w:r w:rsidRPr="00DC1056">
        <w:rPr>
          <w:rFonts w:asciiTheme="majorHAnsi" w:hAnsiTheme="majorHAnsi" w:cstheme="majorHAnsi"/>
        </w:rPr>
        <w:t>. As climate change increases the number of extreme heat events</w:t>
      </w:r>
      <w:r w:rsidR="00145A0B" w:rsidRPr="00DC1056">
        <w:rPr>
          <w:rFonts w:asciiTheme="majorHAnsi" w:hAnsiTheme="majorHAnsi" w:cstheme="majorHAnsi"/>
        </w:rPr>
        <w:t>, we can anticipate that the mobility patterns seen on the hottest days will become more frequent (</w:t>
      </w:r>
      <w:r w:rsidR="00145A0B" w:rsidRPr="00DC1056">
        <w:rPr>
          <w:rFonts w:asciiTheme="majorHAnsi" w:hAnsiTheme="majorHAnsi" w:cstheme="majorHAnsi"/>
          <w:color w:val="FF0000"/>
        </w:rPr>
        <w:t>REF</w:t>
      </w:r>
      <w:r w:rsidR="00145A0B" w:rsidRPr="00DC1056">
        <w:rPr>
          <w:rFonts w:asciiTheme="majorHAnsi" w:hAnsiTheme="majorHAnsi" w:cstheme="majorHAnsi"/>
        </w:rPr>
        <w:t xml:space="preserve">). </w:t>
      </w:r>
      <w:r w:rsidR="00145A0B" w:rsidRPr="00DC1056">
        <w:rPr>
          <w:rFonts w:asciiTheme="majorHAnsi" w:hAnsiTheme="majorHAnsi" w:cstheme="majorHAnsi"/>
        </w:rPr>
        <w:t>To what extent might similar regulations</w:t>
      </w:r>
      <w:r w:rsidR="00D1707A">
        <w:rPr>
          <w:rFonts w:asciiTheme="majorHAnsi" w:hAnsiTheme="majorHAnsi" w:cstheme="majorHAnsi"/>
        </w:rPr>
        <w:t xml:space="preserve"> or environmental pressures</w:t>
      </w:r>
      <w:r w:rsidR="00145A0B" w:rsidRPr="00DC1056">
        <w:rPr>
          <w:rFonts w:asciiTheme="majorHAnsi" w:hAnsiTheme="majorHAnsi" w:cstheme="majorHAnsi"/>
        </w:rPr>
        <w:t xml:space="preserve"> change movement in the face of other non-climate drivers?</w:t>
      </w:r>
    </w:p>
    <w:p w14:paraId="78CFB38F" w14:textId="77BA7467" w:rsidR="001A520B" w:rsidRPr="00DC1056" w:rsidRDefault="001A520B">
      <w:pPr>
        <w:rPr>
          <w:rFonts w:asciiTheme="majorHAnsi" w:hAnsiTheme="majorHAnsi" w:cstheme="majorHAnsi"/>
        </w:rPr>
      </w:pPr>
    </w:p>
    <w:p w14:paraId="0F48DB71" w14:textId="3E8D2046" w:rsidR="00E73D4F" w:rsidRPr="00DC1056" w:rsidRDefault="00145A0B" w:rsidP="00145A0B">
      <w:pPr>
        <w:rPr>
          <w:rFonts w:asciiTheme="majorHAnsi" w:hAnsiTheme="majorHAnsi" w:cstheme="majorHAnsi"/>
        </w:rPr>
      </w:pPr>
      <w:r w:rsidRPr="00DC1056">
        <w:rPr>
          <w:rFonts w:asciiTheme="majorHAnsi" w:hAnsiTheme="majorHAnsi" w:cstheme="majorHAnsi"/>
        </w:rPr>
        <w:t>Studies have been published on large scale mobility patterns throughout the course of the pandemic. Some have shown that COVID-19 protocols did in fact change mobility patterns across the country, and many regions saw an increase in the frequency of visitations to public, outdoor spaces (</w:t>
      </w:r>
      <w:r w:rsidRPr="00DC1056">
        <w:rPr>
          <w:rFonts w:asciiTheme="majorHAnsi" w:hAnsiTheme="majorHAnsi" w:cstheme="majorHAnsi"/>
          <w:color w:val="FF0000"/>
        </w:rPr>
        <w:t>REF</w:t>
      </w:r>
      <w:r w:rsidRPr="00DC1056">
        <w:rPr>
          <w:rFonts w:asciiTheme="majorHAnsi" w:hAnsiTheme="majorHAnsi" w:cstheme="majorHAnsi"/>
        </w:rPr>
        <w:t xml:space="preserve">). In this paper, we create a mobility index in order to characterize </w:t>
      </w:r>
      <w:r w:rsidR="00E73D4F" w:rsidRPr="00DC1056">
        <w:rPr>
          <w:rFonts w:asciiTheme="majorHAnsi" w:hAnsiTheme="majorHAnsi" w:cstheme="majorHAnsi"/>
        </w:rPr>
        <w:t xml:space="preserve">the </w:t>
      </w:r>
      <w:r w:rsidRPr="00DC1056">
        <w:rPr>
          <w:rFonts w:asciiTheme="majorHAnsi" w:hAnsiTheme="majorHAnsi" w:cstheme="majorHAnsi"/>
        </w:rPr>
        <w:t xml:space="preserve">small scale, </w:t>
      </w:r>
      <w:r w:rsidRPr="00DC1056">
        <w:rPr>
          <w:rFonts w:asciiTheme="majorHAnsi" w:hAnsiTheme="majorHAnsi" w:cstheme="majorHAnsi"/>
        </w:rPr>
        <w:lastRenderedPageBreak/>
        <w:t xml:space="preserve">daily movement patterns </w:t>
      </w:r>
      <w:r w:rsidR="00E73D4F" w:rsidRPr="00DC1056">
        <w:rPr>
          <w:rFonts w:asciiTheme="majorHAnsi" w:hAnsiTheme="majorHAnsi" w:cstheme="majorHAnsi"/>
        </w:rPr>
        <w:t>throughout the San Francisco Bay area in 2020</w:t>
      </w:r>
      <w:r w:rsidRPr="00DC1056">
        <w:rPr>
          <w:rFonts w:asciiTheme="majorHAnsi" w:hAnsiTheme="majorHAnsi" w:cstheme="majorHAnsi"/>
        </w:rPr>
        <w:t xml:space="preserve">. We then explore the relationship of this index with temperature throughout the summer, and compare those results to the previous two years. Finally, we focus on </w:t>
      </w:r>
      <w:r w:rsidR="00E73D4F" w:rsidRPr="00DC1056">
        <w:rPr>
          <w:rFonts w:asciiTheme="majorHAnsi" w:hAnsiTheme="majorHAnsi" w:cstheme="majorHAnsi"/>
        </w:rPr>
        <w:t>periods of extreme heat</w:t>
      </w:r>
      <w:r w:rsidRPr="00DC1056">
        <w:rPr>
          <w:rFonts w:asciiTheme="majorHAnsi" w:hAnsiTheme="majorHAnsi" w:cstheme="majorHAnsi"/>
        </w:rPr>
        <w:t xml:space="preserve"> in order to [</w:t>
      </w:r>
      <w:r w:rsidRPr="00DC1056">
        <w:rPr>
          <w:rFonts w:asciiTheme="majorHAnsi" w:hAnsiTheme="majorHAnsi" w:cstheme="majorHAnsi"/>
          <w:color w:val="FF0000"/>
        </w:rPr>
        <w:t>explore where individuals were traveling</w:t>
      </w:r>
      <w:r w:rsidR="00DC1056" w:rsidRPr="00DC1056">
        <w:rPr>
          <w:rFonts w:asciiTheme="majorHAnsi" w:hAnsiTheme="majorHAnsi" w:cstheme="majorHAnsi"/>
          <w:color w:val="FF0000"/>
        </w:rPr>
        <w:t xml:space="preserve"> under these altered conditions</w:t>
      </w:r>
      <w:r w:rsidRPr="00DC1056">
        <w:rPr>
          <w:rFonts w:asciiTheme="majorHAnsi" w:hAnsiTheme="majorHAnsi" w:cstheme="majorHAnsi"/>
          <w:color w:val="FF0000"/>
        </w:rPr>
        <w:t>]</w:t>
      </w:r>
      <w:r w:rsidR="00E73D4F" w:rsidRPr="00DC1056">
        <w:rPr>
          <w:rFonts w:asciiTheme="majorHAnsi" w:hAnsiTheme="majorHAnsi" w:cstheme="majorHAnsi"/>
          <w:color w:val="FF0000"/>
        </w:rPr>
        <w:t xml:space="preserve">. </w:t>
      </w:r>
    </w:p>
    <w:p w14:paraId="79173605" w14:textId="11F34B56" w:rsidR="00BD258C" w:rsidRPr="00DC1056" w:rsidRDefault="00BD258C" w:rsidP="00BD258C">
      <w:pPr>
        <w:rPr>
          <w:rFonts w:asciiTheme="majorHAnsi" w:hAnsiTheme="majorHAnsi" w:cstheme="majorHAnsi"/>
        </w:rPr>
      </w:pPr>
    </w:p>
    <w:p w14:paraId="0A8051F5" w14:textId="77777777" w:rsidR="00BD258C" w:rsidRPr="00DC1056" w:rsidRDefault="00BD258C" w:rsidP="00BD258C">
      <w:pPr>
        <w:rPr>
          <w:rFonts w:asciiTheme="majorHAnsi" w:hAnsiTheme="majorHAnsi" w:cstheme="majorHAnsi"/>
        </w:rPr>
      </w:pPr>
    </w:p>
    <w:p w14:paraId="77D4EC75" w14:textId="77777777" w:rsidR="00BD258C" w:rsidRPr="00DC1056" w:rsidRDefault="00BD258C" w:rsidP="00BD258C">
      <w:pPr>
        <w:rPr>
          <w:rFonts w:asciiTheme="majorHAnsi" w:hAnsiTheme="majorHAnsi" w:cstheme="majorHAnsi"/>
        </w:rPr>
      </w:pPr>
      <w:r w:rsidRPr="00DC1056">
        <w:rPr>
          <w:rFonts w:asciiTheme="majorHAnsi" w:hAnsiTheme="majorHAnsi" w:cstheme="majorHAnsi"/>
        </w:rPr>
        <w:t>Methods</w:t>
      </w:r>
    </w:p>
    <w:p w14:paraId="3E803725" w14:textId="77777777" w:rsidR="00BD258C" w:rsidRPr="00DC1056" w:rsidRDefault="00BD258C" w:rsidP="00BD258C">
      <w:pPr>
        <w:rPr>
          <w:rFonts w:asciiTheme="majorHAnsi" w:hAnsiTheme="majorHAnsi" w:cstheme="majorHAnsi"/>
        </w:rPr>
      </w:pPr>
    </w:p>
    <w:p w14:paraId="57D05CFC" w14:textId="20943209" w:rsidR="006544F8" w:rsidRPr="00DC1056" w:rsidRDefault="006544F8" w:rsidP="00BD258C">
      <w:pPr>
        <w:rPr>
          <w:rFonts w:asciiTheme="majorHAnsi" w:hAnsiTheme="majorHAnsi" w:cstheme="majorHAnsi"/>
        </w:rPr>
      </w:pPr>
      <w:r w:rsidRPr="00DC1056">
        <w:rPr>
          <w:rFonts w:asciiTheme="majorHAnsi" w:hAnsiTheme="majorHAnsi" w:cstheme="majorHAnsi"/>
        </w:rPr>
        <w:t xml:space="preserve">We </w:t>
      </w:r>
      <w:r w:rsidR="00FD1DF6" w:rsidRPr="00DC1056">
        <w:rPr>
          <w:rFonts w:asciiTheme="majorHAnsi" w:hAnsiTheme="majorHAnsi" w:cstheme="majorHAnsi"/>
        </w:rPr>
        <w:t>utilized the gridMET meteorological dataset to collect</w:t>
      </w:r>
      <w:r w:rsidR="00400F47" w:rsidRPr="00DC1056">
        <w:rPr>
          <w:rFonts w:asciiTheme="majorHAnsi" w:hAnsiTheme="majorHAnsi" w:cstheme="majorHAnsi"/>
        </w:rPr>
        <w:t xml:space="preserve"> 4-km gridded </w:t>
      </w:r>
      <w:r w:rsidR="00FD1DF6" w:rsidRPr="00DC1056">
        <w:rPr>
          <w:rFonts w:asciiTheme="majorHAnsi" w:hAnsiTheme="majorHAnsi" w:cstheme="majorHAnsi"/>
        </w:rPr>
        <w:t>daily maximum temperature data</w:t>
      </w:r>
      <w:r w:rsidR="00400F47" w:rsidRPr="00DC1056">
        <w:rPr>
          <w:rFonts w:asciiTheme="majorHAnsi" w:hAnsiTheme="majorHAnsi" w:cstheme="majorHAnsi"/>
        </w:rPr>
        <w:t>. Using the county boundaries from the US Census, we calculated the</w:t>
      </w:r>
      <w:r w:rsidR="00FD1DF6" w:rsidRPr="00DC1056">
        <w:rPr>
          <w:rFonts w:asciiTheme="majorHAnsi" w:hAnsiTheme="majorHAnsi" w:cstheme="majorHAnsi"/>
        </w:rPr>
        <w:t xml:space="preserve"> mean recorded temperature of all grid cells within each county across the bay area (gridMET ref)</w:t>
      </w:r>
      <w:r w:rsidR="00400F47" w:rsidRPr="00DC1056">
        <w:rPr>
          <w:rFonts w:asciiTheme="majorHAnsi" w:hAnsiTheme="majorHAnsi" w:cstheme="majorHAnsi"/>
        </w:rPr>
        <w:t xml:space="preserve">. </w:t>
      </w:r>
      <w:r w:rsidR="00FD1DF6" w:rsidRPr="00DC1056">
        <w:rPr>
          <w:rFonts w:asciiTheme="majorHAnsi" w:hAnsiTheme="majorHAnsi" w:cstheme="majorHAnsi"/>
        </w:rPr>
        <w:t>For this analysis, we</w:t>
      </w:r>
      <w:r w:rsidR="00136167" w:rsidRPr="00DC1056">
        <w:rPr>
          <w:rFonts w:asciiTheme="majorHAnsi" w:hAnsiTheme="majorHAnsi" w:cstheme="majorHAnsi"/>
        </w:rPr>
        <w:t xml:space="preserve"> selected dates from</w:t>
      </w:r>
      <w:r w:rsidR="00FD1DF6" w:rsidRPr="00DC1056">
        <w:rPr>
          <w:rFonts w:asciiTheme="majorHAnsi" w:hAnsiTheme="majorHAnsi" w:cstheme="majorHAnsi"/>
        </w:rPr>
        <w:t xml:space="preserve"> May – September </w:t>
      </w:r>
      <w:r w:rsidR="00136167" w:rsidRPr="00DC1056">
        <w:rPr>
          <w:rFonts w:asciiTheme="majorHAnsi" w:hAnsiTheme="majorHAnsi" w:cstheme="majorHAnsi"/>
        </w:rPr>
        <w:t xml:space="preserve">for the years 2018-2020. </w:t>
      </w:r>
      <w:r w:rsidR="007C5765">
        <w:rPr>
          <w:rFonts w:asciiTheme="majorHAnsi" w:hAnsiTheme="majorHAnsi" w:cstheme="majorHAnsi"/>
        </w:rPr>
        <w:t>We used US Census estimates of median income to assign income groups to each census block group, and split the data into five buckets of equal size</w:t>
      </w:r>
      <w:r w:rsidR="00566306">
        <w:rPr>
          <w:rFonts w:asciiTheme="majorHAnsi" w:hAnsiTheme="majorHAnsi" w:cstheme="majorHAnsi"/>
        </w:rPr>
        <w:t>.</w:t>
      </w:r>
    </w:p>
    <w:p w14:paraId="6F8C0184" w14:textId="77777777" w:rsidR="00136167" w:rsidRPr="00DC1056" w:rsidRDefault="00136167" w:rsidP="00BD258C">
      <w:pPr>
        <w:rPr>
          <w:rFonts w:asciiTheme="majorHAnsi" w:hAnsiTheme="majorHAnsi" w:cstheme="majorHAnsi"/>
        </w:rPr>
      </w:pPr>
    </w:p>
    <w:p w14:paraId="69231A37" w14:textId="508D6C58" w:rsidR="00136167" w:rsidRPr="00DC1056" w:rsidRDefault="00136167" w:rsidP="00BD258C">
      <w:pPr>
        <w:rPr>
          <w:rFonts w:asciiTheme="majorHAnsi" w:eastAsiaTheme="minorEastAsia" w:hAnsiTheme="majorHAnsi" w:cstheme="majorHAnsi"/>
        </w:rPr>
      </w:pPr>
      <w:r w:rsidRPr="00DC1056">
        <w:rPr>
          <w:rFonts w:asciiTheme="majorHAnsi" w:hAnsiTheme="majorHAnsi" w:cstheme="majorHAnsi"/>
        </w:rPr>
        <w:t xml:space="preserve">We analyze mobility patterns using the </w:t>
      </w:r>
      <w:r w:rsidR="00566306" w:rsidRPr="00DC1056">
        <w:rPr>
          <w:rFonts w:asciiTheme="majorHAnsi" w:hAnsiTheme="majorHAnsi" w:cstheme="majorHAnsi"/>
        </w:rPr>
        <w:t>SafeGraph</w:t>
      </w:r>
      <w:r w:rsidRPr="00DC1056">
        <w:rPr>
          <w:rFonts w:asciiTheme="majorHAnsi" w:hAnsiTheme="majorHAnsi" w:cstheme="majorHAnsi"/>
        </w:rPr>
        <w:t xml:space="preserve"> Neighborhood Patterns</w:t>
      </w:r>
      <w:r w:rsidR="0052067B" w:rsidRPr="00DC1056">
        <w:rPr>
          <w:rFonts w:asciiTheme="majorHAnsi" w:hAnsiTheme="majorHAnsi" w:cstheme="majorHAnsi"/>
        </w:rPr>
        <w:t xml:space="preserve"> dataset. For every US census block group, we selected the number of identified home devices, and the number of stops in a given day. We define the number of visitors as the number of stops minus home devices. The values were then normalized to the number of home devices for each block group to calculate our final mobility index value (MI).</w:t>
      </w:r>
      <w:r w:rsidR="0079020C" w:rsidRPr="00DC1056">
        <w:rPr>
          <w:rFonts w:asciiTheme="majorHAnsi" w:hAnsiTheme="majorHAnsi" w:cstheme="majorHAnsi"/>
        </w:rPr>
        <w:t xml:space="preserve"> This value was calculated daily for each census block group. </w:t>
      </w:r>
      <w:r w:rsidR="0079020C" w:rsidRPr="00DC1056">
        <w:rPr>
          <w:rFonts w:asciiTheme="majorHAnsi" w:eastAsiaTheme="minorEastAsia" w:hAnsiTheme="majorHAnsi" w:cstheme="majorHAnsi"/>
        </w:rPr>
        <w:t xml:space="preserve">Year to year comparisons are done by taking the average of the summer mobility </w:t>
      </w:r>
      <w:r w:rsidR="0079020C" w:rsidRPr="00DC1056">
        <w:rPr>
          <w:rFonts w:asciiTheme="majorHAnsi" w:eastAsiaTheme="minorEastAsia" w:hAnsiTheme="majorHAnsi" w:cstheme="majorHAnsi"/>
        </w:rPr>
        <w:t>in each year.</w:t>
      </w:r>
    </w:p>
    <w:p w14:paraId="02B1942A" w14:textId="77777777" w:rsidR="0052067B" w:rsidRPr="00DC1056" w:rsidRDefault="0052067B" w:rsidP="00BD258C">
      <w:pPr>
        <w:rPr>
          <w:rFonts w:asciiTheme="majorHAnsi" w:hAnsiTheme="majorHAnsi" w:cstheme="majorHAnsi"/>
        </w:rPr>
      </w:pPr>
    </w:p>
    <w:p w14:paraId="718DBD1C" w14:textId="77777777" w:rsidR="0052067B" w:rsidRPr="00DC1056" w:rsidRDefault="0052067B" w:rsidP="00BD258C">
      <w:pPr>
        <w:rPr>
          <w:rFonts w:asciiTheme="majorHAnsi" w:eastAsiaTheme="minorEastAsia" w:hAnsiTheme="majorHAnsi" w:cstheme="majorHAnsi"/>
        </w:rPr>
      </w:pPr>
      <m:oMathPara>
        <m:oMath>
          <m:r>
            <w:rPr>
              <w:rFonts w:ascii="Cambria Math" w:hAnsi="Cambria Math" w:cstheme="majorHAnsi"/>
            </w:rPr>
            <m:t xml:space="preserve">Mobility Index </m:t>
          </m:r>
          <m:d>
            <m:dPr>
              <m:ctrlPr>
                <w:rPr>
                  <w:rFonts w:ascii="Cambria Math" w:hAnsi="Cambria Math" w:cstheme="majorHAnsi"/>
                  <w:i/>
                </w:rPr>
              </m:ctrlPr>
            </m:dPr>
            <m:e>
              <m:r>
                <w:rPr>
                  <w:rFonts w:ascii="Cambria Math" w:hAnsi="Cambria Math" w:cstheme="majorHAnsi"/>
                </w:rPr>
                <m:t>MI</m:t>
              </m:r>
            </m:e>
          </m:d>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Stops per Day-Home Devices</m:t>
              </m:r>
            </m:num>
            <m:den>
              <m:r>
                <w:rPr>
                  <w:rFonts w:ascii="Cambria Math" w:hAnsi="Cambria Math" w:cstheme="majorHAnsi"/>
                </w:rPr>
                <m:t>Home Devices</m:t>
              </m:r>
            </m:den>
          </m:f>
        </m:oMath>
      </m:oMathPara>
    </w:p>
    <w:p w14:paraId="659CE1AB" w14:textId="77777777" w:rsidR="0052067B" w:rsidRPr="00DC1056" w:rsidRDefault="0052067B" w:rsidP="00BD258C">
      <w:pPr>
        <w:rPr>
          <w:rFonts w:asciiTheme="majorHAnsi" w:eastAsiaTheme="minorEastAsia" w:hAnsiTheme="majorHAnsi" w:cstheme="majorHAnsi"/>
        </w:rPr>
      </w:pPr>
    </w:p>
    <w:p w14:paraId="54A37E5B" w14:textId="65F29E8F" w:rsidR="0079020C" w:rsidRPr="00DC1056" w:rsidRDefault="0079020C" w:rsidP="0079020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We explore the relationship between temperature and mobility on any given day in the Bay area utilizing a binned fixed effects</w:t>
      </w:r>
      <w:r w:rsidRPr="00DC1056">
        <w:rPr>
          <w:rFonts w:asciiTheme="majorHAnsi" w:eastAsiaTheme="minorEastAsia" w:hAnsiTheme="majorHAnsi" w:cstheme="majorHAnsi"/>
          <w:color w:val="000000" w:themeColor="text1"/>
        </w:rPr>
        <w:t xml:space="preserve"> regression</w:t>
      </w:r>
      <w:r w:rsidRPr="00DC1056">
        <w:rPr>
          <w:rFonts w:asciiTheme="majorHAnsi" w:eastAsiaTheme="minorEastAsia" w:hAnsiTheme="majorHAnsi" w:cstheme="majorHAnsi"/>
          <w:color w:val="000000" w:themeColor="text1"/>
        </w:rPr>
        <w:t xml:space="preserve"> model</w:t>
      </w:r>
      <w:r w:rsidRPr="00DC1056">
        <w:rPr>
          <w:rFonts w:asciiTheme="majorHAnsi" w:eastAsiaTheme="minorEastAsia" w:hAnsiTheme="majorHAnsi" w:cstheme="majorHAnsi"/>
          <w:color w:val="000000" w:themeColor="text1"/>
        </w:rPr>
        <w:t>. We group temperatures from 16 - 38</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xml:space="preserve">, and assign a bin at intervals of four. Two models were run using the daily temperature data and the calculated MI value for that day in each census block group. The first contained values from May-September 2018 and 2019. The second only contained days from 2020. The results of each model were bootstrapped to calculate the 95% confidence interval.  </w:t>
      </w:r>
    </w:p>
    <w:p w14:paraId="547522A6" w14:textId="5C823B9E" w:rsidR="00534806" w:rsidRDefault="0079020C" w:rsidP="0079020C">
      <w:pPr>
        <w:shd w:val="clear" w:color="auto" w:fill="FFFFFF"/>
        <w:spacing w:before="100" w:beforeAutospacing="1" w:after="100" w:afterAutospacing="1"/>
        <w:rPr>
          <w:rFonts w:asciiTheme="majorHAnsi" w:eastAsia="Times New Roman" w:hAnsiTheme="majorHAnsi" w:cstheme="majorHAnsi"/>
          <w:i/>
          <w:iCs/>
          <w:color w:val="FF0000"/>
        </w:rPr>
      </w:pPr>
      <w:r w:rsidRPr="0079020C">
        <w:rPr>
          <w:rFonts w:asciiTheme="majorHAnsi" w:eastAsiaTheme="minorEastAsia" w:hAnsiTheme="majorHAnsi" w:cstheme="majorHAnsi"/>
          <w:color w:val="FF0000"/>
        </w:rPr>
        <w:t>[1] Y​it​ = βX​it​ +​ n​</w:t>
      </w:r>
      <w:proofErr w:type="spellStart"/>
      <w:r w:rsidRPr="0079020C">
        <w:rPr>
          <w:rFonts w:asciiTheme="majorHAnsi" w:eastAsiaTheme="minorEastAsia" w:hAnsiTheme="majorHAnsi" w:cstheme="majorHAnsi"/>
          <w:color w:val="FF0000"/>
        </w:rPr>
        <w:t>i</w:t>
      </w:r>
      <w:proofErr w:type="spellEnd"/>
      <w:r w:rsidRPr="0079020C">
        <w:rPr>
          <w:rFonts w:asciiTheme="majorHAnsi" w:eastAsiaTheme="minorEastAsia" w:hAnsiTheme="majorHAnsi" w:cstheme="majorHAnsi"/>
          <w:color w:val="FF0000"/>
        </w:rPr>
        <w:t xml:space="preserve">​ + δ​t​ +​ </w:t>
      </w:r>
      <w:r w:rsidRPr="0079020C">
        <w:rPr>
          <w:rFonts w:ascii="Cambria Math" w:eastAsiaTheme="minorEastAsia" w:hAnsi="Cambria Math" w:cs="Cambria Math"/>
          <w:color w:val="FF0000"/>
        </w:rPr>
        <w:t>𝜃</w:t>
      </w:r>
      <w:r w:rsidRPr="0079020C">
        <w:rPr>
          <w:rFonts w:asciiTheme="majorHAnsi" w:eastAsiaTheme="minorEastAsia" w:hAnsiTheme="majorHAnsi" w:cstheme="majorHAnsi"/>
          <w:color w:val="FF0000"/>
        </w:rPr>
        <w:t>​1​it​ + ε​it</w:t>
      </w:r>
      <w:r w:rsidRPr="0079020C">
        <w:rPr>
          <w:rFonts w:asciiTheme="majorHAnsi" w:eastAsia="Times New Roman" w:hAnsiTheme="majorHAnsi" w:cstheme="majorHAnsi"/>
          <w:i/>
          <w:iCs/>
          <w:color w:val="FF0000"/>
          <w:position w:val="-6"/>
        </w:rPr>
        <w:br/>
      </w:r>
      <w:r w:rsidRPr="0079020C">
        <w:rPr>
          <w:rFonts w:asciiTheme="majorHAnsi" w:eastAsia="Times New Roman" w:hAnsiTheme="majorHAnsi" w:cstheme="majorHAnsi"/>
          <w:i/>
          <w:iCs/>
          <w:color w:val="FF0000"/>
        </w:rPr>
        <w:t>Where Y</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i/>
          <w:iCs/>
          <w:color w:val="FF0000"/>
          <w:position w:val="-6"/>
        </w:rPr>
        <w:t>t</w:t>
      </w:r>
      <w:r w:rsidRPr="0079020C">
        <w:rPr>
          <w:rFonts w:asciiTheme="majorHAnsi" w:eastAsia="Times New Roman" w:hAnsiTheme="majorHAnsi" w:cstheme="majorHAnsi"/>
          <w:color w:val="FF0000"/>
          <w:position w:val="-6"/>
        </w:rPr>
        <w:t xml:space="preserve">​ </w:t>
      </w:r>
      <w:r w:rsidRPr="0079020C">
        <w:rPr>
          <w:rFonts w:asciiTheme="majorHAnsi" w:eastAsia="Times New Roman" w:hAnsiTheme="majorHAnsi" w:cstheme="majorHAnsi"/>
          <w:i/>
          <w:iCs/>
          <w:color w:val="FF0000"/>
        </w:rPr>
        <w:t xml:space="preserve">is the change in </w:t>
      </w:r>
      <w:r w:rsidRPr="00DC1056">
        <w:rPr>
          <w:rFonts w:asciiTheme="majorHAnsi" w:eastAsia="Times New Roman" w:hAnsiTheme="majorHAnsi" w:cstheme="majorHAnsi"/>
          <w:i/>
          <w:iCs/>
          <w:color w:val="FF0000"/>
        </w:rPr>
        <w:t>mobility (MI)</w:t>
      </w:r>
      <w:r w:rsidRPr="0079020C">
        <w:rPr>
          <w:rFonts w:asciiTheme="majorHAnsi" w:eastAsia="Times New Roman" w:hAnsiTheme="majorHAnsi" w:cstheme="majorHAnsi"/>
          <w:i/>
          <w:iCs/>
          <w:color w:val="FF0000"/>
        </w:rPr>
        <w:t>; X</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w:t>
      </w:r>
      <w:r w:rsidRPr="0079020C">
        <w:rPr>
          <w:rFonts w:asciiTheme="majorHAnsi" w:eastAsia="Times New Roman" w:hAnsiTheme="majorHAnsi" w:cstheme="majorHAnsi"/>
          <w:i/>
          <w:iCs/>
          <w:color w:val="FF0000"/>
          <w:position w:val="-6"/>
        </w:rPr>
        <w:t xml:space="preserve">t </w:t>
      </w:r>
      <w:proofErr w:type="spellStart"/>
      <w:r w:rsidRPr="0079020C">
        <w:rPr>
          <w:rFonts w:asciiTheme="majorHAnsi" w:eastAsia="Times New Roman" w:hAnsiTheme="majorHAnsi" w:cstheme="majorHAnsi"/>
          <w:i/>
          <w:iCs/>
          <w:color w:val="FF0000"/>
        </w:rPr>
        <w:t>i</w:t>
      </w:r>
      <w:proofErr w:type="spellEnd"/>
      <w:r w:rsidRPr="0079020C">
        <w:rPr>
          <w:rFonts w:asciiTheme="majorHAnsi" w:eastAsia="Times New Roman" w:hAnsiTheme="majorHAnsi" w:cstheme="majorHAnsi"/>
          <w:color w:val="FF0000"/>
          <w:position w:val="-6"/>
        </w:rPr>
        <w:t>​</w:t>
      </w:r>
      <w:r w:rsidRPr="0079020C">
        <w:rPr>
          <w:rFonts w:asciiTheme="majorHAnsi" w:eastAsia="Times New Roman" w:hAnsiTheme="majorHAnsi" w:cstheme="majorHAnsi"/>
          <w:i/>
          <w:iCs/>
          <w:color w:val="FF0000"/>
        </w:rPr>
        <w:t>s the</w:t>
      </w:r>
      <w:r w:rsidRPr="00DC1056">
        <w:rPr>
          <w:rFonts w:asciiTheme="majorHAnsi" w:eastAsia="Times New Roman" w:hAnsiTheme="majorHAnsi" w:cstheme="majorHAnsi"/>
          <w:i/>
          <w:iCs/>
          <w:color w:val="FF0000"/>
        </w:rPr>
        <w:t xml:space="preserve"> average</w:t>
      </w:r>
      <w:r w:rsidRPr="0079020C">
        <w:rPr>
          <w:rFonts w:asciiTheme="majorHAnsi" w:eastAsia="Times New Roman" w:hAnsiTheme="majorHAnsi" w:cstheme="majorHAnsi"/>
          <w:i/>
          <w:iCs/>
          <w:color w:val="FF0000"/>
        </w:rPr>
        <w:t xml:space="preserve"> </w:t>
      </w:r>
      <w:r w:rsidRPr="00DC1056">
        <w:rPr>
          <w:rFonts w:asciiTheme="majorHAnsi" w:eastAsia="Times New Roman" w:hAnsiTheme="majorHAnsi" w:cstheme="majorHAnsi"/>
          <w:i/>
          <w:iCs/>
          <w:color w:val="FF0000"/>
        </w:rPr>
        <w:t>maximum high temperature</w:t>
      </w:r>
      <w:r w:rsidRPr="0079020C">
        <w:rPr>
          <w:rFonts w:asciiTheme="majorHAnsi" w:eastAsia="Times New Roman" w:hAnsiTheme="majorHAnsi" w:cstheme="majorHAnsi"/>
          <w:i/>
          <w:iCs/>
          <w:color w:val="FF0000"/>
        </w:rPr>
        <w:t xml:space="preserve"> in county </w:t>
      </w:r>
      <w:proofErr w:type="spellStart"/>
      <w:r w:rsidRPr="0079020C">
        <w:rPr>
          <w:rFonts w:asciiTheme="majorHAnsi" w:eastAsia="Times New Roman" w:hAnsiTheme="majorHAnsi" w:cstheme="majorHAnsi"/>
          <w:i/>
          <w:iCs/>
          <w:color w:val="FF0000"/>
        </w:rPr>
        <w:t>i</w:t>
      </w:r>
      <w:proofErr w:type="spellEnd"/>
      <w:r w:rsidRPr="0079020C">
        <w:rPr>
          <w:rFonts w:asciiTheme="majorHAnsi" w:eastAsia="Times New Roman" w:hAnsiTheme="majorHAnsi" w:cstheme="majorHAnsi"/>
          <w:i/>
          <w:iCs/>
          <w:color w:val="FF0000"/>
        </w:rPr>
        <w:t xml:space="preserve"> during month t; n</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color w:val="FF0000"/>
          <w:position w:val="-6"/>
        </w:rPr>
        <w:t>​</w:t>
      </w:r>
      <w:r w:rsidRPr="0079020C">
        <w:rPr>
          <w:rFonts w:asciiTheme="majorHAnsi" w:eastAsia="Times New Roman" w:hAnsiTheme="majorHAnsi" w:cstheme="majorHAnsi"/>
          <w:i/>
          <w:iCs/>
          <w:color w:val="FF0000"/>
        </w:rPr>
        <w:t xml:space="preserve">is the county fixed effects; </w:t>
      </w:r>
      <w:r w:rsidRPr="0079020C">
        <w:rPr>
          <w:rFonts w:asciiTheme="majorHAnsi" w:eastAsia="Times New Roman" w:hAnsiTheme="majorHAnsi" w:cstheme="majorHAnsi"/>
          <w:color w:val="FF0000"/>
        </w:rPr>
        <w:t>δ</w:t>
      </w:r>
      <w:r w:rsidRPr="0079020C">
        <w:rPr>
          <w:rFonts w:asciiTheme="majorHAnsi" w:eastAsia="Times New Roman" w:hAnsiTheme="majorHAnsi" w:cstheme="majorHAnsi"/>
          <w:i/>
          <w:iCs/>
          <w:color w:val="FF0000"/>
          <w:position w:val="-6"/>
        </w:rPr>
        <w:t>t</w:t>
      </w:r>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color w:val="FF0000"/>
          <w:position w:val="-6"/>
        </w:rPr>
        <w:t>​</w:t>
      </w:r>
      <w:r w:rsidRPr="0079020C">
        <w:rPr>
          <w:rFonts w:asciiTheme="majorHAnsi" w:eastAsia="Times New Roman" w:hAnsiTheme="majorHAnsi" w:cstheme="majorHAnsi"/>
          <w:i/>
          <w:iCs/>
          <w:color w:val="FF0000"/>
        </w:rPr>
        <w:t xml:space="preserve">is the year &amp; month fixed effect; </w:t>
      </w:r>
      <w:r w:rsidRPr="0079020C">
        <w:rPr>
          <w:rFonts w:ascii="Cambria Math" w:eastAsia="Times New Roman" w:hAnsi="Cambria Math" w:cs="Cambria Math"/>
          <w:color w:val="FF0000"/>
        </w:rPr>
        <w:t>𝜃</w:t>
      </w:r>
      <w:r w:rsidRPr="0079020C">
        <w:rPr>
          <w:rFonts w:asciiTheme="majorHAnsi" w:eastAsia="Times New Roman" w:hAnsiTheme="majorHAnsi" w:cstheme="majorHAnsi"/>
          <w:color w:val="FF0000"/>
        </w:rPr>
        <w:t>​</w:t>
      </w:r>
      <w:r w:rsidRPr="0079020C">
        <w:rPr>
          <w:rFonts w:asciiTheme="majorHAnsi" w:eastAsia="Times New Roman" w:hAnsiTheme="majorHAnsi" w:cstheme="majorHAnsi"/>
          <w:i/>
          <w:iCs/>
          <w:color w:val="FF0000"/>
          <w:position w:val="-6"/>
        </w:rPr>
        <w:t>1it</w:t>
      </w:r>
      <w:r w:rsidRPr="0079020C">
        <w:rPr>
          <w:rFonts w:asciiTheme="majorHAnsi" w:eastAsia="Times New Roman" w:hAnsiTheme="majorHAnsi" w:cstheme="majorHAnsi"/>
          <w:color w:val="FF0000"/>
          <w:position w:val="-6"/>
        </w:rPr>
        <w:t xml:space="preserve">​ </w:t>
      </w:r>
      <w:r w:rsidRPr="0079020C">
        <w:rPr>
          <w:rFonts w:asciiTheme="majorHAnsi" w:eastAsia="Times New Roman" w:hAnsiTheme="majorHAnsi" w:cstheme="majorHAnsi"/>
          <w:i/>
          <w:iCs/>
          <w:color w:val="FF0000"/>
        </w:rPr>
        <w:t xml:space="preserve">are state-specific linear time trends; </w:t>
      </w:r>
      <w:r w:rsidRPr="0079020C">
        <w:rPr>
          <w:rFonts w:asciiTheme="majorHAnsi" w:eastAsia="Times New Roman" w:hAnsiTheme="majorHAnsi" w:cstheme="majorHAnsi"/>
          <w:color w:val="FF0000"/>
        </w:rPr>
        <w:t>ε</w:t>
      </w:r>
      <w:proofErr w:type="spellStart"/>
      <w:r w:rsidRPr="0079020C">
        <w:rPr>
          <w:rFonts w:asciiTheme="majorHAnsi" w:eastAsia="Times New Roman" w:hAnsiTheme="majorHAnsi" w:cstheme="majorHAnsi"/>
          <w:i/>
          <w:iCs/>
          <w:color w:val="FF0000"/>
          <w:position w:val="-6"/>
        </w:rPr>
        <w:t>i</w:t>
      </w:r>
      <w:proofErr w:type="spellEnd"/>
      <w:r w:rsidRPr="0079020C">
        <w:rPr>
          <w:rFonts w:asciiTheme="majorHAnsi" w:eastAsia="Times New Roman" w:hAnsiTheme="majorHAnsi" w:cstheme="majorHAnsi"/>
          <w:color w:val="FF0000"/>
        </w:rPr>
        <w:t xml:space="preserve">​ </w:t>
      </w:r>
      <w:r w:rsidRPr="0079020C">
        <w:rPr>
          <w:rFonts w:asciiTheme="majorHAnsi" w:eastAsia="Times New Roman" w:hAnsiTheme="majorHAnsi" w:cstheme="majorHAnsi"/>
          <w:i/>
          <w:iCs/>
          <w:color w:val="FF0000"/>
          <w:position w:val="-6"/>
        </w:rPr>
        <w:t xml:space="preserve">t </w:t>
      </w:r>
      <w:proofErr w:type="spellStart"/>
      <w:r w:rsidRPr="0079020C">
        <w:rPr>
          <w:rFonts w:asciiTheme="majorHAnsi" w:eastAsia="Times New Roman" w:hAnsiTheme="majorHAnsi" w:cstheme="majorHAnsi"/>
          <w:i/>
          <w:iCs/>
          <w:color w:val="FF0000"/>
        </w:rPr>
        <w:t>i</w:t>
      </w:r>
      <w:proofErr w:type="spellEnd"/>
      <w:r w:rsidRPr="0079020C">
        <w:rPr>
          <w:rFonts w:asciiTheme="majorHAnsi" w:eastAsia="Times New Roman" w:hAnsiTheme="majorHAnsi" w:cstheme="majorHAnsi"/>
          <w:color w:val="FF0000"/>
          <w:position w:val="-6"/>
        </w:rPr>
        <w:t xml:space="preserve">​ </w:t>
      </w:r>
      <w:r w:rsidRPr="0079020C">
        <w:rPr>
          <w:rFonts w:asciiTheme="majorHAnsi" w:eastAsia="Times New Roman" w:hAnsiTheme="majorHAnsi" w:cstheme="majorHAnsi"/>
          <w:i/>
          <w:iCs/>
          <w:color w:val="FF0000"/>
        </w:rPr>
        <w:t xml:space="preserve">s an error term that accounts for correlation between counties and within a state in a given year. </w:t>
      </w:r>
    </w:p>
    <w:p w14:paraId="38FBE68C" w14:textId="4D0C7165" w:rsidR="00534806" w:rsidRDefault="00534806" w:rsidP="0079020C">
      <w:pPr>
        <w:shd w:val="clear" w:color="auto" w:fill="FFFFFF"/>
        <w:spacing w:before="100" w:beforeAutospacing="1" w:after="100" w:afterAutospacing="1"/>
        <w:rPr>
          <w:rFonts w:asciiTheme="majorHAnsi" w:eastAsia="Times New Roman" w:hAnsiTheme="majorHAnsi" w:cstheme="majorHAnsi"/>
          <w:i/>
          <w:iCs/>
          <w:color w:val="FF0000"/>
        </w:rPr>
      </w:pPr>
      <w:r>
        <w:rPr>
          <w:rFonts w:asciiTheme="majorHAnsi" w:eastAsia="Times New Roman" w:hAnsiTheme="majorHAnsi" w:cstheme="majorHAnsi"/>
          <w:i/>
          <w:iCs/>
          <w:color w:val="FF0000"/>
        </w:rPr>
        <w:t xml:space="preserve">Second pipe is clustering </w:t>
      </w:r>
    </w:p>
    <w:p w14:paraId="716710DF" w14:textId="316FBEF9" w:rsidR="00FA2C29" w:rsidRPr="00DC1056" w:rsidRDefault="00FA2C29" w:rsidP="0079020C">
      <w:pPr>
        <w:shd w:val="clear" w:color="auto" w:fill="FFFFFF"/>
        <w:spacing w:before="100" w:beforeAutospacing="1" w:after="100" w:afterAutospacing="1"/>
        <w:rPr>
          <w:rFonts w:asciiTheme="majorHAnsi" w:eastAsia="Times New Roman" w:hAnsiTheme="majorHAnsi" w:cstheme="majorHAnsi"/>
          <w:i/>
          <w:iCs/>
          <w:color w:val="FF0000"/>
        </w:rPr>
      </w:pPr>
      <w:r>
        <w:rPr>
          <w:rFonts w:asciiTheme="majorHAnsi" w:eastAsia="Times New Roman" w:hAnsiTheme="majorHAnsi" w:cstheme="majorHAnsi"/>
          <w:i/>
          <w:iCs/>
          <w:color w:val="FF0000"/>
        </w:rPr>
        <w:t xml:space="preserve">Look at ERL paper </w:t>
      </w:r>
    </w:p>
    <w:p w14:paraId="16B40A2A" w14:textId="30F280FD" w:rsidR="00AC1051" w:rsidRPr="00DC1056" w:rsidRDefault="00AC1051" w:rsidP="0079020C">
      <w:pPr>
        <w:shd w:val="clear" w:color="auto" w:fill="FFFFFF"/>
        <w:spacing w:before="100" w:beforeAutospacing="1" w:after="100" w:afterAutospacing="1"/>
        <w:rPr>
          <w:rFonts w:asciiTheme="majorHAnsi" w:eastAsia="Times New Roman" w:hAnsiTheme="majorHAnsi" w:cstheme="majorHAnsi"/>
          <w:iCs/>
          <w:color w:val="000000" w:themeColor="text1"/>
        </w:rPr>
      </w:pPr>
      <w:r w:rsidRPr="00DC1056">
        <w:rPr>
          <w:rFonts w:asciiTheme="majorHAnsi" w:eastAsia="Times New Roman" w:hAnsiTheme="majorHAnsi" w:cstheme="majorHAnsi"/>
          <w:iCs/>
          <w:color w:val="000000" w:themeColor="text1"/>
        </w:rPr>
        <w:lastRenderedPageBreak/>
        <w:t>To further understand the trends in visited locations on the hottest days of the summer, we categorized census block groups based on their population density—calculated by diving the US Census population value for the block group by the land area. Every block group above the 75</w:t>
      </w:r>
      <w:r w:rsidRPr="00DC1056">
        <w:rPr>
          <w:rFonts w:asciiTheme="majorHAnsi" w:eastAsia="Times New Roman" w:hAnsiTheme="majorHAnsi" w:cstheme="majorHAnsi"/>
          <w:iCs/>
          <w:color w:val="000000" w:themeColor="text1"/>
          <w:vertAlign w:val="superscript"/>
        </w:rPr>
        <w:t>th</w:t>
      </w:r>
      <w:r w:rsidRPr="00DC1056">
        <w:rPr>
          <w:rFonts w:asciiTheme="majorHAnsi" w:eastAsia="Times New Roman" w:hAnsiTheme="majorHAnsi" w:cstheme="majorHAnsi"/>
          <w:iCs/>
          <w:color w:val="000000" w:themeColor="text1"/>
        </w:rPr>
        <w:t xml:space="preserve"> percentile for the region was labeled as “dense”, and the bottom 25</w:t>
      </w:r>
      <w:r w:rsidRPr="00DC1056">
        <w:rPr>
          <w:rFonts w:asciiTheme="majorHAnsi" w:eastAsia="Times New Roman" w:hAnsiTheme="majorHAnsi" w:cstheme="majorHAnsi"/>
          <w:iCs/>
          <w:color w:val="000000" w:themeColor="text1"/>
          <w:vertAlign w:val="superscript"/>
        </w:rPr>
        <w:t>th</w:t>
      </w:r>
      <w:r w:rsidRPr="00DC1056">
        <w:rPr>
          <w:rFonts w:asciiTheme="majorHAnsi" w:eastAsia="Times New Roman" w:hAnsiTheme="majorHAnsi" w:cstheme="majorHAnsi"/>
          <w:iCs/>
          <w:color w:val="000000" w:themeColor="text1"/>
        </w:rPr>
        <w:t xml:space="preserve"> percentile was labeled as sparse. Then, in order to investigate where individuals were visiting, we subset the data to include only the days in the hottest bin (&gt;= 34</w:t>
      </w:r>
      <w:r w:rsidRPr="00DC1056">
        <w:rPr>
          <w:rFonts w:asciiTheme="majorHAnsi" w:eastAsiaTheme="minorEastAsia" w:hAnsiTheme="majorHAnsi" w:cstheme="majorHAnsi"/>
          <w:color w:val="000000" w:themeColor="text1"/>
        </w:rPr>
        <w:t>°</w:t>
      </w:r>
      <w:proofErr w:type="gramStart"/>
      <w:r w:rsidRPr="00DC1056">
        <w:rPr>
          <w:rFonts w:asciiTheme="majorHAnsi" w:eastAsiaTheme="minorEastAsia" w:hAnsiTheme="majorHAnsi" w:cstheme="majorHAnsi"/>
          <w:color w:val="000000" w:themeColor="text1"/>
        </w:rPr>
        <w:t>C</w:t>
      </w:r>
      <w:r w:rsidRPr="00DC1056">
        <w:rPr>
          <w:rFonts w:asciiTheme="majorHAnsi" w:eastAsia="Times New Roman" w:hAnsiTheme="majorHAnsi" w:cstheme="majorHAnsi"/>
          <w:iCs/>
          <w:color w:val="000000" w:themeColor="text1"/>
        </w:rPr>
        <w:t xml:space="preserve"> )</w:t>
      </w:r>
      <w:proofErr w:type="gramEnd"/>
      <w:r w:rsidRPr="00DC1056">
        <w:rPr>
          <w:rFonts w:asciiTheme="majorHAnsi" w:eastAsia="Times New Roman" w:hAnsiTheme="majorHAnsi" w:cstheme="majorHAnsi"/>
          <w:iCs/>
          <w:color w:val="000000" w:themeColor="text1"/>
        </w:rPr>
        <w:t xml:space="preserve"> find the average mobility index of those days, and select for the most mobile block groups (MI &gt;= 3).</w:t>
      </w:r>
    </w:p>
    <w:p w14:paraId="4E8A4FB0" w14:textId="6F43DF65" w:rsidR="0052067B" w:rsidRPr="00DC1056" w:rsidRDefault="0079020C" w:rsidP="00BD258C">
      <w:pPr>
        <w:rPr>
          <w:rFonts w:asciiTheme="majorHAnsi" w:eastAsiaTheme="minorEastAsia" w:hAnsiTheme="majorHAnsi" w:cstheme="majorHAnsi"/>
        </w:rPr>
      </w:pPr>
      <w:r w:rsidRPr="00DC1056">
        <w:rPr>
          <w:rFonts w:asciiTheme="majorHAnsi" w:eastAsiaTheme="minorEastAsia" w:hAnsiTheme="majorHAnsi" w:cstheme="majorHAnsi"/>
        </w:rPr>
        <w:t>Results</w:t>
      </w:r>
    </w:p>
    <w:p w14:paraId="1B0D342A" w14:textId="200803A4" w:rsidR="0079020C" w:rsidRPr="00DC1056" w:rsidRDefault="0079020C" w:rsidP="00BD258C">
      <w:pPr>
        <w:rPr>
          <w:rFonts w:asciiTheme="majorHAnsi" w:eastAsiaTheme="minorEastAsia" w:hAnsiTheme="majorHAnsi" w:cstheme="majorHAnsi"/>
        </w:rPr>
      </w:pPr>
    </w:p>
    <w:p w14:paraId="256AB010" w14:textId="606BCEFF" w:rsidR="0079020C" w:rsidRPr="00DC1056" w:rsidRDefault="0079020C" w:rsidP="00BD258C">
      <w:pPr>
        <w:rPr>
          <w:rFonts w:asciiTheme="majorHAnsi" w:eastAsiaTheme="minorEastAsia" w:hAnsiTheme="majorHAnsi" w:cstheme="majorHAnsi"/>
          <w:color w:val="FF0000"/>
        </w:rPr>
      </w:pPr>
      <w:r w:rsidRPr="00DC1056">
        <w:rPr>
          <w:rFonts w:asciiTheme="majorHAnsi" w:eastAsiaTheme="minorEastAsia" w:hAnsiTheme="majorHAnsi" w:cstheme="majorHAnsi"/>
        </w:rPr>
        <w:t xml:space="preserve">We find that our calculated MI shows a decrease in movement in </w:t>
      </w:r>
      <w:r w:rsidR="00937803">
        <w:rPr>
          <w:rFonts w:asciiTheme="majorHAnsi" w:eastAsiaTheme="minorEastAsia" w:hAnsiTheme="majorHAnsi" w:cstheme="majorHAnsi"/>
        </w:rPr>
        <w:t xml:space="preserve">the summer of 2020 when compared to the previous two years from an average </w:t>
      </w:r>
      <w:r w:rsidR="00976FFD">
        <w:rPr>
          <w:rFonts w:asciiTheme="majorHAnsi" w:eastAsiaTheme="minorEastAsia" w:hAnsiTheme="majorHAnsi" w:cstheme="majorHAnsi"/>
        </w:rPr>
        <w:t xml:space="preserve">MI of 1.13 visitors per </w:t>
      </w:r>
      <w:r w:rsidR="00784606">
        <w:rPr>
          <w:rFonts w:asciiTheme="majorHAnsi" w:eastAsiaTheme="minorEastAsia" w:hAnsiTheme="majorHAnsi" w:cstheme="majorHAnsi"/>
        </w:rPr>
        <w:t>resident to 0.67.</w:t>
      </w:r>
      <w:r w:rsidRPr="00DC1056">
        <w:rPr>
          <w:rFonts w:asciiTheme="majorHAnsi" w:eastAsiaTheme="minorEastAsia" w:hAnsiTheme="majorHAnsi" w:cstheme="majorHAnsi"/>
        </w:rPr>
        <w:t xml:space="preserve"> The largest decrease occurred</w:t>
      </w:r>
      <w:r w:rsidR="00784606">
        <w:rPr>
          <w:rFonts w:asciiTheme="majorHAnsi" w:eastAsiaTheme="minorEastAsia" w:hAnsiTheme="majorHAnsi" w:cstheme="majorHAnsi"/>
        </w:rPr>
        <w:t xml:space="preserve"> prior to the start of the summer season,</w:t>
      </w:r>
      <w:r w:rsidRPr="00DC1056">
        <w:rPr>
          <w:rFonts w:asciiTheme="majorHAnsi" w:eastAsiaTheme="minorEastAsia" w:hAnsiTheme="majorHAnsi" w:cstheme="majorHAnsi"/>
        </w:rPr>
        <w:t xml:space="preserve"> in </w:t>
      </w:r>
      <w:r w:rsidR="00784606">
        <w:rPr>
          <w:rFonts w:asciiTheme="majorHAnsi" w:eastAsiaTheme="minorEastAsia" w:hAnsiTheme="majorHAnsi" w:cstheme="majorHAnsi"/>
        </w:rPr>
        <w:t>mid-</w:t>
      </w:r>
      <w:r w:rsidRPr="00DC1056">
        <w:rPr>
          <w:rFonts w:asciiTheme="majorHAnsi" w:eastAsiaTheme="minorEastAsia" w:hAnsiTheme="majorHAnsi" w:cstheme="majorHAnsi"/>
        </w:rPr>
        <w:t>March to early April</w:t>
      </w:r>
      <w:r w:rsidR="00784606">
        <w:rPr>
          <w:rFonts w:asciiTheme="majorHAnsi" w:eastAsiaTheme="minorEastAsia" w:hAnsiTheme="majorHAnsi" w:cstheme="majorHAnsi"/>
        </w:rPr>
        <w:t>. This coincided with</w:t>
      </w:r>
      <w:r w:rsidRPr="00DC1056">
        <w:rPr>
          <w:rFonts w:asciiTheme="majorHAnsi" w:eastAsiaTheme="minorEastAsia" w:hAnsiTheme="majorHAnsi" w:cstheme="majorHAnsi"/>
        </w:rPr>
        <w:t xml:space="preserve"> at the beginning of Shelter in Place policies in the bay area</w:t>
      </w:r>
      <w:r w:rsidR="00784606">
        <w:rPr>
          <w:rFonts w:asciiTheme="majorHAnsi" w:eastAsiaTheme="minorEastAsia" w:hAnsiTheme="majorHAnsi" w:cstheme="majorHAnsi"/>
        </w:rPr>
        <w:t xml:space="preserve"> that began on March 16</w:t>
      </w:r>
      <w:r w:rsidR="00784606" w:rsidRPr="00784606">
        <w:rPr>
          <w:rFonts w:asciiTheme="majorHAnsi" w:eastAsiaTheme="minorEastAsia" w:hAnsiTheme="majorHAnsi" w:cstheme="majorHAnsi"/>
          <w:vertAlign w:val="superscript"/>
        </w:rPr>
        <w:t>th</w:t>
      </w:r>
      <w:r w:rsidR="00784606">
        <w:rPr>
          <w:rFonts w:asciiTheme="majorHAnsi" w:eastAsiaTheme="minorEastAsia" w:hAnsiTheme="majorHAnsi" w:cstheme="majorHAnsi"/>
        </w:rPr>
        <w:t>, 2020.</w:t>
      </w:r>
      <w:r w:rsidR="00937803">
        <w:rPr>
          <w:rFonts w:asciiTheme="majorHAnsi" w:eastAsiaTheme="minorEastAsia" w:hAnsiTheme="majorHAnsi" w:cstheme="majorHAnsi"/>
        </w:rPr>
        <w:t xml:space="preserve"> </w:t>
      </w:r>
      <w:r w:rsidR="00E116CC">
        <w:rPr>
          <w:rFonts w:asciiTheme="majorHAnsi" w:eastAsiaTheme="minorEastAsia" w:hAnsiTheme="majorHAnsi" w:cstheme="majorHAnsi"/>
        </w:rPr>
        <w:t>Mobility hovered around 0 for the first month of policy restrictions, with the lowest recorded date occurring on March 31</w:t>
      </w:r>
      <w:r w:rsidR="00E116CC" w:rsidRPr="00E116CC">
        <w:rPr>
          <w:rFonts w:asciiTheme="majorHAnsi" w:eastAsiaTheme="minorEastAsia" w:hAnsiTheme="majorHAnsi" w:cstheme="majorHAnsi"/>
          <w:vertAlign w:val="superscript"/>
        </w:rPr>
        <w:t>st</w:t>
      </w:r>
      <w:r w:rsidR="00E116CC">
        <w:rPr>
          <w:rFonts w:asciiTheme="majorHAnsi" w:eastAsiaTheme="minorEastAsia" w:hAnsiTheme="majorHAnsi" w:cstheme="majorHAnsi"/>
        </w:rPr>
        <w:t xml:space="preserve">, 2020 with an MI of </w:t>
      </w:r>
      <w:r w:rsidR="00E116CC">
        <w:rPr>
          <w:rFonts w:asciiTheme="majorHAnsi" w:eastAsiaTheme="minorEastAsia" w:hAnsiTheme="majorHAnsi" w:cstheme="majorHAnsi"/>
        </w:rPr>
        <w:t>-0.47</w:t>
      </w:r>
      <w:r w:rsidR="00E116CC">
        <w:rPr>
          <w:rFonts w:asciiTheme="majorHAnsi" w:eastAsiaTheme="minorEastAsia" w:hAnsiTheme="majorHAnsi" w:cstheme="majorHAnsi"/>
          <w:color w:val="FF0000"/>
        </w:rPr>
        <w:t xml:space="preserve"> [</w:t>
      </w:r>
      <w:r w:rsidRPr="00937803">
        <w:rPr>
          <w:rFonts w:asciiTheme="majorHAnsi" w:eastAsiaTheme="minorEastAsia" w:hAnsiTheme="majorHAnsi" w:cstheme="majorHAnsi"/>
          <w:color w:val="FF0000"/>
        </w:rPr>
        <w:t>REF OF SIP</w:t>
      </w:r>
      <w:r w:rsidR="00937803" w:rsidRPr="00937803">
        <w:rPr>
          <w:rFonts w:asciiTheme="majorHAnsi" w:eastAsiaTheme="minorEastAsia" w:hAnsiTheme="majorHAnsi" w:cstheme="majorHAnsi"/>
          <w:color w:val="FF0000"/>
        </w:rPr>
        <w:t xml:space="preserve"> start date?</w:t>
      </w:r>
      <w:r w:rsidRPr="00DC1056">
        <w:rPr>
          <w:rFonts w:asciiTheme="majorHAnsi" w:eastAsiaTheme="minorEastAsia" w:hAnsiTheme="majorHAnsi" w:cstheme="majorHAnsi"/>
        </w:rPr>
        <w:t xml:space="preserve">]. </w:t>
      </w:r>
      <w:r w:rsidR="00636356">
        <w:rPr>
          <w:rFonts w:asciiTheme="majorHAnsi" w:eastAsiaTheme="minorEastAsia" w:hAnsiTheme="majorHAnsi" w:cstheme="majorHAnsi"/>
        </w:rPr>
        <w:t xml:space="preserve">4037 of 4950 census block groups in the studied regions saw a </w:t>
      </w:r>
      <w:r w:rsidR="00636356" w:rsidRPr="00636356">
        <w:rPr>
          <w:rFonts w:asciiTheme="majorHAnsi" w:eastAsiaTheme="minorEastAsia" w:hAnsiTheme="majorHAnsi" w:cstheme="majorHAnsi"/>
          <w:color w:val="000000" w:themeColor="text1"/>
        </w:rPr>
        <w:t>decrease in mobility f</w:t>
      </w:r>
      <w:r w:rsidR="008D51C7" w:rsidRPr="00636356">
        <w:rPr>
          <w:rFonts w:asciiTheme="majorHAnsi" w:eastAsiaTheme="minorEastAsia" w:hAnsiTheme="majorHAnsi" w:cstheme="majorHAnsi"/>
          <w:color w:val="000000" w:themeColor="text1"/>
        </w:rPr>
        <w:t>rom the summer of 2019 to 2020</w:t>
      </w:r>
      <w:r w:rsidR="00636356" w:rsidRPr="00636356">
        <w:rPr>
          <w:rFonts w:asciiTheme="majorHAnsi" w:eastAsiaTheme="minorEastAsia" w:hAnsiTheme="majorHAnsi" w:cstheme="majorHAnsi"/>
          <w:color w:val="000000" w:themeColor="text1"/>
        </w:rPr>
        <w:t>. 2072</w:t>
      </w:r>
      <w:r w:rsidR="008D51C7" w:rsidRPr="00636356">
        <w:rPr>
          <w:rFonts w:asciiTheme="majorHAnsi" w:eastAsiaTheme="minorEastAsia" w:hAnsiTheme="majorHAnsi" w:cstheme="majorHAnsi"/>
          <w:color w:val="000000" w:themeColor="text1"/>
        </w:rPr>
        <w:t xml:space="preserve"> </w:t>
      </w:r>
      <w:r w:rsidR="00636356" w:rsidRPr="00636356">
        <w:rPr>
          <w:rFonts w:asciiTheme="majorHAnsi" w:eastAsiaTheme="minorEastAsia" w:hAnsiTheme="majorHAnsi" w:cstheme="majorHAnsi"/>
          <w:color w:val="000000" w:themeColor="text1"/>
        </w:rPr>
        <w:t>of those</w:t>
      </w:r>
      <w:r w:rsidR="008D51C7" w:rsidRPr="00636356">
        <w:rPr>
          <w:rFonts w:asciiTheme="majorHAnsi" w:eastAsiaTheme="minorEastAsia" w:hAnsiTheme="majorHAnsi" w:cstheme="majorHAnsi"/>
          <w:color w:val="000000" w:themeColor="text1"/>
        </w:rPr>
        <w:t xml:space="preserve"> experienced a &gt;= </w:t>
      </w:r>
      <w:r w:rsidR="00636356" w:rsidRPr="00636356">
        <w:rPr>
          <w:rFonts w:asciiTheme="majorHAnsi" w:eastAsiaTheme="minorEastAsia" w:hAnsiTheme="majorHAnsi" w:cstheme="majorHAnsi"/>
          <w:color w:val="000000" w:themeColor="text1"/>
        </w:rPr>
        <w:t xml:space="preserve">50% decrease </w:t>
      </w:r>
      <w:r w:rsidR="008D51C7" w:rsidRPr="00636356">
        <w:rPr>
          <w:rFonts w:asciiTheme="majorHAnsi" w:eastAsiaTheme="minorEastAsia" w:hAnsiTheme="majorHAnsi" w:cstheme="majorHAnsi"/>
          <w:color w:val="000000" w:themeColor="text1"/>
        </w:rPr>
        <w:t xml:space="preserve">in mobility. </w:t>
      </w:r>
      <w:r w:rsidRPr="00636356">
        <w:rPr>
          <w:rFonts w:asciiTheme="majorHAnsi" w:eastAsiaTheme="minorEastAsia" w:hAnsiTheme="majorHAnsi" w:cstheme="majorHAnsi"/>
          <w:color w:val="000000" w:themeColor="text1"/>
        </w:rPr>
        <w:t>Across income groups,</w:t>
      </w:r>
      <w:r w:rsidR="008D51C7" w:rsidRPr="00636356">
        <w:rPr>
          <w:rFonts w:asciiTheme="majorHAnsi" w:eastAsiaTheme="minorEastAsia" w:hAnsiTheme="majorHAnsi" w:cstheme="majorHAnsi"/>
          <w:color w:val="000000" w:themeColor="text1"/>
        </w:rPr>
        <w:t xml:space="preserve"> initial </w:t>
      </w:r>
      <w:r w:rsidR="007C5765" w:rsidRPr="00636356">
        <w:rPr>
          <w:rFonts w:asciiTheme="majorHAnsi" w:eastAsiaTheme="minorEastAsia" w:hAnsiTheme="majorHAnsi" w:cstheme="majorHAnsi"/>
          <w:color w:val="000000" w:themeColor="text1"/>
        </w:rPr>
        <w:t>restrictions</w:t>
      </w:r>
      <w:r w:rsidR="008D51C7" w:rsidRPr="00636356">
        <w:rPr>
          <w:rFonts w:asciiTheme="majorHAnsi" w:eastAsiaTheme="minorEastAsia" w:hAnsiTheme="majorHAnsi" w:cstheme="majorHAnsi"/>
          <w:color w:val="000000" w:themeColor="text1"/>
        </w:rPr>
        <w:t xml:space="preserve"> </w:t>
      </w:r>
      <w:r w:rsidR="007C5765" w:rsidRPr="00636356">
        <w:rPr>
          <w:rFonts w:asciiTheme="majorHAnsi" w:eastAsiaTheme="minorEastAsia" w:hAnsiTheme="majorHAnsi" w:cstheme="majorHAnsi"/>
          <w:color w:val="000000" w:themeColor="text1"/>
        </w:rPr>
        <w:t xml:space="preserve">led to coalescence </w:t>
      </w:r>
      <w:r w:rsidR="00273E81">
        <w:rPr>
          <w:rFonts w:asciiTheme="majorHAnsi" w:eastAsiaTheme="minorEastAsia" w:hAnsiTheme="majorHAnsi" w:cstheme="majorHAnsi"/>
          <w:color w:val="000000" w:themeColor="text1"/>
        </w:rPr>
        <w:t>across all income</w:t>
      </w:r>
      <w:r w:rsidR="00566306">
        <w:rPr>
          <w:rFonts w:asciiTheme="majorHAnsi" w:eastAsiaTheme="minorEastAsia" w:hAnsiTheme="majorHAnsi" w:cstheme="majorHAnsi"/>
        </w:rPr>
        <w:t xml:space="preserve">. </w:t>
      </w:r>
      <w:r w:rsidR="00273E81">
        <w:rPr>
          <w:rFonts w:asciiTheme="majorHAnsi" w:eastAsiaTheme="minorEastAsia" w:hAnsiTheme="majorHAnsi" w:cstheme="majorHAnsi"/>
        </w:rPr>
        <w:t xml:space="preserve">As the </w:t>
      </w:r>
      <w:r w:rsidR="007C5765">
        <w:rPr>
          <w:rFonts w:asciiTheme="majorHAnsi" w:eastAsiaTheme="minorEastAsia" w:hAnsiTheme="majorHAnsi" w:cstheme="majorHAnsi"/>
        </w:rPr>
        <w:t>year progressed</w:t>
      </w:r>
      <w:r w:rsidR="00273E81">
        <w:rPr>
          <w:rFonts w:asciiTheme="majorHAnsi" w:eastAsiaTheme="minorEastAsia" w:hAnsiTheme="majorHAnsi" w:cstheme="majorHAnsi"/>
        </w:rPr>
        <w:t xml:space="preserve"> and some </w:t>
      </w:r>
      <w:r w:rsidR="00E34F44">
        <w:rPr>
          <w:rFonts w:asciiTheme="majorHAnsi" w:eastAsiaTheme="minorEastAsia" w:hAnsiTheme="majorHAnsi" w:cstheme="majorHAnsi"/>
        </w:rPr>
        <w:t>activities were reinstated across the bay, census block groups with the highest median income continued to have lower visitation than most groups, where prior to the pandemic they tended to have some of the higher MI values</w:t>
      </w:r>
      <w:r w:rsidR="008D51C7">
        <w:rPr>
          <w:rFonts w:asciiTheme="majorHAnsi" w:eastAsiaTheme="minorEastAsia" w:hAnsiTheme="majorHAnsi" w:cstheme="majorHAnsi"/>
        </w:rPr>
        <w:t xml:space="preserve"> </w:t>
      </w:r>
      <w:r w:rsidRPr="00DC1056">
        <w:rPr>
          <w:rFonts w:asciiTheme="majorHAnsi" w:eastAsiaTheme="minorEastAsia" w:hAnsiTheme="majorHAnsi" w:cstheme="majorHAnsi"/>
        </w:rPr>
        <w:t>[FIG + PANEL]</w:t>
      </w:r>
      <w:r w:rsidR="008D51C7">
        <w:rPr>
          <w:rFonts w:asciiTheme="majorHAnsi" w:eastAsiaTheme="minorEastAsia" w:hAnsiTheme="majorHAnsi" w:cstheme="majorHAnsi"/>
          <w:color w:val="FF0000"/>
        </w:rPr>
        <w:t>.</w:t>
      </w:r>
      <w:r w:rsidRPr="00DC1056">
        <w:rPr>
          <w:rFonts w:asciiTheme="majorHAnsi" w:eastAsiaTheme="minorEastAsia" w:hAnsiTheme="majorHAnsi" w:cstheme="majorHAnsi"/>
          <w:color w:val="FF0000"/>
        </w:rPr>
        <w:t xml:space="preserve"> </w:t>
      </w:r>
      <w:r w:rsidRPr="00DC1056">
        <w:rPr>
          <w:rFonts w:asciiTheme="majorHAnsi" w:eastAsiaTheme="minorEastAsia" w:hAnsiTheme="majorHAnsi" w:cstheme="majorHAnsi"/>
          <w:color w:val="000000" w:themeColor="text1"/>
        </w:rPr>
        <w:t xml:space="preserve">The </w:t>
      </w:r>
      <w:r w:rsidR="008D51C7">
        <w:rPr>
          <w:rFonts w:asciiTheme="majorHAnsi" w:eastAsiaTheme="minorEastAsia" w:hAnsiTheme="majorHAnsi" w:cstheme="majorHAnsi"/>
          <w:color w:val="000000" w:themeColor="text1"/>
        </w:rPr>
        <w:t xml:space="preserve">annual </w:t>
      </w:r>
      <w:r w:rsidRPr="00DC1056">
        <w:rPr>
          <w:rFonts w:asciiTheme="majorHAnsi" w:eastAsiaTheme="minorEastAsia" w:hAnsiTheme="majorHAnsi" w:cstheme="majorHAnsi"/>
          <w:color w:val="000000" w:themeColor="text1"/>
        </w:rPr>
        <w:t xml:space="preserve">temperature </w:t>
      </w:r>
      <w:r w:rsidR="008D51C7">
        <w:rPr>
          <w:rFonts w:asciiTheme="majorHAnsi" w:eastAsiaTheme="minorEastAsia" w:hAnsiTheme="majorHAnsi" w:cstheme="majorHAnsi"/>
          <w:color w:val="000000" w:themeColor="text1"/>
        </w:rPr>
        <w:t>patterns</w:t>
      </w:r>
      <w:r w:rsidRPr="00DC1056">
        <w:rPr>
          <w:rFonts w:asciiTheme="majorHAnsi" w:eastAsiaTheme="minorEastAsia" w:hAnsiTheme="majorHAnsi" w:cstheme="majorHAnsi"/>
          <w:color w:val="000000" w:themeColor="text1"/>
        </w:rPr>
        <w:t xml:space="preserve"> remained consistent from 201</w:t>
      </w:r>
      <w:r w:rsidR="00E34F44">
        <w:rPr>
          <w:rFonts w:asciiTheme="majorHAnsi" w:eastAsiaTheme="minorEastAsia" w:hAnsiTheme="majorHAnsi" w:cstheme="majorHAnsi"/>
          <w:color w:val="000000" w:themeColor="text1"/>
        </w:rPr>
        <w:t xml:space="preserve">9 </w:t>
      </w:r>
      <w:r w:rsidRPr="00DC1056">
        <w:rPr>
          <w:rFonts w:asciiTheme="majorHAnsi" w:eastAsiaTheme="minorEastAsia" w:hAnsiTheme="majorHAnsi" w:cstheme="majorHAnsi"/>
          <w:color w:val="000000" w:themeColor="text1"/>
        </w:rPr>
        <w:t>to 2020</w:t>
      </w:r>
      <w:r w:rsidR="00E34F44">
        <w:rPr>
          <w:rFonts w:asciiTheme="majorHAnsi" w:eastAsiaTheme="minorEastAsia" w:hAnsiTheme="majorHAnsi" w:cstheme="majorHAnsi"/>
          <w:color w:val="000000" w:themeColor="text1"/>
        </w:rPr>
        <w:t>, and the days with the lowest temperatures coincided with overall lower MI</w:t>
      </w:r>
      <w:r w:rsidRPr="00DC1056">
        <w:rPr>
          <w:rFonts w:asciiTheme="majorHAnsi" w:eastAsiaTheme="minorEastAsia" w:hAnsiTheme="majorHAnsi" w:cstheme="majorHAnsi"/>
          <w:color w:val="000000" w:themeColor="text1"/>
        </w:rPr>
        <w:t xml:space="preserve"> [FIG + PANEL</w:t>
      </w:r>
      <w:r w:rsidRPr="00DC1056">
        <w:rPr>
          <w:rFonts w:asciiTheme="majorHAnsi" w:eastAsiaTheme="minorEastAsia" w:hAnsiTheme="majorHAnsi" w:cstheme="majorHAnsi"/>
          <w:color w:val="FF0000"/>
        </w:rPr>
        <w:t xml:space="preserve">]. </w:t>
      </w:r>
    </w:p>
    <w:p w14:paraId="2D63ED2D" w14:textId="6D8E972F" w:rsidR="0079020C" w:rsidRPr="00DC1056" w:rsidRDefault="0079020C" w:rsidP="00BD258C">
      <w:pPr>
        <w:rPr>
          <w:rFonts w:asciiTheme="majorHAnsi" w:eastAsiaTheme="minorEastAsia" w:hAnsiTheme="majorHAnsi" w:cstheme="majorHAnsi"/>
          <w:color w:val="000000" w:themeColor="text1"/>
        </w:rPr>
      </w:pPr>
    </w:p>
    <w:p w14:paraId="124ADCFD" w14:textId="259619BD" w:rsidR="0079020C" w:rsidRPr="00DC1056" w:rsidRDefault="0079020C"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For our binned regression, we explore the relationship between temperature and MI in 2020, and in the previous two years. Consistent with our overall mobility analysis, the typical MI value for any day in 2020 is lower than the previous year. In addition, we see that the response pattern shifted in 2020. In the previous two years, hotter temperatures resulted in an increase in mobility, with a particularly sharp increase at temperatures above 34</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In 2020, the relative maxima rests at days where the temperature was between 26-30</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and sharply declines at temperatures above 34</w:t>
      </w:r>
      <w:r w:rsidRPr="00DC1056">
        <w:rPr>
          <w:rFonts w:asciiTheme="majorHAnsi" w:eastAsiaTheme="minorEastAsia" w:hAnsiTheme="majorHAnsi" w:cstheme="majorHAnsi"/>
          <w:color w:val="000000" w:themeColor="text1"/>
        </w:rPr>
        <w:t>°C</w:t>
      </w:r>
      <w:r w:rsidRPr="00DC1056">
        <w:rPr>
          <w:rFonts w:asciiTheme="majorHAnsi" w:eastAsiaTheme="minorEastAsia" w:hAnsiTheme="majorHAnsi" w:cstheme="majorHAnsi"/>
          <w:color w:val="000000" w:themeColor="text1"/>
        </w:rPr>
        <w:t xml:space="preserve">. These results indicate that MI is more sensitive to hot temperatures under Shelter in Place policies and the social conditions of 2020. </w:t>
      </w:r>
    </w:p>
    <w:p w14:paraId="0A662CF9" w14:textId="0CD8009C" w:rsidR="009C5050" w:rsidRPr="00DC1056" w:rsidRDefault="009C5050" w:rsidP="00BD258C">
      <w:pPr>
        <w:rPr>
          <w:rFonts w:asciiTheme="majorHAnsi" w:eastAsiaTheme="minorEastAsia" w:hAnsiTheme="majorHAnsi" w:cstheme="majorHAnsi"/>
          <w:color w:val="000000" w:themeColor="text1"/>
        </w:rPr>
      </w:pPr>
    </w:p>
    <w:p w14:paraId="559C2455" w14:textId="6885E479" w:rsidR="009C5050" w:rsidRPr="00DC1056" w:rsidRDefault="00AC1051"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Although there was a clear trend of reduced movement at high temperatures, </w:t>
      </w:r>
      <w:r w:rsidR="005D1584" w:rsidRPr="00DC1056">
        <w:rPr>
          <w:rFonts w:asciiTheme="majorHAnsi" w:eastAsiaTheme="minorEastAsia" w:hAnsiTheme="majorHAnsi" w:cstheme="majorHAnsi"/>
          <w:color w:val="000000" w:themeColor="text1"/>
        </w:rPr>
        <w:t xml:space="preserve">individuals continued to travel across the Bay Area throughout </w:t>
      </w:r>
      <w:r w:rsidR="006173F4" w:rsidRPr="00DC1056">
        <w:rPr>
          <w:rFonts w:asciiTheme="majorHAnsi" w:eastAsiaTheme="minorEastAsia" w:hAnsiTheme="majorHAnsi" w:cstheme="majorHAnsi"/>
          <w:color w:val="000000" w:themeColor="text1"/>
        </w:rPr>
        <w:t>the summer of 2020</w:t>
      </w:r>
      <w:r w:rsidRPr="00DC1056">
        <w:rPr>
          <w:rFonts w:asciiTheme="majorHAnsi" w:eastAsiaTheme="minorEastAsia" w:hAnsiTheme="majorHAnsi" w:cstheme="majorHAnsi"/>
          <w:color w:val="000000" w:themeColor="text1"/>
        </w:rPr>
        <w:t>.</w:t>
      </w:r>
      <w:r w:rsidR="00CA755F" w:rsidRPr="00DC1056">
        <w:rPr>
          <w:rFonts w:asciiTheme="majorHAnsi" w:eastAsiaTheme="minorEastAsia" w:hAnsiTheme="majorHAnsi" w:cstheme="majorHAnsi"/>
          <w:color w:val="000000" w:themeColor="text1"/>
        </w:rPr>
        <w:t xml:space="preserve"> The total number of census block group with a high mobility index decreased from </w:t>
      </w:r>
      <w:r w:rsidR="00E37BBC">
        <w:rPr>
          <w:rFonts w:asciiTheme="majorHAnsi" w:eastAsiaTheme="minorEastAsia" w:hAnsiTheme="majorHAnsi" w:cstheme="majorHAnsi"/>
          <w:color w:val="000000" w:themeColor="text1"/>
        </w:rPr>
        <w:t>434</w:t>
      </w:r>
      <w:r w:rsidR="00CA755F" w:rsidRPr="00DC1056">
        <w:rPr>
          <w:rFonts w:asciiTheme="majorHAnsi" w:eastAsiaTheme="minorEastAsia" w:hAnsiTheme="majorHAnsi" w:cstheme="majorHAnsi"/>
          <w:color w:val="000000" w:themeColor="text1"/>
        </w:rPr>
        <w:t xml:space="preserve"> to </w:t>
      </w:r>
      <w:r w:rsidR="00E37BBC">
        <w:rPr>
          <w:rFonts w:asciiTheme="majorHAnsi" w:eastAsiaTheme="minorEastAsia" w:hAnsiTheme="majorHAnsi" w:cstheme="majorHAnsi"/>
          <w:color w:val="000000" w:themeColor="text1"/>
        </w:rPr>
        <w:t>231</w:t>
      </w:r>
      <w:r w:rsidR="00CA755F" w:rsidRPr="00DC1056">
        <w:rPr>
          <w:rFonts w:asciiTheme="majorHAnsi" w:eastAsiaTheme="minorEastAsia" w:hAnsiTheme="majorHAnsi" w:cstheme="majorHAnsi"/>
          <w:color w:val="000000" w:themeColor="text1"/>
        </w:rPr>
        <w:t xml:space="preserve"> from 2019 to 2020</w:t>
      </w:r>
      <w:r w:rsidR="000D067F">
        <w:rPr>
          <w:rFonts w:asciiTheme="majorHAnsi" w:eastAsiaTheme="minorEastAsia" w:hAnsiTheme="majorHAnsi" w:cstheme="majorHAnsi"/>
          <w:color w:val="000000" w:themeColor="text1"/>
        </w:rPr>
        <w:t xml:space="preserve"> (a 49% decrease)</w:t>
      </w:r>
      <w:r w:rsidR="00CA755F" w:rsidRPr="00DC1056">
        <w:rPr>
          <w:rFonts w:asciiTheme="majorHAnsi" w:eastAsiaTheme="minorEastAsia" w:hAnsiTheme="majorHAnsi" w:cstheme="majorHAnsi"/>
          <w:color w:val="000000" w:themeColor="text1"/>
        </w:rPr>
        <w:t>. However, the proportion of those block groups that had been identified as either dense or sparse was higher during 2020</w:t>
      </w:r>
      <w:r w:rsidR="00455C5B" w:rsidRPr="00DC1056">
        <w:rPr>
          <w:rFonts w:asciiTheme="majorHAnsi" w:eastAsiaTheme="minorEastAsia" w:hAnsiTheme="majorHAnsi" w:cstheme="majorHAnsi"/>
          <w:color w:val="000000" w:themeColor="text1"/>
        </w:rPr>
        <w:t xml:space="preserve">, while block groups with a median population density made up less of the highly visited locations. The distribution of the highly mobile dense  </w:t>
      </w:r>
    </w:p>
    <w:p w14:paraId="67746FCF" w14:textId="78F252B4" w:rsidR="00AC1051" w:rsidRPr="00DC1056" w:rsidRDefault="00AC1051" w:rsidP="00BD258C">
      <w:pPr>
        <w:rPr>
          <w:rFonts w:asciiTheme="majorHAnsi" w:eastAsiaTheme="minorEastAsia" w:hAnsiTheme="majorHAnsi" w:cstheme="majorHAnsi"/>
          <w:color w:val="000000" w:themeColor="text1"/>
        </w:rPr>
      </w:pPr>
    </w:p>
    <w:p w14:paraId="462C53B4" w14:textId="142D894A" w:rsidR="00E116CC" w:rsidRDefault="00E116CC" w:rsidP="00BD258C">
      <w:pPr>
        <w:rPr>
          <w:rFonts w:asciiTheme="majorHAnsi" w:eastAsiaTheme="minorEastAsia" w:hAnsiTheme="majorHAnsi" w:cstheme="majorHAnsi"/>
          <w:color w:val="000000" w:themeColor="text1"/>
        </w:rPr>
      </w:pPr>
      <w:r>
        <w:rPr>
          <w:rFonts w:asciiTheme="majorHAnsi" w:eastAsiaTheme="minorEastAsia" w:hAnsiTheme="majorHAnsi" w:cstheme="majorHAnsi"/>
          <w:color w:val="000000" w:themeColor="text1"/>
        </w:rPr>
        <w:t>Discussion</w:t>
      </w:r>
    </w:p>
    <w:p w14:paraId="31F8A876" w14:textId="2B6382C5" w:rsidR="00E116CC" w:rsidRDefault="00E116CC" w:rsidP="00BD258C">
      <w:pPr>
        <w:rPr>
          <w:rFonts w:asciiTheme="majorHAnsi" w:eastAsiaTheme="minorEastAsia" w:hAnsiTheme="majorHAnsi" w:cstheme="majorHAnsi"/>
          <w:color w:val="000000" w:themeColor="text1"/>
        </w:rPr>
      </w:pPr>
    </w:p>
    <w:p w14:paraId="239C997B" w14:textId="7A7BE4B3" w:rsidR="00E116CC" w:rsidRDefault="00E116CC" w:rsidP="00BD258C">
      <w:pPr>
        <w:rPr>
          <w:rFonts w:asciiTheme="majorHAnsi" w:eastAsiaTheme="minorEastAsia" w:hAnsiTheme="majorHAnsi" w:cstheme="majorHAnsi"/>
          <w:color w:val="000000" w:themeColor="text1"/>
        </w:rPr>
      </w:pPr>
      <w:r>
        <w:rPr>
          <w:rFonts w:asciiTheme="majorHAnsi" w:eastAsiaTheme="minorEastAsia" w:hAnsiTheme="majorHAnsi" w:cstheme="majorHAnsi"/>
          <w:color w:val="000000" w:themeColor="text1"/>
        </w:rPr>
        <w:t>Fig 1</w:t>
      </w:r>
    </w:p>
    <w:p w14:paraId="7E01A8CD" w14:textId="3495F469" w:rsidR="00E116CC" w:rsidRPr="00E116CC" w:rsidRDefault="00E116CC" w:rsidP="00E116CC">
      <w:pPr>
        <w:pStyle w:val="ListParagraph"/>
        <w:numPr>
          <w:ilvl w:val="0"/>
          <w:numId w:val="2"/>
        </w:numPr>
        <w:rPr>
          <w:rFonts w:asciiTheme="majorHAnsi" w:eastAsiaTheme="minorEastAsia" w:hAnsiTheme="majorHAnsi" w:cstheme="majorHAnsi"/>
          <w:color w:val="000000" w:themeColor="text1"/>
        </w:rPr>
      </w:pPr>
      <w:r>
        <w:rPr>
          <w:rFonts w:asciiTheme="majorHAnsi" w:eastAsiaTheme="minorEastAsia" w:hAnsiTheme="majorHAnsi" w:cstheme="majorHAnsi"/>
        </w:rPr>
        <w:lastRenderedPageBreak/>
        <w:t>The first month mobility</w:t>
      </w:r>
      <w:r>
        <w:rPr>
          <w:rFonts w:asciiTheme="majorHAnsi" w:eastAsiaTheme="minorEastAsia" w:hAnsiTheme="majorHAnsi" w:cstheme="majorHAnsi"/>
        </w:rPr>
        <w:t xml:space="preserve"> pattern</w:t>
      </w:r>
      <w:r w:rsidRPr="00DC1056">
        <w:rPr>
          <w:rFonts w:asciiTheme="majorHAnsi" w:eastAsiaTheme="minorEastAsia" w:hAnsiTheme="majorHAnsi" w:cstheme="majorHAnsi"/>
        </w:rPr>
        <w:t xml:space="preserve"> is consistent with studies that investigated the changes in </w:t>
      </w:r>
      <w:r>
        <w:rPr>
          <w:rFonts w:asciiTheme="majorHAnsi" w:eastAsiaTheme="minorEastAsia" w:hAnsiTheme="majorHAnsi" w:cstheme="majorHAnsi"/>
        </w:rPr>
        <w:t>mobility</w:t>
      </w:r>
      <w:r w:rsidRPr="00DC1056">
        <w:rPr>
          <w:rFonts w:asciiTheme="majorHAnsi" w:eastAsiaTheme="minorEastAsia" w:hAnsiTheme="majorHAnsi" w:cstheme="majorHAnsi"/>
        </w:rPr>
        <w:t xml:space="preserve"> during 2020 compared to previous years as a result of movement-restricting </w:t>
      </w:r>
      <w:r>
        <w:rPr>
          <w:rFonts w:asciiTheme="majorHAnsi" w:eastAsiaTheme="minorEastAsia" w:hAnsiTheme="majorHAnsi" w:cstheme="majorHAnsi"/>
        </w:rPr>
        <w:t xml:space="preserve">COVID-19 </w:t>
      </w:r>
      <w:r w:rsidRPr="00DC1056">
        <w:rPr>
          <w:rFonts w:asciiTheme="majorHAnsi" w:eastAsiaTheme="minorEastAsia" w:hAnsiTheme="majorHAnsi" w:cstheme="majorHAnsi"/>
        </w:rPr>
        <w:t>policies</w:t>
      </w:r>
      <w:r>
        <w:rPr>
          <w:rFonts w:asciiTheme="majorHAnsi" w:eastAsiaTheme="minorEastAsia" w:hAnsiTheme="majorHAnsi" w:cstheme="majorHAnsi"/>
        </w:rPr>
        <w:t xml:space="preserve"> [</w:t>
      </w:r>
      <w:r w:rsidRPr="008D51C7">
        <w:rPr>
          <w:rFonts w:asciiTheme="majorHAnsi" w:eastAsiaTheme="minorEastAsia" w:hAnsiTheme="majorHAnsi" w:cstheme="majorHAnsi"/>
          <w:color w:val="FF0000"/>
        </w:rPr>
        <w:t>REF</w:t>
      </w:r>
      <w:r>
        <w:rPr>
          <w:rFonts w:asciiTheme="majorHAnsi" w:eastAsiaTheme="minorEastAsia" w:hAnsiTheme="majorHAnsi" w:cstheme="majorHAnsi"/>
        </w:rPr>
        <w:t>]</w:t>
      </w:r>
      <w:r w:rsidRPr="00DC1056">
        <w:rPr>
          <w:rFonts w:asciiTheme="majorHAnsi" w:eastAsiaTheme="minorEastAsia" w:hAnsiTheme="majorHAnsi" w:cstheme="majorHAnsi"/>
        </w:rPr>
        <w:t>.</w:t>
      </w:r>
    </w:p>
    <w:p w14:paraId="31F45B48" w14:textId="77777777" w:rsidR="00E116CC" w:rsidRPr="00E116CC" w:rsidRDefault="00E116CC" w:rsidP="00E116CC">
      <w:pPr>
        <w:rPr>
          <w:rFonts w:asciiTheme="majorHAnsi" w:eastAsiaTheme="minorEastAsia" w:hAnsiTheme="majorHAnsi" w:cstheme="majorHAnsi"/>
          <w:color w:val="000000" w:themeColor="text1"/>
        </w:rPr>
      </w:pPr>
    </w:p>
    <w:p w14:paraId="035BC2EC" w14:textId="378A0D48" w:rsidR="00AC1051" w:rsidRPr="00DC1056" w:rsidRDefault="00AC1051"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Further Research </w:t>
      </w:r>
    </w:p>
    <w:p w14:paraId="692E5F0B" w14:textId="330117F7" w:rsidR="00AC1051" w:rsidRPr="00DC1056" w:rsidRDefault="00AC1051" w:rsidP="00BD258C">
      <w:pPr>
        <w:rPr>
          <w:rFonts w:asciiTheme="majorHAnsi" w:eastAsiaTheme="minorEastAsia" w:hAnsiTheme="majorHAnsi" w:cstheme="majorHAnsi"/>
          <w:color w:val="000000" w:themeColor="text1"/>
        </w:rPr>
      </w:pPr>
    </w:p>
    <w:p w14:paraId="4C0138F2" w14:textId="752E7234" w:rsidR="00AC1051" w:rsidRPr="00DC1056" w:rsidRDefault="00AC1051" w:rsidP="00AC1051">
      <w:pPr>
        <w:pStyle w:val="ListParagraph"/>
        <w:numPr>
          <w:ilvl w:val="0"/>
          <w:numId w:val="1"/>
        </w:num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Timing of shifts in policy throughout the summer and the subsequent mobility shifts</w:t>
      </w:r>
    </w:p>
    <w:p w14:paraId="11E01AF2" w14:textId="10F004C3" w:rsidR="00AC1051" w:rsidRPr="00DC1056" w:rsidRDefault="00AC1051" w:rsidP="00AC1051">
      <w:pPr>
        <w:pStyle w:val="ListParagraph"/>
        <w:numPr>
          <w:ilvl w:val="0"/>
          <w:numId w:val="1"/>
        </w:num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2021 and </w:t>
      </w:r>
      <w:proofErr w:type="gramStart"/>
      <w:r w:rsidRPr="00DC1056">
        <w:rPr>
          <w:rFonts w:asciiTheme="majorHAnsi" w:eastAsiaTheme="minorEastAsia" w:hAnsiTheme="majorHAnsi" w:cstheme="majorHAnsi"/>
          <w:color w:val="000000" w:themeColor="text1"/>
        </w:rPr>
        <w:t>long term</w:t>
      </w:r>
      <w:proofErr w:type="gramEnd"/>
      <w:r w:rsidRPr="00DC1056">
        <w:rPr>
          <w:rFonts w:asciiTheme="majorHAnsi" w:eastAsiaTheme="minorEastAsia" w:hAnsiTheme="majorHAnsi" w:cstheme="majorHAnsi"/>
          <w:color w:val="000000" w:themeColor="text1"/>
        </w:rPr>
        <w:t xml:space="preserve"> effects</w:t>
      </w:r>
    </w:p>
    <w:p w14:paraId="2625BDB5" w14:textId="77777777" w:rsidR="0079020C" w:rsidRPr="00DC1056" w:rsidRDefault="0079020C" w:rsidP="00BD258C">
      <w:pPr>
        <w:rPr>
          <w:rFonts w:asciiTheme="majorHAnsi" w:eastAsiaTheme="minorEastAsia" w:hAnsiTheme="majorHAnsi" w:cstheme="majorHAnsi"/>
          <w:color w:val="000000" w:themeColor="text1"/>
        </w:rPr>
      </w:pPr>
    </w:p>
    <w:p w14:paraId="6E805DC0" w14:textId="2BB90E02" w:rsidR="0079020C" w:rsidRPr="00DC1056" w:rsidRDefault="0079020C" w:rsidP="00BD258C">
      <w:pPr>
        <w:rPr>
          <w:rFonts w:asciiTheme="majorHAnsi" w:eastAsiaTheme="minorEastAsia" w:hAnsiTheme="majorHAnsi" w:cstheme="majorHAnsi"/>
          <w:color w:val="000000" w:themeColor="text1"/>
        </w:rPr>
      </w:pPr>
      <w:r w:rsidRPr="00DC1056">
        <w:rPr>
          <w:rFonts w:asciiTheme="majorHAnsi" w:eastAsiaTheme="minorEastAsia" w:hAnsiTheme="majorHAnsi" w:cstheme="majorHAnsi"/>
          <w:color w:val="000000" w:themeColor="text1"/>
        </w:rPr>
        <w:t xml:space="preserve">   </w:t>
      </w:r>
    </w:p>
    <w:p w14:paraId="0D6DC1FD" w14:textId="77777777" w:rsidR="0079020C" w:rsidRPr="00DC1056" w:rsidRDefault="0079020C" w:rsidP="00BD258C">
      <w:pPr>
        <w:rPr>
          <w:rFonts w:asciiTheme="majorHAnsi" w:eastAsiaTheme="minorEastAsia" w:hAnsiTheme="majorHAnsi" w:cstheme="majorHAnsi"/>
        </w:rPr>
      </w:pPr>
    </w:p>
    <w:p w14:paraId="2B1FE25D" w14:textId="77777777" w:rsidR="00BD258C" w:rsidRPr="00DC1056" w:rsidRDefault="00BD258C" w:rsidP="00BD258C">
      <w:pPr>
        <w:rPr>
          <w:rFonts w:asciiTheme="majorHAnsi" w:hAnsiTheme="majorHAnsi" w:cstheme="majorHAnsi"/>
        </w:rPr>
      </w:pPr>
      <w:bookmarkStart w:id="0" w:name="_GoBack"/>
      <w:bookmarkEnd w:id="0"/>
    </w:p>
    <w:sectPr w:rsidR="00BD258C" w:rsidRPr="00DC1056" w:rsidSect="00C05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E5481"/>
    <w:multiLevelType w:val="hybridMultilevel"/>
    <w:tmpl w:val="4670ADDE"/>
    <w:lvl w:ilvl="0" w:tplc="CBE4850A">
      <w:start w:val="2020"/>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6870"/>
    <w:multiLevelType w:val="hybridMultilevel"/>
    <w:tmpl w:val="E2509A6C"/>
    <w:lvl w:ilvl="0" w:tplc="D7324E36">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ED"/>
    <w:rsid w:val="000D067F"/>
    <w:rsid w:val="00136167"/>
    <w:rsid w:val="00145A0B"/>
    <w:rsid w:val="001A520B"/>
    <w:rsid w:val="00273E81"/>
    <w:rsid w:val="00400F47"/>
    <w:rsid w:val="004039B1"/>
    <w:rsid w:val="00455C5B"/>
    <w:rsid w:val="0052067B"/>
    <w:rsid w:val="00534806"/>
    <w:rsid w:val="00566306"/>
    <w:rsid w:val="005760D4"/>
    <w:rsid w:val="005D1584"/>
    <w:rsid w:val="006173F4"/>
    <w:rsid w:val="00636356"/>
    <w:rsid w:val="006544F8"/>
    <w:rsid w:val="00784606"/>
    <w:rsid w:val="0079020C"/>
    <w:rsid w:val="007C5765"/>
    <w:rsid w:val="00802CFE"/>
    <w:rsid w:val="008D51C7"/>
    <w:rsid w:val="00937803"/>
    <w:rsid w:val="00976FFD"/>
    <w:rsid w:val="009C5050"/>
    <w:rsid w:val="009E1D96"/>
    <w:rsid w:val="00A7056F"/>
    <w:rsid w:val="00AC1051"/>
    <w:rsid w:val="00B424ED"/>
    <w:rsid w:val="00B64486"/>
    <w:rsid w:val="00B84AAD"/>
    <w:rsid w:val="00BD258C"/>
    <w:rsid w:val="00C05752"/>
    <w:rsid w:val="00CA755F"/>
    <w:rsid w:val="00D1707A"/>
    <w:rsid w:val="00DC1056"/>
    <w:rsid w:val="00E116CC"/>
    <w:rsid w:val="00E34F44"/>
    <w:rsid w:val="00E37BBC"/>
    <w:rsid w:val="00E73D4F"/>
    <w:rsid w:val="00FA2C29"/>
    <w:rsid w:val="00FD1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5DC74E"/>
  <w15:chartTrackingRefBased/>
  <w15:docId w15:val="{47A245A4-8DD7-6247-839D-FED3809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D4F"/>
    <w:pPr>
      <w:ind w:left="720"/>
      <w:contextualSpacing/>
    </w:pPr>
  </w:style>
  <w:style w:type="paragraph" w:styleId="NormalWeb">
    <w:name w:val="Normal (Web)"/>
    <w:basedOn w:val="Normal"/>
    <w:uiPriority w:val="99"/>
    <w:unhideWhenUsed/>
    <w:rsid w:val="00E73D4F"/>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5206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75615">
      <w:bodyDiv w:val="1"/>
      <w:marLeft w:val="0"/>
      <w:marRight w:val="0"/>
      <w:marTop w:val="0"/>
      <w:marBottom w:val="0"/>
      <w:divBdr>
        <w:top w:val="none" w:sz="0" w:space="0" w:color="auto"/>
        <w:left w:val="none" w:sz="0" w:space="0" w:color="auto"/>
        <w:bottom w:val="none" w:sz="0" w:space="0" w:color="auto"/>
        <w:right w:val="none" w:sz="0" w:space="0" w:color="auto"/>
      </w:divBdr>
    </w:div>
    <w:div w:id="1477452535">
      <w:bodyDiv w:val="1"/>
      <w:marLeft w:val="0"/>
      <w:marRight w:val="0"/>
      <w:marTop w:val="0"/>
      <w:marBottom w:val="0"/>
      <w:divBdr>
        <w:top w:val="none" w:sz="0" w:space="0" w:color="auto"/>
        <w:left w:val="none" w:sz="0" w:space="0" w:color="auto"/>
        <w:bottom w:val="none" w:sz="0" w:space="0" w:color="auto"/>
        <w:right w:val="none" w:sz="0" w:space="0" w:color="auto"/>
      </w:divBdr>
    </w:div>
    <w:div w:id="1566645496">
      <w:bodyDiv w:val="1"/>
      <w:marLeft w:val="0"/>
      <w:marRight w:val="0"/>
      <w:marTop w:val="0"/>
      <w:marBottom w:val="0"/>
      <w:divBdr>
        <w:top w:val="none" w:sz="0" w:space="0" w:color="auto"/>
        <w:left w:val="none" w:sz="0" w:space="0" w:color="auto"/>
        <w:bottom w:val="none" w:sz="0" w:space="0" w:color="auto"/>
        <w:right w:val="none" w:sz="0" w:space="0" w:color="auto"/>
      </w:divBdr>
      <w:divsChild>
        <w:div w:id="499467114">
          <w:marLeft w:val="0"/>
          <w:marRight w:val="0"/>
          <w:marTop w:val="0"/>
          <w:marBottom w:val="0"/>
          <w:divBdr>
            <w:top w:val="none" w:sz="0" w:space="0" w:color="auto"/>
            <w:left w:val="none" w:sz="0" w:space="0" w:color="auto"/>
            <w:bottom w:val="none" w:sz="0" w:space="0" w:color="auto"/>
            <w:right w:val="none" w:sz="0" w:space="0" w:color="auto"/>
          </w:divBdr>
          <w:divsChild>
            <w:div w:id="1328286154">
              <w:marLeft w:val="0"/>
              <w:marRight w:val="0"/>
              <w:marTop w:val="0"/>
              <w:marBottom w:val="0"/>
              <w:divBdr>
                <w:top w:val="none" w:sz="0" w:space="0" w:color="auto"/>
                <w:left w:val="none" w:sz="0" w:space="0" w:color="auto"/>
                <w:bottom w:val="none" w:sz="0" w:space="0" w:color="auto"/>
                <w:right w:val="none" w:sz="0" w:space="0" w:color="auto"/>
              </w:divBdr>
              <w:divsChild>
                <w:div w:id="1020551657">
                  <w:marLeft w:val="0"/>
                  <w:marRight w:val="0"/>
                  <w:marTop w:val="0"/>
                  <w:marBottom w:val="0"/>
                  <w:divBdr>
                    <w:top w:val="none" w:sz="0" w:space="0" w:color="auto"/>
                    <w:left w:val="none" w:sz="0" w:space="0" w:color="auto"/>
                    <w:bottom w:val="none" w:sz="0" w:space="0" w:color="auto"/>
                    <w:right w:val="none" w:sz="0" w:space="0" w:color="auto"/>
                  </w:divBdr>
                  <w:divsChild>
                    <w:div w:id="3799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9693">
      <w:bodyDiv w:val="1"/>
      <w:marLeft w:val="0"/>
      <w:marRight w:val="0"/>
      <w:marTop w:val="0"/>
      <w:marBottom w:val="0"/>
      <w:divBdr>
        <w:top w:val="none" w:sz="0" w:space="0" w:color="auto"/>
        <w:left w:val="none" w:sz="0" w:space="0" w:color="auto"/>
        <w:bottom w:val="none" w:sz="0" w:space="0" w:color="auto"/>
        <w:right w:val="none" w:sz="0" w:space="0" w:color="auto"/>
      </w:divBdr>
      <w:divsChild>
        <w:div w:id="566376821">
          <w:marLeft w:val="0"/>
          <w:marRight w:val="0"/>
          <w:marTop w:val="0"/>
          <w:marBottom w:val="0"/>
          <w:divBdr>
            <w:top w:val="none" w:sz="0" w:space="0" w:color="auto"/>
            <w:left w:val="none" w:sz="0" w:space="0" w:color="auto"/>
            <w:bottom w:val="none" w:sz="0" w:space="0" w:color="auto"/>
            <w:right w:val="none" w:sz="0" w:space="0" w:color="auto"/>
          </w:divBdr>
          <w:divsChild>
            <w:div w:id="350955257">
              <w:marLeft w:val="0"/>
              <w:marRight w:val="0"/>
              <w:marTop w:val="0"/>
              <w:marBottom w:val="0"/>
              <w:divBdr>
                <w:top w:val="none" w:sz="0" w:space="0" w:color="auto"/>
                <w:left w:val="none" w:sz="0" w:space="0" w:color="auto"/>
                <w:bottom w:val="none" w:sz="0" w:space="0" w:color="auto"/>
                <w:right w:val="none" w:sz="0" w:space="0" w:color="auto"/>
              </w:divBdr>
              <w:divsChild>
                <w:div w:id="423109728">
                  <w:marLeft w:val="0"/>
                  <w:marRight w:val="0"/>
                  <w:marTop w:val="0"/>
                  <w:marBottom w:val="0"/>
                  <w:divBdr>
                    <w:top w:val="none" w:sz="0" w:space="0" w:color="auto"/>
                    <w:left w:val="none" w:sz="0" w:space="0" w:color="auto"/>
                    <w:bottom w:val="none" w:sz="0" w:space="0" w:color="auto"/>
                    <w:right w:val="none" w:sz="0" w:space="0" w:color="auto"/>
                  </w:divBdr>
                  <w:divsChild>
                    <w:div w:id="2448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1998</TotalTime>
  <Pages>4</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Ly</dc:creator>
  <cp:keywords/>
  <dc:description/>
  <cp:lastModifiedBy>Amina Ly</cp:lastModifiedBy>
  <cp:revision>3</cp:revision>
  <dcterms:created xsi:type="dcterms:W3CDTF">2021-08-31T20:37:00Z</dcterms:created>
  <dcterms:modified xsi:type="dcterms:W3CDTF">2021-10-26T21:08:00Z</dcterms:modified>
</cp:coreProperties>
</file>