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D3D61">
      <w:pPr>
        <w:spacing w:before="0" w:after="960"/>
      </w:pPr>
    </w:p>
    <w:p w14:paraId="52341890">
      <w:pPr>
        <w:spacing w:before="0" w:after="60"/>
      </w:pPr>
      <w:r>
        <w:rPr>
          <w:rFonts w:ascii="Garamond" w:hAnsi="Garamond" w:eastAsia="Garamond" w:cs="Garamond"/>
          <w:b/>
          <w:bCs/>
          <w:color w:val="2D3748"/>
          <w:sz w:val="96"/>
          <w:szCs w:val="96"/>
        </w:rPr>
        <w:t>AMINA LAWAL</w:t>
      </w:r>
    </w:p>
    <w:p w14:paraId="3F005B94">
      <w:pPr>
        <w:pBdr>
          <w:bottom w:val="single" w:color="4A7C6F" w:sz="12" w:space="1"/>
        </w:pBdr>
        <w:spacing w:before="0" w:after="240"/>
      </w:pPr>
    </w:p>
    <w:p w14:paraId="3525379D">
      <w:pPr>
        <w:spacing w:before="0" w:after="240"/>
      </w:pPr>
      <w:r>
        <w:rPr>
          <w:rFonts w:ascii="Garamond" w:hAnsi="Garamond" w:eastAsia="Garamond" w:cs="Garamond"/>
          <w:i/>
          <w:iCs/>
          <w:color w:val="1A1A2E"/>
          <w:sz w:val="52"/>
          <w:szCs w:val="52"/>
        </w:rPr>
        <w:t>Strategy &amp; Organizational Transformation</w:t>
      </w:r>
    </w:p>
    <w:p w14:paraId="6AD5CAAD">
      <w:pPr>
        <w:spacing w:before="0" w:after="320"/>
      </w:pPr>
    </w:p>
    <w:p w14:paraId="04D2CB6C">
      <w:pPr>
        <w:spacing w:before="0" w:after="120"/>
      </w:pPr>
      <w:r>
        <w:rPr>
          <w:rFonts w:ascii="Georgia" w:hAnsi="Georgia" w:eastAsia="Georgia" w:cs="Georgia"/>
          <w:color w:val="1A1A2E"/>
          <w:sz w:val="26"/>
          <w:szCs w:val="26"/>
        </w:rPr>
        <w:t>I design and scale organizations by aligning strategy,</w:t>
      </w:r>
    </w:p>
    <w:p w14:paraId="07C4B4F9">
      <w:pPr>
        <w:spacing w:before="0" w:after="120"/>
      </w:pPr>
      <w:r>
        <w:rPr>
          <w:rFonts w:ascii="Georgia" w:hAnsi="Georgia" w:eastAsia="Georgia" w:cs="Georgia"/>
          <w:color w:val="1A1A2E"/>
          <w:sz w:val="26"/>
          <w:szCs w:val="26"/>
        </w:rPr>
        <w:t>systems, and human capability into executable operating models.</w:t>
      </w:r>
    </w:p>
    <w:p w14:paraId="208CE035">
      <w:pPr>
        <w:spacing w:before="0" w:after="640"/>
      </w:pPr>
    </w:p>
    <w:p w14:paraId="1DAEAD8B">
      <w:pPr>
        <w:spacing w:before="0" w:after="120"/>
      </w:pPr>
      <w:r>
        <w:rPr>
          <w:rFonts w:ascii="Garamond" w:hAnsi="Garamond" w:eastAsia="Garamond" w:cs="Garamond"/>
          <w:b/>
          <w:bCs/>
          <w:color w:val="4A7C6F"/>
          <w:spacing w:val="80"/>
          <w:sz w:val="22"/>
          <w:szCs w:val="22"/>
        </w:rPr>
        <w:t>Focus Areas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635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Mar>
              <w:top w:w="60" w:type="dxa"/>
              <w:left w:w="0" w:type="dxa"/>
              <w:bottom w:w="60" w:type="dxa"/>
              <w:right w:w="200" w:type="dxa"/>
            </w:tcMar>
            <w:vAlign w:val="top"/>
          </w:tcPr>
          <w:p w14:paraId="41D3613F">
            <w:pPr>
              <w:pStyle w:val="16"/>
              <w:numPr>
                <w:ilvl w:val="0"/>
                <w:numId w:val="1"/>
              </w:numPr>
              <w:spacing w:before="60" w:after="80"/>
            </w:pPr>
            <w:r>
              <w:rPr>
                <w:rFonts w:ascii="Georgia" w:hAnsi="Georgia" w:eastAsia="Georgia" w:cs="Georgia"/>
                <w:color w:val="1A1A2E"/>
                <w:sz w:val="22"/>
                <w:szCs w:val="22"/>
              </w:rPr>
              <w:t>Organizational Strategy &amp; Design</w:t>
            </w:r>
          </w:p>
          <w:p w14:paraId="2611D4F6">
            <w:pPr>
              <w:pStyle w:val="16"/>
              <w:numPr>
                <w:ilvl w:val="0"/>
                <w:numId w:val="1"/>
              </w:numPr>
              <w:spacing w:before="60" w:after="80"/>
            </w:pPr>
            <w:r>
              <w:rPr>
                <w:rFonts w:ascii="Georgia" w:hAnsi="Georgia" w:eastAsia="Georgia" w:cs="Georgia"/>
                <w:color w:val="1A1A2E"/>
                <w:sz w:val="22"/>
                <w:szCs w:val="22"/>
              </w:rPr>
              <w:t>Systems &amp; Performance Architecture</w:t>
            </w:r>
          </w:p>
          <w:p w14:paraId="517B3D43">
            <w:pPr>
              <w:pStyle w:val="16"/>
              <w:numPr>
                <w:ilvl w:val="0"/>
                <w:numId w:val="1"/>
              </w:numPr>
              <w:spacing w:before="60" w:after="80"/>
            </w:pPr>
            <w:r>
              <w:rPr>
                <w:rFonts w:ascii="Georgia" w:hAnsi="Georgia" w:eastAsia="Georgia" w:cs="Georgia"/>
                <w:color w:val="1A1A2E"/>
                <w:sz w:val="22"/>
                <w:szCs w:val="22"/>
              </w:rPr>
              <w:t>Innovation &amp; AI Enablement</w:t>
            </w:r>
          </w:p>
        </w:tc>
        <w:tc>
          <w:tcPr>
            <w:tcW w:w="4500" w:type="dxa"/>
            <w:tcBorders>
              <w:top w:val="nil"/>
              <w:left w:val="nil"/>
              <w:bottom w:val="nil"/>
              <w:right w:val="nil"/>
            </w:tcBorders>
            <w:tcMar>
              <w:top w:w="60" w:type="dxa"/>
              <w:left w:w="200" w:type="dxa"/>
              <w:bottom w:w="60" w:type="dxa"/>
              <w:right w:w="0" w:type="dxa"/>
            </w:tcMar>
            <w:vAlign w:val="top"/>
          </w:tcPr>
          <w:p w14:paraId="15EECB63">
            <w:pPr>
              <w:pStyle w:val="16"/>
              <w:numPr>
                <w:ilvl w:val="0"/>
                <w:numId w:val="1"/>
              </w:numPr>
              <w:spacing w:before="60" w:after="80"/>
            </w:pPr>
            <w:r>
              <w:rPr>
                <w:rFonts w:ascii="Georgia" w:hAnsi="Georgia" w:eastAsia="Georgia" w:cs="Georgia"/>
                <w:color w:val="1A1A2E"/>
                <w:sz w:val="22"/>
                <w:szCs w:val="22"/>
              </w:rPr>
              <w:t>Safeguarding &amp; Responsible Scale</w:t>
            </w:r>
          </w:p>
          <w:p w14:paraId="22AD514E">
            <w:pPr>
              <w:pStyle w:val="16"/>
              <w:numPr>
                <w:ilvl w:val="0"/>
                <w:numId w:val="1"/>
              </w:numPr>
              <w:spacing w:before="60" w:after="80"/>
            </w:pPr>
            <w:r>
              <w:rPr>
                <w:rFonts w:ascii="Georgia" w:hAnsi="Georgia" w:eastAsia="Georgia" w:cs="Georgia"/>
                <w:color w:val="1A1A2E"/>
                <w:sz w:val="22"/>
                <w:szCs w:val="22"/>
              </w:rPr>
              <w:t>Executive Partnership &amp; Transformation</w:t>
            </w:r>
          </w:p>
        </w:tc>
      </w:tr>
    </w:tbl>
    <w:p w14:paraId="3A42BE6F">
      <w:pPr>
        <w:spacing w:before="0" w:after="960"/>
      </w:pPr>
    </w:p>
    <w:p w14:paraId="0C87E4D0">
      <w:pPr>
        <w:pBdr>
          <w:bottom w:val="single" w:color="4A7C6F" w:sz="4" w:space="1"/>
        </w:pBdr>
        <w:spacing w:before="0" w:after="200"/>
      </w:pPr>
    </w:p>
    <w:p w14:paraId="6FD282AE">
      <w:pPr>
        <w:spacing w:before="0" w:after="240"/>
      </w:pPr>
    </w:p>
    <w:p w14:paraId="4C4FA38D">
      <w:pPr>
        <w:spacing w:before="0" w:after="80"/>
      </w:pPr>
      <w:r>
        <w:rPr>
          <w:rFonts w:ascii="Georgia" w:hAnsi="Georgia" w:eastAsia="Georgia" w:cs="Georgia"/>
          <w:i/>
          <w:iCs/>
          <w:color w:val="718096"/>
          <w:sz w:val="20"/>
          <w:szCs w:val="20"/>
        </w:rPr>
        <w:t>SHRM-SCP  ·  PMP  ·  MSc International Human Resources  ·  BSc English</w:t>
      </w:r>
    </w:p>
    <w:p w14:paraId="68E50979">
      <w:pPr>
        <w:spacing w:before="0" w:after="0"/>
      </w:pPr>
      <w:r>
        <w:rPr>
          <w:rFonts w:ascii="Georgia" w:hAnsi="Georgia" w:eastAsia="Georgia" w:cs="Georgia"/>
          <w:color w:val="718096"/>
          <w:sz w:val="20"/>
          <w:szCs w:val="20"/>
        </w:rPr>
        <w:t>Available for global strategy, transformation, and impact roles</w:t>
      </w:r>
    </w:p>
    <w:p w14:paraId="656B38D1">
      <w:r>
        <w:br w:type="page"/>
      </w:r>
    </w:p>
    <w:p w14:paraId="4F992B25">
      <w:pPr>
        <w:spacing w:before="0" w:after="80"/>
      </w:pPr>
      <w:r>
        <w:rPr>
          <w:rFonts w:ascii="Garamond" w:hAnsi="Garamond" w:eastAsia="Garamond" w:cs="Garamond"/>
          <w:b/>
          <w:bCs/>
          <w:color w:val="4A7C6F"/>
          <w:spacing w:val="120"/>
          <w:sz w:val="18"/>
          <w:szCs w:val="18"/>
        </w:rPr>
        <w:t>EXECUTIVE PROFILE</w:t>
      </w:r>
    </w:p>
    <w:p w14:paraId="15A9EB55">
      <w:pPr>
        <w:spacing w:before="360" w:after="160"/>
      </w:pPr>
      <w:r>
        <w:rPr>
          <w:rFonts w:ascii="Garamond" w:hAnsi="Garamond" w:eastAsia="Garamond" w:cs="Garamond"/>
          <w:b/>
          <w:bCs/>
          <w:color w:val="2D3748"/>
          <w:sz w:val="42"/>
          <w:szCs w:val="42"/>
        </w:rPr>
        <w:t>The Work I Do</w:t>
      </w:r>
    </w:p>
    <w:p w14:paraId="0256D315">
      <w:pPr>
        <w:pBdr>
          <w:bottom w:val="single" w:color="4A7C6F" w:sz="12" w:space="1"/>
        </w:pBdr>
        <w:spacing w:before="0" w:after="240"/>
      </w:pPr>
    </w:p>
    <w:p w14:paraId="3B45B17E">
      <w:pPr>
        <w:spacing w:before="60" w:after="140"/>
      </w:pPr>
      <w:r>
        <w:rPr>
          <w:rFonts w:ascii="Georgia" w:hAnsi="Georgia" w:eastAsia="Georgia" w:cs="Georgia"/>
          <w:color w:val="1A1A2E"/>
          <w:sz w:val="22"/>
          <w:szCs w:val="22"/>
        </w:rPr>
        <w:t>My work sits at the intersection of organizational strategy, innovation enablement, AI readiness, and responsible growth. I translate ambitious vision into operational reality — connecting the intent of leadership with the systems that make it executable.</w:t>
      </w:r>
    </w:p>
    <w:p w14:paraId="223FCC76">
      <w:pPr>
        <w:spacing w:before="0" w:after="160"/>
      </w:pPr>
    </w:p>
    <w:p w14:paraId="5317138A">
      <w:pPr>
        <w:spacing w:before="60" w:after="140"/>
      </w:pPr>
      <w:r>
        <w:rPr>
          <w:rFonts w:ascii="Georgia" w:hAnsi="Georgia" w:eastAsia="Georgia" w:cs="Georgia"/>
          <w:color w:val="1A1A2E"/>
          <w:sz w:val="22"/>
          <w:szCs w:val="22"/>
        </w:rPr>
        <w:t>What this looks like in practice:</w:t>
      </w:r>
    </w:p>
    <w:p w14:paraId="32AD9529">
      <w:pPr>
        <w:spacing w:before="0" w:after="80"/>
      </w:pPr>
    </w:p>
    <w:p w14:paraId="0F459407">
      <w:pPr>
        <w:pStyle w:val="16"/>
        <w:numPr>
          <w:ilvl w:val="0"/>
          <w:numId w:val="1"/>
        </w:numPr>
        <w:spacing w:before="60" w:after="80"/>
      </w:pPr>
      <w:r>
        <w:rPr>
          <w:rFonts w:ascii="Georgia" w:hAnsi="Georgia" w:eastAsia="Georgia" w:cs="Georgia"/>
          <w:color w:val="1A1A2E"/>
          <w:sz w:val="22"/>
          <w:szCs w:val="22"/>
        </w:rPr>
        <w:t>Designing organizational systems that scale without losing purpose</w:t>
      </w:r>
    </w:p>
    <w:p w14:paraId="220C7612">
      <w:pPr>
        <w:pStyle w:val="16"/>
        <w:numPr>
          <w:ilvl w:val="0"/>
          <w:numId w:val="1"/>
        </w:numPr>
        <w:spacing w:before="60" w:after="80"/>
      </w:pPr>
      <w:r>
        <w:rPr>
          <w:rFonts w:ascii="Georgia" w:hAnsi="Georgia" w:eastAsia="Georgia" w:cs="Georgia"/>
          <w:color w:val="1A1A2E"/>
          <w:sz w:val="22"/>
          <w:szCs w:val="22"/>
        </w:rPr>
        <w:t>Building innovation ecosystems that preserve structure</w:t>
      </w:r>
    </w:p>
    <w:p w14:paraId="452BBCEB">
      <w:pPr>
        <w:pStyle w:val="16"/>
        <w:numPr>
          <w:ilvl w:val="0"/>
          <w:numId w:val="1"/>
        </w:numPr>
        <w:spacing w:before="60" w:after="80"/>
      </w:pPr>
      <w:r>
        <w:rPr>
          <w:rFonts w:ascii="Georgia" w:hAnsi="Georgia" w:eastAsia="Georgia" w:cs="Georgia"/>
          <w:color w:val="1A1A2E"/>
          <w:sz w:val="22"/>
          <w:szCs w:val="22"/>
        </w:rPr>
        <w:t>Creating efficiency models that retain humanity</w:t>
      </w:r>
    </w:p>
    <w:p w14:paraId="6968D313">
      <w:pPr>
        <w:pStyle w:val="16"/>
        <w:numPr>
          <w:ilvl w:val="0"/>
          <w:numId w:val="1"/>
        </w:numPr>
        <w:spacing w:before="60" w:after="80"/>
      </w:pPr>
      <w:r>
        <w:rPr>
          <w:rFonts w:ascii="Georgia" w:hAnsi="Georgia" w:eastAsia="Georgia" w:cs="Georgia"/>
          <w:color w:val="1A1A2E"/>
          <w:sz w:val="22"/>
          <w:szCs w:val="22"/>
        </w:rPr>
        <w:t>Establishing accountability frameworks that sustain trust</w:t>
      </w:r>
    </w:p>
    <w:p w14:paraId="4A960CCD">
      <w:pPr>
        <w:spacing w:before="0" w:after="320"/>
      </w:pPr>
    </w:p>
    <w:p w14:paraId="649C9B16">
      <w:pPr>
        <w:pBdr>
          <w:bottom w:val="single" w:color="4A7C6F" w:sz="12" w:space="1"/>
        </w:pBdr>
        <w:spacing w:before="0" w:after="240"/>
      </w:pPr>
    </w:p>
    <w:p w14:paraId="0746FDFD">
      <w:pPr>
        <w:spacing w:before="0" w:after="80"/>
      </w:pPr>
      <w:r>
        <w:rPr>
          <w:rFonts w:ascii="Garamond" w:hAnsi="Garamond" w:eastAsia="Garamond" w:cs="Garamond"/>
          <w:b/>
          <w:bCs/>
          <w:color w:val="4A7C6F"/>
          <w:spacing w:val="120"/>
          <w:sz w:val="18"/>
          <w:szCs w:val="18"/>
        </w:rPr>
        <w:t>LEADERSHIP PHILOSOPHY</w:t>
      </w:r>
    </w:p>
    <w:p w14:paraId="5675196F">
      <w:pPr>
        <w:spacing w:before="280" w:after="100"/>
      </w:pPr>
      <w:r>
        <w:rPr>
          <w:rFonts w:ascii="Garamond" w:hAnsi="Garamond" w:eastAsia="Garamond" w:cs="Garamond"/>
          <w:b/>
          <w:bCs/>
          <w:color w:val="2D3748"/>
          <w:sz w:val="28"/>
          <w:szCs w:val="28"/>
        </w:rPr>
        <w:t xml:space="preserve">Strategy, People, and </w:t>
      </w:r>
      <w:bookmarkStart w:id="0" w:name="_GoBack"/>
      <w:bookmarkEnd w:id="0"/>
      <w:r>
        <w:rPr>
          <w:rFonts w:ascii="Garamond" w:hAnsi="Garamond" w:eastAsia="Garamond" w:cs="Garamond"/>
          <w:b/>
          <w:bCs/>
          <w:color w:val="2D3748"/>
          <w:sz w:val="28"/>
          <w:szCs w:val="28"/>
          <w:lang w:val="en-GB"/>
        </w:rPr>
        <w:t>Execution</w:t>
      </w:r>
      <w:r>
        <w:rPr>
          <w:rFonts w:ascii="Garamond" w:hAnsi="Garamond" w:eastAsia="Garamond" w:cs="Garamond"/>
          <w:b/>
          <w:bCs/>
          <w:color w:val="2D3748"/>
          <w:sz w:val="28"/>
          <w:szCs w:val="28"/>
        </w:rPr>
        <w:t>— Designed as One</w:t>
      </w:r>
    </w:p>
    <w:p w14:paraId="7FE8591D">
      <w:pPr>
        <w:spacing w:before="60" w:after="140"/>
      </w:pPr>
      <w:r>
        <w:rPr>
          <w:rFonts w:ascii="Georgia" w:hAnsi="Georgia" w:eastAsia="Georgia" w:cs="Georgia"/>
          <w:color w:val="1A1A2E"/>
          <w:sz w:val="22"/>
          <w:szCs w:val="22"/>
        </w:rPr>
        <w:t>Organizations succeed when these three elements are designed as a single integrated system, not managed separately. Most transformation initiatives fail not because the strategy is wrong, but because the systems to execute it were never built.</w:t>
      </w:r>
    </w:p>
    <w:p w14:paraId="27F71AF8">
      <w:pPr>
        <w:spacing w:before="0" w:after="160"/>
      </w:pPr>
    </w:p>
    <w:p w14:paraId="2021C3C3">
      <w:pPr>
        <w:spacing w:before="120" w:after="80"/>
      </w:pPr>
      <w:r>
        <w:rPr>
          <w:rFonts w:ascii="Garamond" w:hAnsi="Garamond" w:eastAsia="Garamond" w:cs="Garamond"/>
          <w:b/>
          <w:bCs/>
          <w:color w:val="2D3748"/>
          <w:sz w:val="24"/>
          <w:szCs w:val="24"/>
        </w:rPr>
        <w:t>Operating Principles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7724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Mar>
              <w:top w:w="60" w:type="dxa"/>
              <w:left w:w="0" w:type="dxa"/>
              <w:bottom w:w="60" w:type="dxa"/>
              <w:right w:w="200" w:type="dxa"/>
            </w:tcMar>
            <w:vAlign w:val="top"/>
          </w:tcPr>
          <w:p w14:paraId="4D5E8776">
            <w:pPr>
              <w:pStyle w:val="16"/>
              <w:numPr>
                <w:ilvl w:val="0"/>
                <w:numId w:val="1"/>
              </w:numPr>
              <w:spacing w:before="60" w:after="80"/>
            </w:pPr>
            <w:r>
              <w:rPr>
                <w:rFonts w:ascii="Georgia" w:hAnsi="Georgia" w:eastAsia="Georgia" w:cs="Georgia"/>
                <w:color w:val="1A1A2E"/>
                <w:sz w:val="22"/>
                <w:szCs w:val="22"/>
              </w:rPr>
              <w:t>Systems before symptoms</w:t>
            </w:r>
          </w:p>
          <w:p w14:paraId="38131D66">
            <w:pPr>
              <w:pStyle w:val="16"/>
              <w:numPr>
                <w:ilvl w:val="0"/>
                <w:numId w:val="1"/>
              </w:numPr>
              <w:spacing w:before="60" w:after="80"/>
            </w:pPr>
            <w:r>
              <w:rPr>
                <w:rFonts w:ascii="Georgia" w:hAnsi="Georgia" w:eastAsia="Georgia" w:cs="Georgia"/>
                <w:color w:val="1A1A2E"/>
                <w:sz w:val="22"/>
                <w:szCs w:val="22"/>
              </w:rPr>
              <w:t>Strategy must be executable</w:t>
            </w:r>
          </w:p>
        </w:tc>
        <w:tc>
          <w:tcPr>
            <w:tcW w:w="4500" w:type="dxa"/>
            <w:tcBorders>
              <w:top w:val="nil"/>
              <w:left w:val="nil"/>
              <w:bottom w:val="nil"/>
              <w:right w:val="nil"/>
            </w:tcBorders>
            <w:tcMar>
              <w:top w:w="60" w:type="dxa"/>
              <w:left w:w="200" w:type="dxa"/>
              <w:bottom w:w="60" w:type="dxa"/>
              <w:right w:w="0" w:type="dxa"/>
            </w:tcMar>
            <w:vAlign w:val="top"/>
          </w:tcPr>
          <w:p w14:paraId="38FB1BD6">
            <w:pPr>
              <w:pStyle w:val="16"/>
              <w:numPr>
                <w:ilvl w:val="0"/>
                <w:numId w:val="1"/>
              </w:numPr>
              <w:spacing w:before="60" w:after="80"/>
            </w:pPr>
            <w:r>
              <w:rPr>
                <w:rFonts w:ascii="Georgia" w:hAnsi="Georgia" w:eastAsia="Georgia" w:cs="Georgia"/>
                <w:color w:val="1A1A2E"/>
                <w:sz w:val="22"/>
                <w:szCs w:val="22"/>
              </w:rPr>
              <w:t>Human-centered, data-informed decisions</w:t>
            </w:r>
          </w:p>
          <w:p w14:paraId="3FF95557">
            <w:pPr>
              <w:pStyle w:val="16"/>
              <w:numPr>
                <w:ilvl w:val="0"/>
                <w:numId w:val="1"/>
              </w:numPr>
              <w:spacing w:before="60" w:after="80"/>
            </w:pPr>
            <w:r>
              <w:rPr>
                <w:rFonts w:ascii="Georgia" w:hAnsi="Georgia" w:eastAsia="Georgia" w:cs="Georgia"/>
                <w:color w:val="1A1A2E"/>
                <w:sz w:val="22"/>
                <w:szCs w:val="22"/>
              </w:rPr>
              <w:t>Growth with responsibility</w:t>
            </w:r>
          </w:p>
        </w:tc>
      </w:tr>
    </w:tbl>
    <w:p w14:paraId="29D1F3BC">
      <w:r>
        <w:br w:type="page"/>
      </w:r>
    </w:p>
    <w:p w14:paraId="01BFC47D">
      <w:pPr>
        <w:spacing w:before="0" w:after="80"/>
      </w:pPr>
      <w:r>
        <w:rPr>
          <w:rFonts w:ascii="Garamond" w:hAnsi="Garamond" w:eastAsia="Garamond" w:cs="Garamond"/>
          <w:b/>
          <w:bCs/>
          <w:color w:val="4A7C6F"/>
          <w:spacing w:val="120"/>
          <w:sz w:val="18"/>
          <w:szCs w:val="18"/>
        </w:rPr>
        <w:t>CAPABILITY ARCHITECTURE</w:t>
      </w:r>
    </w:p>
    <w:p w14:paraId="25A7ABC1">
      <w:pPr>
        <w:spacing w:before="360" w:after="160"/>
      </w:pPr>
      <w:r>
        <w:rPr>
          <w:rFonts w:ascii="Garamond" w:hAnsi="Garamond" w:eastAsia="Garamond" w:cs="Garamond"/>
          <w:b/>
          <w:bCs/>
          <w:color w:val="2D3748"/>
          <w:sz w:val="42"/>
          <w:szCs w:val="42"/>
        </w:rPr>
        <w:t>Five Domains of Strategic Impact</w:t>
      </w:r>
    </w:p>
    <w:p w14:paraId="37CCC747">
      <w:pPr>
        <w:pBdr>
          <w:bottom w:val="single" w:color="4A7C6F" w:sz="12" w:space="1"/>
        </w:pBdr>
        <w:spacing w:before="0" w:after="240"/>
      </w:pPr>
    </w:p>
    <w:p w14:paraId="7C1E5D83">
      <w:pPr>
        <w:spacing w:before="60" w:after="140"/>
      </w:pPr>
      <w:r>
        <w:rPr>
          <w:rFonts w:ascii="Georgia" w:hAnsi="Georgia" w:eastAsia="Georgia" w:cs="Georgia"/>
          <w:color w:val="1A1A2E"/>
          <w:sz w:val="22"/>
          <w:szCs w:val="22"/>
        </w:rPr>
        <w:t>Each domain represents a distinct capability area — not a job function, but a way of creating organizational value. In practice, these domains intersect and reinforce each other.</w:t>
      </w:r>
    </w:p>
    <w:p w14:paraId="1479D121">
      <w:pPr>
        <w:spacing w:before="0" w:after="2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00"/>
      </w:tblGrid>
      <w:tr w14:paraId="42AF3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nil"/>
              <w:left w:val="nil"/>
              <w:bottom w:val="nil"/>
              <w:right w:val="nil"/>
            </w:tcBorders>
            <w:shd w:val="clear" w:color="auto" w:fill="E8F0EE"/>
            <w:tcMar>
              <w:top w:w="80" w:type="dxa"/>
              <w:left w:w="0" w:type="dxa"/>
              <w:bottom w:w="80" w:type="dxa"/>
              <w:right w:w="80" w:type="dxa"/>
            </w:tcMar>
            <w:vAlign w:val="top"/>
          </w:tcPr>
          <w:p w14:paraId="6C9FEDF9">
            <w:pPr>
              <w:jc w:val="center"/>
            </w:pPr>
            <w:r>
              <w:rPr>
                <w:rFonts w:ascii="Garamond" w:hAnsi="Garamond" w:eastAsia="Garamond" w:cs="Garamond"/>
                <w:b/>
                <w:bCs/>
                <w:color w:val="4A7C6F"/>
                <w:sz w:val="42"/>
                <w:szCs w:val="42"/>
              </w:rPr>
              <w:t>01</w:t>
            </w:r>
          </w:p>
        </w:tc>
        <w:tc>
          <w:tcPr>
            <w:tcW w:w="7800" w:type="dxa"/>
            <w:tcBorders>
              <w:top w:val="nil"/>
              <w:left w:val="single" w:color="4A7C6F" w:sz="18" w:space="0"/>
              <w:bottom w:val="nil"/>
              <w:right w:val="nil"/>
            </w:tcBorders>
            <w:shd w:val="clear" w:color="auto" w:fill="E8F0EE"/>
            <w:tcMar>
              <w:top w:w="100" w:type="dxa"/>
              <w:left w:w="200" w:type="dxa"/>
              <w:bottom w:w="100" w:type="dxa"/>
              <w:right w:w="80" w:type="dxa"/>
            </w:tcMar>
            <w:vAlign w:val="top"/>
          </w:tcPr>
          <w:p w14:paraId="50C01DAF">
            <w:pPr>
              <w:spacing w:before="0" w:after="60"/>
            </w:pPr>
            <w:r>
              <w:rPr>
                <w:rFonts w:ascii="Garamond" w:hAnsi="Garamond" w:eastAsia="Garamond" w:cs="Garamond"/>
                <w:b/>
                <w:bCs/>
                <w:color w:val="2D3748"/>
                <w:sz w:val="24"/>
                <w:szCs w:val="24"/>
              </w:rPr>
              <w:t>Organizational Strategy &amp; Design</w:t>
            </w:r>
          </w:p>
          <w:p w14:paraId="545F2E8F">
            <w:pPr>
              <w:spacing w:before="0" w:after="100"/>
            </w:pPr>
            <w:r>
              <w:rPr>
                <w:rFonts w:ascii="Georgia" w:hAnsi="Georgia" w:eastAsia="Georgia" w:cs="Georgia"/>
                <w:color w:val="1A1A2E"/>
                <w:sz w:val="20"/>
                <w:szCs w:val="20"/>
              </w:rPr>
              <w:t>Making strategy executable. Translating leadership vision into operating models, structures, and governance that function at scale.</w:t>
            </w:r>
          </w:p>
        </w:tc>
      </w:tr>
    </w:tbl>
    <w:p w14:paraId="055D1085">
      <w:pPr>
        <w:spacing w:before="0" w:after="1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00"/>
      </w:tblGrid>
      <w:tr w14:paraId="764B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E8F0EE"/>
            <w:tcMar>
              <w:top w:w="80" w:type="dxa"/>
              <w:left w:w="0" w:type="dxa"/>
              <w:bottom w:w="80" w:type="dxa"/>
              <w:right w:w="80" w:type="dxa"/>
            </w:tcMar>
            <w:vAlign w:val="top"/>
          </w:tcPr>
          <w:p w14:paraId="4E7A37A2">
            <w:pPr>
              <w:jc w:val="center"/>
            </w:pPr>
            <w:r>
              <w:rPr>
                <w:rFonts w:ascii="Garamond" w:hAnsi="Garamond" w:eastAsia="Garamond" w:cs="Garamond"/>
                <w:b/>
                <w:bCs/>
                <w:color w:val="4A7C6F"/>
                <w:sz w:val="42"/>
                <w:szCs w:val="42"/>
              </w:rPr>
              <w:t>02</w:t>
            </w:r>
          </w:p>
        </w:tc>
        <w:tc>
          <w:tcPr>
            <w:tcW w:w="7800" w:type="dxa"/>
            <w:tcBorders>
              <w:top w:val="nil"/>
              <w:left w:val="single" w:color="4A7C6F" w:sz="18" w:space="0"/>
              <w:bottom w:val="nil"/>
              <w:right w:val="nil"/>
            </w:tcBorders>
            <w:shd w:val="clear" w:color="auto" w:fill="E8F0EE"/>
            <w:tcMar>
              <w:top w:w="100" w:type="dxa"/>
              <w:left w:w="200" w:type="dxa"/>
              <w:bottom w:w="100" w:type="dxa"/>
              <w:right w:w="80" w:type="dxa"/>
            </w:tcMar>
            <w:vAlign w:val="top"/>
          </w:tcPr>
          <w:p w14:paraId="270C0414">
            <w:pPr>
              <w:spacing w:before="0" w:after="60"/>
            </w:pPr>
            <w:r>
              <w:rPr>
                <w:rFonts w:ascii="Garamond" w:hAnsi="Garamond" w:eastAsia="Garamond" w:cs="Garamond"/>
                <w:b/>
                <w:bCs/>
                <w:color w:val="2D3748"/>
                <w:sz w:val="24"/>
                <w:szCs w:val="24"/>
              </w:rPr>
              <w:t>Systems That Drive Performance</w:t>
            </w:r>
          </w:p>
          <w:p w14:paraId="110A7779">
            <w:pPr>
              <w:spacing w:before="0" w:after="100"/>
            </w:pPr>
            <w:r>
              <w:rPr>
                <w:rFonts w:ascii="Georgia" w:hAnsi="Georgia" w:eastAsia="Georgia" w:cs="Georgia"/>
                <w:color w:val="1A1A2E"/>
                <w:sz w:val="20"/>
                <w:szCs w:val="20"/>
              </w:rPr>
              <w:t>Creating repeatable success. Designing the diagnostic models, performance architectures, and operational rhythms that sustain results over time.</w:t>
            </w:r>
          </w:p>
        </w:tc>
      </w:tr>
    </w:tbl>
    <w:p w14:paraId="20B426BC">
      <w:pPr>
        <w:spacing w:before="0" w:after="1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00"/>
      </w:tblGrid>
      <w:tr w14:paraId="199B5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nil"/>
              <w:left w:val="nil"/>
              <w:bottom w:val="nil"/>
              <w:right w:val="nil"/>
            </w:tcBorders>
            <w:shd w:val="clear" w:color="auto" w:fill="E8F0EE"/>
            <w:tcMar>
              <w:top w:w="80" w:type="dxa"/>
              <w:left w:w="0" w:type="dxa"/>
              <w:bottom w:w="80" w:type="dxa"/>
              <w:right w:w="80" w:type="dxa"/>
            </w:tcMar>
            <w:vAlign w:val="top"/>
          </w:tcPr>
          <w:p w14:paraId="72C0C8A9">
            <w:pPr>
              <w:jc w:val="center"/>
            </w:pPr>
            <w:r>
              <w:rPr>
                <w:rFonts w:ascii="Garamond" w:hAnsi="Garamond" w:eastAsia="Garamond" w:cs="Garamond"/>
                <w:b/>
                <w:bCs/>
                <w:color w:val="4A7C6F"/>
                <w:sz w:val="42"/>
                <w:szCs w:val="42"/>
              </w:rPr>
              <w:t>03</w:t>
            </w:r>
          </w:p>
        </w:tc>
        <w:tc>
          <w:tcPr>
            <w:tcW w:w="7800" w:type="dxa"/>
            <w:tcBorders>
              <w:top w:val="nil"/>
              <w:left w:val="single" w:color="4A7C6F" w:sz="18" w:space="0"/>
              <w:bottom w:val="nil"/>
              <w:right w:val="nil"/>
            </w:tcBorders>
            <w:shd w:val="clear" w:color="auto" w:fill="E8F0EE"/>
            <w:tcMar>
              <w:top w:w="100" w:type="dxa"/>
              <w:left w:w="200" w:type="dxa"/>
              <w:bottom w:w="100" w:type="dxa"/>
              <w:right w:w="80" w:type="dxa"/>
            </w:tcMar>
            <w:vAlign w:val="top"/>
          </w:tcPr>
          <w:p w14:paraId="51D8D1C2">
            <w:pPr>
              <w:spacing w:before="0" w:after="60"/>
            </w:pPr>
            <w:r>
              <w:rPr>
                <w:rFonts w:ascii="Garamond" w:hAnsi="Garamond" w:eastAsia="Garamond" w:cs="Garamond"/>
                <w:b/>
                <w:bCs/>
                <w:color w:val="2D3748"/>
                <w:sz w:val="24"/>
                <w:szCs w:val="24"/>
              </w:rPr>
              <w:t>Innovation &amp; AI Enablement</w:t>
            </w:r>
          </w:p>
          <w:p w14:paraId="60BCC27F">
            <w:pPr>
              <w:spacing w:before="0" w:after="100"/>
            </w:pPr>
            <w:r>
              <w:rPr>
                <w:rFonts w:ascii="Georgia" w:hAnsi="Georgia" w:eastAsia="Georgia" w:cs="Georgia"/>
                <w:color w:val="1A1A2E"/>
                <w:sz w:val="20"/>
                <w:szCs w:val="20"/>
              </w:rPr>
              <w:t>Bridging human systems and technology. Building the organizational readiness, decision frameworks, and learning pathways that allow teams to adopt AI with confidence.</w:t>
            </w:r>
          </w:p>
        </w:tc>
      </w:tr>
    </w:tbl>
    <w:p w14:paraId="67505722">
      <w:pPr>
        <w:spacing w:before="0" w:after="1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00"/>
      </w:tblGrid>
      <w:tr w14:paraId="5AC2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E8F0EE"/>
            <w:tcMar>
              <w:top w:w="80" w:type="dxa"/>
              <w:left w:w="0" w:type="dxa"/>
              <w:bottom w:w="80" w:type="dxa"/>
              <w:right w:w="80" w:type="dxa"/>
            </w:tcMar>
            <w:vAlign w:val="top"/>
          </w:tcPr>
          <w:p w14:paraId="22E0443D">
            <w:pPr>
              <w:jc w:val="center"/>
            </w:pPr>
            <w:r>
              <w:rPr>
                <w:rFonts w:ascii="Garamond" w:hAnsi="Garamond" w:eastAsia="Garamond" w:cs="Garamond"/>
                <w:b/>
                <w:bCs/>
                <w:color w:val="4A7C6F"/>
                <w:sz w:val="42"/>
                <w:szCs w:val="42"/>
              </w:rPr>
              <w:t>04</w:t>
            </w:r>
          </w:p>
        </w:tc>
        <w:tc>
          <w:tcPr>
            <w:tcW w:w="7800" w:type="dxa"/>
            <w:tcBorders>
              <w:top w:val="nil"/>
              <w:left w:val="single" w:color="4A7C6F" w:sz="18" w:space="0"/>
              <w:bottom w:val="nil"/>
              <w:right w:val="nil"/>
            </w:tcBorders>
            <w:shd w:val="clear" w:color="auto" w:fill="E8F0EE"/>
            <w:tcMar>
              <w:top w:w="100" w:type="dxa"/>
              <w:left w:w="200" w:type="dxa"/>
              <w:bottom w:w="100" w:type="dxa"/>
              <w:right w:w="80" w:type="dxa"/>
            </w:tcMar>
            <w:vAlign w:val="top"/>
          </w:tcPr>
          <w:p w14:paraId="67570664">
            <w:pPr>
              <w:spacing w:before="0" w:after="60"/>
            </w:pPr>
            <w:r>
              <w:rPr>
                <w:rFonts w:ascii="Garamond" w:hAnsi="Garamond" w:eastAsia="Garamond" w:cs="Garamond"/>
                <w:b/>
                <w:bCs/>
                <w:color w:val="2D3748"/>
                <w:sz w:val="24"/>
                <w:szCs w:val="24"/>
              </w:rPr>
              <w:t>Safeguarding &amp; Responsible Growth</w:t>
            </w:r>
          </w:p>
          <w:p w14:paraId="702C295E">
            <w:pPr>
              <w:spacing w:before="0" w:after="100"/>
            </w:pPr>
            <w:r>
              <w:rPr>
                <w:rFonts w:ascii="Georgia" w:hAnsi="Georgia" w:eastAsia="Georgia" w:cs="Georgia"/>
                <w:color w:val="1A1A2E"/>
                <w:sz w:val="20"/>
                <w:szCs w:val="20"/>
              </w:rPr>
              <w:t>Scaling with integrity. Embedding accountability, ethical safeguards, and protective governance into organizations as they grow.</w:t>
            </w:r>
          </w:p>
        </w:tc>
      </w:tr>
    </w:tbl>
    <w:p w14:paraId="716EC85D">
      <w:pPr>
        <w:spacing w:before="0" w:after="1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00"/>
      </w:tblGrid>
      <w:tr w14:paraId="0745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E8F0EE"/>
            <w:tcMar>
              <w:top w:w="80" w:type="dxa"/>
              <w:left w:w="0" w:type="dxa"/>
              <w:bottom w:w="80" w:type="dxa"/>
              <w:right w:w="80" w:type="dxa"/>
            </w:tcMar>
            <w:vAlign w:val="top"/>
          </w:tcPr>
          <w:p w14:paraId="35A29DA7">
            <w:pPr>
              <w:jc w:val="center"/>
            </w:pPr>
            <w:r>
              <w:rPr>
                <w:rFonts w:ascii="Garamond" w:hAnsi="Garamond" w:eastAsia="Garamond" w:cs="Garamond"/>
                <w:b/>
                <w:bCs/>
                <w:color w:val="4A7C6F"/>
                <w:sz w:val="42"/>
                <w:szCs w:val="42"/>
              </w:rPr>
              <w:t>05</w:t>
            </w:r>
          </w:p>
        </w:tc>
        <w:tc>
          <w:tcPr>
            <w:tcW w:w="7800" w:type="dxa"/>
            <w:tcBorders>
              <w:top w:val="nil"/>
              <w:left w:val="single" w:color="4A7C6F" w:sz="18" w:space="0"/>
              <w:bottom w:val="nil"/>
              <w:right w:val="nil"/>
            </w:tcBorders>
            <w:shd w:val="clear" w:color="auto" w:fill="E8F0EE"/>
            <w:tcMar>
              <w:top w:w="100" w:type="dxa"/>
              <w:left w:w="200" w:type="dxa"/>
              <w:bottom w:w="100" w:type="dxa"/>
              <w:right w:w="80" w:type="dxa"/>
            </w:tcMar>
            <w:vAlign w:val="top"/>
          </w:tcPr>
          <w:p w14:paraId="0CE13E1D">
            <w:pPr>
              <w:spacing w:before="0" w:after="60"/>
            </w:pPr>
            <w:r>
              <w:rPr>
                <w:rFonts w:ascii="Garamond" w:hAnsi="Garamond" w:eastAsia="Garamond" w:cs="Garamond"/>
                <w:b/>
                <w:bCs/>
                <w:color w:val="2D3748"/>
                <w:sz w:val="24"/>
                <w:szCs w:val="24"/>
              </w:rPr>
              <w:t>Executive Partnership &amp; Transformation</w:t>
            </w:r>
          </w:p>
          <w:p w14:paraId="1A052C46">
            <w:pPr>
              <w:spacing w:before="0" w:after="100"/>
            </w:pPr>
            <w:r>
              <w:rPr>
                <w:rFonts w:ascii="Georgia" w:hAnsi="Georgia" w:eastAsia="Georgia" w:cs="Georgia"/>
                <w:color w:val="1A1A2E"/>
                <w:sz w:val="20"/>
                <w:szCs w:val="20"/>
              </w:rPr>
              <w:t>Connecting leadership intent to action. Partnering with senior leaders to design and deliver transformation that holds — through complexity and change.</w:t>
            </w:r>
          </w:p>
        </w:tc>
      </w:tr>
    </w:tbl>
    <w:p w14:paraId="10D41399">
      <w:r>
        <w:br w:type="page"/>
      </w:r>
    </w:p>
    <w:p w14:paraId="07D5E6C0">
      <w:pPr>
        <w:spacing w:before="0" w:after="80"/>
      </w:pPr>
      <w:r>
        <w:rPr>
          <w:rFonts w:ascii="Garamond" w:hAnsi="Garamond" w:eastAsia="Garamond" w:cs="Garamond"/>
          <w:b/>
          <w:bCs/>
          <w:color w:val="4A7C6F"/>
          <w:spacing w:val="120"/>
          <w:sz w:val="18"/>
          <w:szCs w:val="18"/>
        </w:rPr>
        <w:t>SIGNATURE FRAMEWORKS</w:t>
      </w:r>
    </w:p>
    <w:p w14:paraId="1D90F863">
      <w:pPr>
        <w:spacing w:before="360" w:after="160"/>
      </w:pPr>
      <w:r>
        <w:rPr>
          <w:rFonts w:ascii="Garamond" w:hAnsi="Garamond" w:eastAsia="Garamond" w:cs="Garamond"/>
          <w:b/>
          <w:bCs/>
          <w:color w:val="2D3748"/>
          <w:sz w:val="42"/>
          <w:szCs w:val="42"/>
        </w:rPr>
        <w:t>How I Think About Systems</w:t>
      </w:r>
    </w:p>
    <w:p w14:paraId="64472AC0">
      <w:pPr>
        <w:pBdr>
          <w:bottom w:val="single" w:color="4A7C6F" w:sz="12" w:space="1"/>
        </w:pBdr>
        <w:spacing w:before="0" w:after="240"/>
      </w:pPr>
    </w:p>
    <w:p w14:paraId="610F6A92">
      <w:pPr>
        <w:spacing w:before="60" w:after="140"/>
      </w:pPr>
      <w:r>
        <w:rPr>
          <w:rFonts w:ascii="Georgia" w:hAnsi="Georgia" w:eastAsia="Georgia" w:cs="Georgia"/>
          <w:color w:val="1A1A2E"/>
          <w:sz w:val="22"/>
          <w:szCs w:val="22"/>
        </w:rPr>
        <w:t>These frameworks emerged from practice — from working through complex organizational challenges across contexts and sectors. They are thinking tools, not rigid templates.</w:t>
      </w:r>
    </w:p>
    <w:p w14:paraId="5CAF92CC">
      <w:pPr>
        <w:spacing w:before="0" w:after="240"/>
      </w:pPr>
    </w:p>
    <w:p w14:paraId="25B1DE17">
      <w:pPr>
        <w:spacing w:before="280" w:after="100"/>
      </w:pPr>
      <w:r>
        <w:rPr>
          <w:rFonts w:ascii="Garamond" w:hAnsi="Garamond" w:eastAsia="Garamond" w:cs="Garamond"/>
          <w:b/>
          <w:bCs/>
          <w:color w:val="2D3748"/>
          <w:sz w:val="28"/>
          <w:szCs w:val="28"/>
        </w:rPr>
        <w:t>Strategy → Capability → Execution Model™</w:t>
      </w:r>
    </w:p>
    <w:p w14:paraId="4C37CDD0">
      <w:pPr>
        <w:spacing w:before="0" w:after="100"/>
      </w:pPr>
      <w:r>
        <w:rPr>
          <w:rFonts w:ascii="Georgia" w:hAnsi="Georgia" w:eastAsia="Georgia" w:cs="Georgia"/>
          <w:i/>
          <w:iCs/>
          <w:color w:val="718096"/>
          <w:sz w:val="20"/>
          <w:szCs w:val="20"/>
        </w:rPr>
        <w:t>A sequential design model for making strategy operational</w:t>
      </w:r>
    </w:p>
    <w:p w14:paraId="66CDD430">
      <w:pPr>
        <w:spacing w:before="0" w:after="80"/>
      </w:pPr>
    </w:p>
    <w:p w14:paraId="30A806B2">
      <w:pPr>
        <w:spacing w:before="80" w:after="120"/>
      </w:pPr>
      <w:r>
        <w:rPr>
          <w:rFonts w:ascii="Garamond" w:hAnsi="Garamond" w:eastAsia="Garamond" w:cs="Garamond"/>
          <w:b/>
          <w:bCs/>
          <w:color w:val="4A7C6F"/>
          <w:sz w:val="22"/>
          <w:szCs w:val="22"/>
        </w:rPr>
        <w:t>Strategy Intent</w:t>
      </w:r>
      <w:r>
        <w:rPr>
          <w:rFonts w:ascii="Georgia" w:hAnsi="Georgia" w:eastAsia="Georgia" w:cs="Georgia"/>
          <w:color w:val="718096"/>
          <w:sz w:val="22"/>
          <w:szCs w:val="22"/>
        </w:rPr>
        <w:t xml:space="preserve">  →  </w:t>
      </w:r>
      <w:r>
        <w:rPr>
          <w:rFonts w:ascii="Garamond" w:hAnsi="Garamond" w:eastAsia="Garamond" w:cs="Garamond"/>
          <w:b/>
          <w:bCs/>
          <w:color w:val="4A7C6F"/>
          <w:sz w:val="22"/>
          <w:szCs w:val="22"/>
        </w:rPr>
        <w:t>Capability Readiness</w:t>
      </w:r>
      <w:r>
        <w:rPr>
          <w:rFonts w:ascii="Georgia" w:hAnsi="Georgia" w:eastAsia="Georgia" w:cs="Georgia"/>
          <w:color w:val="718096"/>
          <w:sz w:val="22"/>
          <w:szCs w:val="22"/>
        </w:rPr>
        <w:t xml:space="preserve">  →  </w:t>
      </w:r>
      <w:r>
        <w:rPr>
          <w:rFonts w:ascii="Garamond" w:hAnsi="Garamond" w:eastAsia="Garamond" w:cs="Garamond"/>
          <w:b/>
          <w:bCs/>
          <w:color w:val="4A7C6F"/>
          <w:sz w:val="22"/>
          <w:szCs w:val="22"/>
        </w:rPr>
        <w:t>System Design</w:t>
      </w:r>
      <w:r>
        <w:rPr>
          <w:rFonts w:ascii="Georgia" w:hAnsi="Georgia" w:eastAsia="Georgia" w:cs="Georgia"/>
          <w:color w:val="718096"/>
          <w:sz w:val="22"/>
          <w:szCs w:val="22"/>
        </w:rPr>
        <w:t xml:space="preserve">  →  </w:t>
      </w:r>
      <w:r>
        <w:rPr>
          <w:rFonts w:ascii="Garamond" w:hAnsi="Garamond" w:eastAsia="Garamond" w:cs="Garamond"/>
          <w:b/>
          <w:bCs/>
          <w:color w:val="4A7C6F"/>
          <w:sz w:val="22"/>
          <w:szCs w:val="22"/>
        </w:rPr>
        <w:t>Execution Rhythm</w:t>
      </w:r>
      <w:r>
        <w:rPr>
          <w:rFonts w:ascii="Georgia" w:hAnsi="Georgia" w:eastAsia="Georgia" w:cs="Georgia"/>
          <w:color w:val="718096"/>
          <w:sz w:val="22"/>
          <w:szCs w:val="22"/>
        </w:rPr>
        <w:t xml:space="preserve">  →  </w:t>
      </w:r>
      <w:r>
        <w:rPr>
          <w:rFonts w:ascii="Garamond" w:hAnsi="Garamond" w:eastAsia="Garamond" w:cs="Garamond"/>
          <w:b/>
          <w:bCs/>
          <w:color w:val="4A7C6F"/>
          <w:sz w:val="22"/>
          <w:szCs w:val="22"/>
        </w:rPr>
        <w:t>Sustainable Impact</w:t>
      </w:r>
    </w:p>
    <w:p w14:paraId="4A9E44F0">
      <w:pPr>
        <w:spacing w:before="60" w:after="140"/>
      </w:pPr>
      <w:r>
        <w:rPr>
          <w:rFonts w:ascii="Georgia" w:hAnsi="Georgia" w:eastAsia="Georgia" w:cs="Georgia"/>
          <w:color w:val="1A1A2E"/>
          <w:sz w:val="22"/>
          <w:szCs w:val="22"/>
        </w:rPr>
        <w:t>This model prevents a common failure: organizations that define strategy clearly but then attempt to execute it without first assessing whether the organizational capability to deliver actually exists.</w:t>
      </w:r>
    </w:p>
    <w:p w14:paraId="6BEC7E7D">
      <w:pPr>
        <w:spacing w:before="0" w:after="240"/>
      </w:pPr>
    </w:p>
    <w:p w14:paraId="2B9B7C10">
      <w:pPr>
        <w:pBdr>
          <w:bottom w:val="single" w:color="E2E8F0" w:sz="6" w:space="1"/>
        </w:pBdr>
        <w:spacing w:before="0" w:after="200"/>
      </w:pPr>
    </w:p>
    <w:p w14:paraId="0F801378">
      <w:pPr>
        <w:spacing w:before="280" w:after="100"/>
      </w:pPr>
      <w:r>
        <w:rPr>
          <w:rFonts w:ascii="Garamond" w:hAnsi="Garamond" w:eastAsia="Garamond" w:cs="Garamond"/>
          <w:b/>
          <w:bCs/>
          <w:color w:val="2D3748"/>
          <w:sz w:val="28"/>
          <w:szCs w:val="28"/>
        </w:rPr>
        <w:t>Responsible Scale Framework™</w:t>
      </w:r>
    </w:p>
    <w:p w14:paraId="52642355">
      <w:pPr>
        <w:spacing w:before="0" w:after="100"/>
      </w:pPr>
      <w:r>
        <w:rPr>
          <w:rFonts w:ascii="Georgia" w:hAnsi="Georgia" w:eastAsia="Georgia" w:cs="Georgia"/>
          <w:i/>
          <w:iCs/>
          <w:color w:val="718096"/>
          <w:sz w:val="20"/>
          <w:szCs w:val="20"/>
        </w:rPr>
        <w:t>Balancing growth velocity with organizational integrity</w:t>
      </w:r>
    </w:p>
    <w:p w14:paraId="3B9AC95B">
      <w:pPr>
        <w:spacing w:before="0" w:after="80"/>
      </w:pPr>
    </w:p>
    <w:p w14:paraId="24FA9210">
      <w:pPr>
        <w:spacing w:before="60" w:after="140"/>
      </w:pPr>
      <w:r>
        <w:rPr>
          <w:rFonts w:ascii="Georgia" w:hAnsi="Georgia" w:eastAsia="Georgia" w:cs="Georgia"/>
          <w:color w:val="1A1A2E"/>
          <w:sz w:val="22"/>
          <w:szCs w:val="22"/>
        </w:rPr>
        <w:t>As organizations scale, three dimensions must remain in deliberate balance: operational systems that can absorb growth, human accountability that does not erode with speed, and ethical safeguards that are embedded rather than retrofitted.</w:t>
      </w:r>
    </w:p>
    <w:p w14:paraId="65282AD1">
      <w:pPr>
        <w:spacing w:before="0" w:after="240"/>
      </w:pPr>
    </w:p>
    <w:p w14:paraId="265E13F2">
      <w:pPr>
        <w:pBdr>
          <w:bottom w:val="single" w:color="E2E8F0" w:sz="6" w:space="1"/>
        </w:pBdr>
        <w:spacing w:before="0" w:after="200"/>
      </w:pPr>
    </w:p>
    <w:p w14:paraId="3F384589">
      <w:pPr>
        <w:spacing w:before="280" w:after="100"/>
      </w:pPr>
      <w:r>
        <w:rPr>
          <w:rFonts w:ascii="Garamond" w:hAnsi="Garamond" w:eastAsia="Garamond" w:cs="Garamond"/>
          <w:b/>
          <w:bCs/>
          <w:color w:val="2D3748"/>
          <w:sz w:val="28"/>
          <w:szCs w:val="28"/>
        </w:rPr>
        <w:t>Adaptive Talent Architecture™</w:t>
      </w:r>
    </w:p>
    <w:p w14:paraId="65D3073C">
      <w:pPr>
        <w:spacing w:before="0" w:after="100"/>
      </w:pPr>
      <w:r>
        <w:rPr>
          <w:rFonts w:ascii="Georgia" w:hAnsi="Georgia" w:eastAsia="Georgia" w:cs="Georgia"/>
          <w:i/>
          <w:iCs/>
          <w:color w:val="718096"/>
          <w:sz w:val="20"/>
          <w:szCs w:val="20"/>
        </w:rPr>
        <w:t>A principles-based approach to organizational capability building</w:t>
      </w:r>
    </w:p>
    <w:p w14:paraId="05269D07">
      <w:pPr>
        <w:spacing w:before="0" w:after="8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0177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0" w:type="dxa"/>
            <w:tcBorders>
              <w:top w:val="nil"/>
              <w:left w:val="nil"/>
              <w:bottom w:val="nil"/>
              <w:right w:val="nil"/>
            </w:tcBorders>
            <w:tcMar>
              <w:top w:w="60" w:type="dxa"/>
              <w:left w:w="0" w:type="dxa"/>
              <w:bottom w:w="60" w:type="dxa"/>
              <w:right w:w="200" w:type="dxa"/>
            </w:tcMar>
            <w:vAlign w:val="top"/>
          </w:tcPr>
          <w:p w14:paraId="0694DF97">
            <w:pPr>
              <w:pStyle w:val="16"/>
              <w:numPr>
                <w:ilvl w:val="0"/>
                <w:numId w:val="1"/>
              </w:numPr>
              <w:spacing w:before="60" w:after="80"/>
            </w:pPr>
            <w:r>
              <w:rPr>
                <w:rFonts w:ascii="Georgia" w:hAnsi="Georgia" w:eastAsia="Georgia" w:cs="Georgia"/>
                <w:color w:val="1A1A2E"/>
                <w:sz w:val="22"/>
                <w:szCs w:val="22"/>
              </w:rPr>
              <w:t>Build before buy</w:t>
            </w:r>
          </w:p>
          <w:p w14:paraId="482E3446">
            <w:pPr>
              <w:pStyle w:val="16"/>
              <w:numPr>
                <w:ilvl w:val="0"/>
                <w:numId w:val="1"/>
              </w:numPr>
              <w:spacing w:before="60" w:after="80"/>
            </w:pPr>
            <w:r>
              <w:rPr>
                <w:rFonts w:ascii="Georgia" w:hAnsi="Georgia" w:eastAsia="Georgia" w:cs="Georgia"/>
                <w:color w:val="1A1A2E"/>
                <w:sz w:val="22"/>
                <w:szCs w:val="22"/>
              </w:rPr>
              <w:t>Mobility before replacement</w:t>
            </w:r>
          </w:p>
        </w:tc>
        <w:tc>
          <w:tcPr>
            <w:tcW w:w="4500" w:type="dxa"/>
            <w:tcBorders>
              <w:top w:val="nil"/>
              <w:left w:val="nil"/>
              <w:bottom w:val="nil"/>
              <w:right w:val="nil"/>
            </w:tcBorders>
            <w:tcMar>
              <w:top w:w="60" w:type="dxa"/>
              <w:left w:w="200" w:type="dxa"/>
              <w:bottom w:w="60" w:type="dxa"/>
              <w:right w:w="0" w:type="dxa"/>
            </w:tcMar>
            <w:vAlign w:val="top"/>
          </w:tcPr>
          <w:p w14:paraId="0E394F1C">
            <w:pPr>
              <w:pStyle w:val="16"/>
              <w:numPr>
                <w:ilvl w:val="0"/>
                <w:numId w:val="1"/>
              </w:numPr>
              <w:spacing w:before="60" w:after="80"/>
            </w:pPr>
            <w:r>
              <w:rPr>
                <w:rFonts w:ascii="Georgia" w:hAnsi="Georgia" w:eastAsia="Georgia" w:cs="Georgia"/>
                <w:color w:val="1A1A2E"/>
                <w:sz w:val="22"/>
                <w:szCs w:val="22"/>
              </w:rPr>
              <w:t>Capability over title</w:t>
            </w:r>
          </w:p>
          <w:p w14:paraId="79F0A4E9">
            <w:pPr>
              <w:pStyle w:val="16"/>
              <w:numPr>
                <w:ilvl w:val="0"/>
                <w:numId w:val="1"/>
              </w:numPr>
              <w:spacing w:before="60" w:after="80"/>
            </w:pPr>
            <w:r>
              <w:rPr>
                <w:rFonts w:ascii="Georgia" w:hAnsi="Georgia" w:eastAsia="Georgia" w:cs="Georgia"/>
                <w:color w:val="1A1A2E"/>
                <w:sz w:val="22"/>
                <w:szCs w:val="22"/>
              </w:rPr>
              <w:t>Readiness over tenure</w:t>
            </w:r>
          </w:p>
        </w:tc>
      </w:tr>
    </w:tbl>
    <w:p w14:paraId="37E18B08">
      <w:pPr>
        <w:spacing w:before="60" w:after="140"/>
      </w:pPr>
      <w:r>
        <w:rPr>
          <w:rFonts w:ascii="Georgia" w:hAnsi="Georgia" w:eastAsia="Georgia" w:cs="Georgia"/>
          <w:color w:val="1A1A2E"/>
          <w:sz w:val="22"/>
          <w:szCs w:val="22"/>
        </w:rPr>
        <w:t>These principles reframe talent decisions as strategic choices — recognizing that the most resilient organizations invest in the capability they already have before seeking it externally.</w:t>
      </w:r>
    </w:p>
    <w:p w14:paraId="74AD2B0E">
      <w:r>
        <w:br w:type="page"/>
      </w:r>
    </w:p>
    <w:p w14:paraId="41B64DA4">
      <w:pPr>
        <w:spacing w:before="0" w:after="80"/>
      </w:pPr>
      <w:r>
        <w:rPr>
          <w:rFonts w:ascii="Garamond" w:hAnsi="Garamond" w:eastAsia="Garamond" w:cs="Garamond"/>
          <w:b/>
          <w:bCs/>
          <w:color w:val="4A7C6F"/>
          <w:spacing w:val="120"/>
          <w:sz w:val="18"/>
          <w:szCs w:val="18"/>
        </w:rPr>
        <w:t>SELECTED WORK</w:t>
      </w:r>
    </w:p>
    <w:p w14:paraId="0104FF7A">
      <w:pPr>
        <w:spacing w:before="360" w:after="160"/>
      </w:pPr>
      <w:r>
        <w:rPr>
          <w:rFonts w:ascii="Garamond" w:hAnsi="Garamond" w:eastAsia="Garamond" w:cs="Garamond"/>
          <w:b/>
          <w:bCs/>
          <w:color w:val="2D3748"/>
          <w:sz w:val="42"/>
          <w:szCs w:val="42"/>
        </w:rPr>
        <w:t>Proof of Thinking</w:t>
      </w:r>
    </w:p>
    <w:p w14:paraId="71B5C822">
      <w:pPr>
        <w:pBdr>
          <w:bottom w:val="single" w:color="4A7C6F" w:sz="12" w:space="1"/>
        </w:pBdr>
        <w:spacing w:before="0" w:after="240"/>
      </w:pPr>
    </w:p>
    <w:p w14:paraId="76AFC4BF">
      <w:pPr>
        <w:spacing w:before="60" w:after="140"/>
      </w:pPr>
      <w:r>
        <w:rPr>
          <w:rFonts w:ascii="Georgia" w:hAnsi="Georgia" w:eastAsia="Georgia" w:cs="Georgia"/>
          <w:color w:val="1A1A2E"/>
          <w:sz w:val="22"/>
          <w:szCs w:val="22"/>
        </w:rPr>
        <w:t>The following examples illustrate how these frameworks and capabilities have been applied in practice. Each represents a distinct organizational challenge — and a systems-level response.</w:t>
      </w:r>
    </w:p>
    <w:p w14:paraId="3ADB67B1">
      <w:pPr>
        <w:spacing w:before="0" w:after="240"/>
      </w:pPr>
    </w:p>
    <w:p w14:paraId="3B99004E">
      <w:pPr>
        <w:spacing w:before="280" w:after="100"/>
      </w:pPr>
      <w:r>
        <w:rPr>
          <w:rFonts w:ascii="Garamond" w:hAnsi="Garamond" w:eastAsia="Garamond" w:cs="Garamond"/>
          <w:b/>
          <w:bCs/>
          <w:color w:val="2D3748"/>
          <w:sz w:val="28"/>
          <w:szCs w:val="28"/>
        </w:rPr>
        <w:t>Enterprise Succession Intelligence System</w:t>
      </w:r>
    </w:p>
    <w:p w14:paraId="6E4CBBA8">
      <w:pPr>
        <w:spacing w:before="60" w:after="140"/>
      </w:pPr>
      <w:r>
        <w:rPr>
          <w:rFonts w:ascii="Georgia" w:hAnsi="Georgia" w:eastAsia="Georgia" w:cs="Georgia"/>
          <w:color w:val="1A1A2E"/>
          <w:sz w:val="22"/>
          <w:szCs w:val="22"/>
        </w:rPr>
        <w:t>Designed and built a multi-level successor mapping capability, integrating readiness scoring, leadership risk visibility, and pipeline diagnostics. The system moved succession from an annual compliance exercise to a continuous strategic intelligence function.</w:t>
      </w:r>
    </w:p>
    <w:p w14:paraId="723A5BDD">
      <w:pPr>
        <w:spacing w:before="0" w:after="160"/>
      </w:pPr>
    </w:p>
    <w:p w14:paraId="4837914C">
      <w:pPr>
        <w:pBdr>
          <w:bottom w:val="single" w:color="E2E8F0" w:sz="6" w:space="1"/>
        </w:pBdr>
        <w:spacing w:before="0" w:after="200"/>
      </w:pPr>
    </w:p>
    <w:p w14:paraId="575A003C">
      <w:pPr>
        <w:spacing w:before="280" w:after="100"/>
      </w:pPr>
      <w:r>
        <w:rPr>
          <w:rFonts w:ascii="Garamond" w:hAnsi="Garamond" w:eastAsia="Garamond" w:cs="Garamond"/>
          <w:b/>
          <w:bCs/>
          <w:color w:val="2D3748"/>
          <w:sz w:val="28"/>
          <w:szCs w:val="28"/>
        </w:rPr>
        <w:t>Organizational Capacity Improvement Framework</w:t>
      </w:r>
    </w:p>
    <w:p w14:paraId="68457A44">
      <w:pPr>
        <w:spacing w:before="60" w:after="140"/>
      </w:pPr>
      <w:r>
        <w:rPr>
          <w:rFonts w:ascii="Georgia" w:hAnsi="Georgia" w:eastAsia="Georgia" w:cs="Georgia"/>
          <w:color w:val="1A1A2E"/>
          <w:sz w:val="22"/>
          <w:szCs w:val="22"/>
        </w:rPr>
        <w:t>Created diagnostic models that traced performance gaps to their root capability deficits — connecting underperformance to specific learning and structural interventions. This enabled leadership to invest in capability rather than react to symptoms.</w:t>
      </w:r>
    </w:p>
    <w:p w14:paraId="54D283D5">
      <w:pPr>
        <w:spacing w:before="0" w:after="160"/>
      </w:pPr>
    </w:p>
    <w:p w14:paraId="2DB1834E">
      <w:pPr>
        <w:pBdr>
          <w:bottom w:val="single" w:color="E2E8F0" w:sz="6" w:space="1"/>
        </w:pBdr>
        <w:spacing w:before="0" w:after="200"/>
      </w:pPr>
    </w:p>
    <w:p w14:paraId="7E47E68F">
      <w:pPr>
        <w:spacing w:before="280" w:after="100"/>
      </w:pPr>
      <w:r>
        <w:rPr>
          <w:rFonts w:ascii="Garamond" w:hAnsi="Garamond" w:eastAsia="Garamond" w:cs="Garamond"/>
          <w:b/>
          <w:bCs/>
          <w:color w:val="2D3748"/>
          <w:sz w:val="28"/>
          <w:szCs w:val="28"/>
        </w:rPr>
        <w:t>Recruitment as a Strategic Engine</w:t>
      </w:r>
    </w:p>
    <w:p w14:paraId="4934F90C">
      <w:pPr>
        <w:spacing w:before="60" w:after="140"/>
      </w:pPr>
      <w:r>
        <w:rPr>
          <w:rFonts w:ascii="Georgia" w:hAnsi="Georgia" w:eastAsia="Georgia" w:cs="Georgia"/>
          <w:color w:val="1A1A2E"/>
          <w:sz w:val="22"/>
          <w:szCs w:val="22"/>
        </w:rPr>
        <w:t>Redesigned hiring systems around innovation potential rather than role replacement. Developed behavioral evaluation scorecards that assessed strategic thinking, adaptability, and cross-functional impact — shifting recruitment from a reactive function to a forward-facing organizational capability.</w:t>
      </w:r>
    </w:p>
    <w:p w14:paraId="14E57534">
      <w:r>
        <w:br w:type="page"/>
      </w:r>
    </w:p>
    <w:p w14:paraId="740CB4DE">
      <w:pPr>
        <w:spacing w:before="0" w:after="80"/>
      </w:pPr>
      <w:r>
        <w:rPr>
          <w:rFonts w:ascii="Garamond" w:hAnsi="Garamond" w:eastAsia="Garamond" w:cs="Garamond"/>
          <w:b/>
          <w:bCs/>
          <w:color w:val="4A7C6F"/>
          <w:spacing w:val="120"/>
          <w:sz w:val="18"/>
          <w:szCs w:val="18"/>
        </w:rPr>
        <w:t>INNOVATION &amp; AI ENABLEMENT</w:t>
      </w:r>
    </w:p>
    <w:p w14:paraId="7D3DB2C3">
      <w:pPr>
        <w:spacing w:before="360" w:after="160"/>
      </w:pPr>
      <w:r>
        <w:rPr>
          <w:rFonts w:ascii="Garamond" w:hAnsi="Garamond" w:eastAsia="Garamond" w:cs="Garamond"/>
          <w:b/>
          <w:bCs/>
          <w:color w:val="2D3748"/>
          <w:sz w:val="42"/>
          <w:szCs w:val="42"/>
        </w:rPr>
        <w:t>Where Human Systems Meet Technology</w:t>
      </w:r>
    </w:p>
    <w:p w14:paraId="19FCD0C8">
      <w:pPr>
        <w:pBdr>
          <w:bottom w:val="single" w:color="4A7C6F" w:sz="12" w:space="1"/>
        </w:pBdr>
        <w:spacing w:before="0" w:after="240"/>
      </w:pPr>
    </w:p>
    <w:p w14:paraId="333FF5E4">
      <w:pPr>
        <w:spacing w:before="60" w:after="140"/>
      </w:pPr>
      <w:r>
        <w:rPr>
          <w:rFonts w:ascii="Georgia" w:hAnsi="Georgia" w:eastAsia="Georgia" w:cs="Georgia"/>
          <w:color w:val="1A1A2E"/>
          <w:sz w:val="22"/>
          <w:szCs w:val="22"/>
        </w:rPr>
        <w:t>AI readiness is not primarily a technology question. It is an organizational design question. The organizations that adopt AI effectively are those that have built the decision frameworks, role clarity, and learning architectures to support it — before the tools arrive.</w:t>
      </w:r>
    </w:p>
    <w:p w14:paraId="2CDA26A1">
      <w:pPr>
        <w:spacing w:before="0" w:after="320"/>
      </w:pPr>
    </w:p>
    <w:p w14:paraId="766F8055">
      <w:pPr>
        <w:spacing w:before="280" w:after="100"/>
      </w:pPr>
      <w:r>
        <w:rPr>
          <w:rFonts w:ascii="Garamond" w:hAnsi="Garamond" w:eastAsia="Garamond" w:cs="Garamond"/>
          <w:b/>
          <w:bCs/>
          <w:color w:val="2D3748"/>
          <w:sz w:val="28"/>
          <w:szCs w:val="28"/>
        </w:rPr>
        <w:t>AI-Augmented Organizational Decision Support</w:t>
      </w:r>
    </w:p>
    <w:p w14:paraId="1AE50CAB">
      <w:pPr>
        <w:spacing w:before="60" w:after="140"/>
      </w:pPr>
      <w:r>
        <w:rPr>
          <w:rFonts w:ascii="Georgia" w:hAnsi="Georgia" w:eastAsia="Georgia" w:cs="Georgia"/>
          <w:color w:val="1A1A2E"/>
          <w:sz w:val="22"/>
          <w:szCs w:val="22"/>
        </w:rPr>
        <w:t>Designed structured prompting systems and applied AI tools to succession planning and organizational capacity workflows. This work required bridging the technical architecture of AI tools with the human judgment processes they were designed to support — ensuring AI augmented decision-making rather than replacing it.</w:t>
      </w:r>
    </w:p>
    <w:p w14:paraId="6802027D">
      <w:pPr>
        <w:spacing w:before="0" w:after="240"/>
      </w:pPr>
    </w:p>
    <w:p w14:paraId="1CA17556">
      <w:pPr>
        <w:pBdr>
          <w:bottom w:val="single" w:color="E2E8F0" w:sz="6" w:space="1"/>
        </w:pBdr>
        <w:spacing w:before="0" w:after="200"/>
      </w:pPr>
    </w:p>
    <w:p w14:paraId="613D8817">
      <w:pPr>
        <w:spacing w:before="280" w:after="100"/>
      </w:pPr>
      <w:r>
        <w:rPr>
          <w:rFonts w:ascii="Garamond" w:hAnsi="Garamond" w:eastAsia="Garamond" w:cs="Garamond"/>
          <w:b/>
          <w:bCs/>
          <w:color w:val="2D3748"/>
          <w:sz w:val="28"/>
          <w:szCs w:val="28"/>
        </w:rPr>
        <w:t>Building AI Readiness in Teams</w:t>
      </w:r>
    </w:p>
    <w:p w14:paraId="3233CE17">
      <w:pPr>
        <w:spacing w:before="60" w:after="140"/>
      </w:pPr>
      <w:r>
        <w:rPr>
          <w:rFonts w:ascii="Georgia" w:hAnsi="Georgia" w:eastAsia="Georgia" w:cs="Georgia"/>
          <w:color w:val="1A1A2E"/>
          <w:sz w:val="22"/>
          <w:szCs w:val="22"/>
        </w:rPr>
        <w:t>Enabled practical AI adoption by integrating learning pathways directly into real work — not standalone training programs. This approach grounded AI literacy in actual organizational problems, accelerating adoption and building genuine capability rather than surface familiarity.</w:t>
      </w:r>
    </w:p>
    <w:p w14:paraId="63036734">
      <w:pPr>
        <w:spacing w:before="0" w:after="320"/>
      </w:pPr>
    </w:p>
    <w:p w14:paraId="35B0BC5D">
      <w:pPr>
        <w:pBdr>
          <w:bottom w:val="single" w:color="4A7C6F" w:sz="12" w:space="1"/>
        </w:pBdr>
        <w:spacing w:before="0" w:after="240"/>
      </w:pPr>
    </w:p>
    <w:p w14:paraId="7FBF563E">
      <w:pPr>
        <w:spacing w:before="0" w:after="80"/>
      </w:pPr>
      <w:r>
        <w:rPr>
          <w:rFonts w:ascii="Garamond" w:hAnsi="Garamond" w:eastAsia="Garamond" w:cs="Garamond"/>
          <w:b/>
          <w:bCs/>
          <w:color w:val="4A7C6F"/>
          <w:spacing w:val="120"/>
          <w:sz w:val="18"/>
          <w:szCs w:val="18"/>
        </w:rPr>
        <w:t>CULTURE &amp; TRANSFORMATION</w:t>
      </w:r>
    </w:p>
    <w:p w14:paraId="262F63D5">
      <w:pPr>
        <w:spacing w:before="280" w:after="100"/>
      </w:pPr>
      <w:r>
        <w:rPr>
          <w:rFonts w:ascii="Garamond" w:hAnsi="Garamond" w:eastAsia="Garamond" w:cs="Garamond"/>
          <w:b/>
          <w:bCs/>
          <w:color w:val="2D3748"/>
          <w:sz w:val="28"/>
          <w:szCs w:val="28"/>
        </w:rPr>
        <w:t>Culture as an Operating System</w:t>
      </w:r>
    </w:p>
    <w:p w14:paraId="28EC7F8E">
      <w:pPr>
        <w:spacing w:before="60" w:after="140"/>
      </w:pPr>
      <w:r>
        <w:rPr>
          <w:rFonts w:ascii="Georgia" w:hAnsi="Georgia" w:eastAsia="Georgia" w:cs="Georgia"/>
          <w:color w:val="1A1A2E"/>
          <w:sz w:val="22"/>
          <w:szCs w:val="22"/>
        </w:rPr>
        <w:t>Culture is not a program. It is the sum of what an organization consistently rewards, tolerates, and models. Effective transformation requires aligning performance expectations, incentive structures, and leadership behavior with the organizational values being declared — not just communicating them.</w:t>
      </w:r>
    </w:p>
    <w:p w14:paraId="62132D1F">
      <w:pPr>
        <w:spacing w:before="0" w:after="240"/>
      </w:pPr>
    </w:p>
    <w:p w14:paraId="0E942F2E">
      <w:pPr>
        <w:spacing w:before="280" w:after="100"/>
      </w:pPr>
      <w:r>
        <w:rPr>
          <w:rFonts w:ascii="Garamond" w:hAnsi="Garamond" w:eastAsia="Garamond" w:cs="Garamond"/>
          <w:b/>
          <w:bCs/>
          <w:color w:val="2D3748"/>
          <w:sz w:val="28"/>
          <w:szCs w:val="28"/>
        </w:rPr>
        <w:t>Safeguarding Integration</w:t>
      </w:r>
    </w:p>
    <w:p w14:paraId="06125531">
      <w:pPr>
        <w:spacing w:before="60" w:after="140"/>
      </w:pPr>
      <w:r>
        <w:rPr>
          <w:rFonts w:ascii="Georgia" w:hAnsi="Georgia" w:eastAsia="Georgia" w:cs="Georgia"/>
          <w:color w:val="1A1A2E"/>
          <w:sz w:val="22"/>
          <w:szCs w:val="22"/>
        </w:rPr>
        <w:t>Embedded safeguarding accountability into roles, processes, and governance structures — treating protection not as a compliance requirement but as an organizational design principle. This work has spanned cross-sector contexts and international environments.</w:t>
      </w:r>
    </w:p>
    <w:p w14:paraId="53C9313B">
      <w:r>
        <w:br w:type="page"/>
      </w:r>
    </w:p>
    <w:p w14:paraId="6E687D63">
      <w:pPr>
        <w:spacing w:before="0" w:after="80"/>
      </w:pPr>
      <w:r>
        <w:rPr>
          <w:rFonts w:ascii="Garamond" w:hAnsi="Garamond" w:eastAsia="Garamond" w:cs="Garamond"/>
          <w:b/>
          <w:bCs/>
          <w:color w:val="4A7C6F"/>
          <w:spacing w:val="120"/>
          <w:sz w:val="18"/>
          <w:szCs w:val="18"/>
        </w:rPr>
        <w:t>CAREER NARRATIVE</w:t>
      </w:r>
    </w:p>
    <w:p w14:paraId="5DCBA1E5">
      <w:pPr>
        <w:spacing w:before="360" w:after="160"/>
      </w:pPr>
      <w:r>
        <w:rPr>
          <w:rFonts w:ascii="Garamond" w:hAnsi="Garamond" w:eastAsia="Garamond" w:cs="Garamond"/>
          <w:b/>
          <w:bCs/>
          <w:color w:val="2D3748"/>
          <w:sz w:val="42"/>
          <w:szCs w:val="42"/>
        </w:rPr>
        <w:t>The Through-Line</w:t>
      </w:r>
    </w:p>
    <w:p w14:paraId="62804AAD">
      <w:pPr>
        <w:pBdr>
          <w:bottom w:val="single" w:color="4A7C6F" w:sz="12" w:space="1"/>
        </w:pBdr>
        <w:spacing w:before="0" w:after="240"/>
      </w:pPr>
    </w:p>
    <w:p w14:paraId="0589E701">
      <w:pPr>
        <w:spacing w:before="60" w:after="140"/>
      </w:pPr>
      <w:r>
        <w:rPr>
          <w:rFonts w:ascii="Georgia" w:hAnsi="Georgia" w:eastAsia="Georgia" w:cs="Georgia"/>
          <w:color w:val="1A1A2E"/>
          <w:sz w:val="22"/>
          <w:szCs w:val="22"/>
        </w:rPr>
        <w:t>My career has always centered on a single question: how do organizations translate ambition into systems that actually work?</w:t>
      </w:r>
    </w:p>
    <w:p w14:paraId="5E7EA43B">
      <w:pPr>
        <w:spacing w:before="0" w:after="160"/>
      </w:pPr>
    </w:p>
    <w:p w14:paraId="41AC845E">
      <w:pPr>
        <w:spacing w:before="60" w:after="140"/>
      </w:pPr>
      <w:r>
        <w:rPr>
          <w:rFonts w:ascii="Georgia" w:hAnsi="Georgia" w:eastAsia="Georgia" w:cs="Georgia"/>
          <w:color w:val="1A1A2E"/>
          <w:sz w:val="22"/>
          <w:szCs w:val="22"/>
        </w:rPr>
        <w:t>The entry point was people and culture — a domain that surfaces organizational dysfunction before almost any other. But the work quickly evolved. Diagnosing people-related challenges revealed deeper structural questions: about strategy, governance, capability, and organizational design. That evolution was not accidental. It followed the logic of the work itself.</w:t>
      </w:r>
    </w:p>
    <w:p w14:paraId="7C8ADAC7">
      <w:pPr>
        <w:spacing w:before="0" w:after="160"/>
      </w:pPr>
    </w:p>
    <w:p w14:paraId="2AF75808">
      <w:pPr>
        <w:spacing w:before="60" w:after="140"/>
      </w:pPr>
      <w:r>
        <w:rPr>
          <w:rFonts w:ascii="Georgia" w:hAnsi="Georgia" w:eastAsia="Georgia" w:cs="Georgia"/>
          <w:color w:val="1A1A2E"/>
          <w:sz w:val="22"/>
          <w:szCs w:val="22"/>
        </w:rPr>
        <w:t>The through-line across every role and context has been this: designing systems that enable execution, preparing organizations for complexity, and scaling impact in ways that preserve integrity.</w:t>
      </w:r>
    </w:p>
    <w:p w14:paraId="0AAB19B2">
      <w:pPr>
        <w:spacing w:before="0" w:after="400"/>
      </w:pPr>
    </w:p>
    <w:p w14:paraId="4A5A0EBB">
      <w:pPr>
        <w:spacing w:before="0" w:after="100"/>
      </w:pPr>
      <w:r>
        <w:rPr>
          <w:rFonts w:ascii="Garamond" w:hAnsi="Garamond" w:eastAsia="Garamond" w:cs="Garamond"/>
          <w:b/>
          <w:bCs/>
          <w:color w:val="2D3748"/>
          <w:sz w:val="26"/>
          <w:szCs w:val="26"/>
        </w:rPr>
        <w:t>Career Progression</w:t>
      </w:r>
    </w:p>
    <w:p w14:paraId="4D592974">
      <w:pPr>
        <w:spacing w:before="0" w:after="160"/>
      </w:pPr>
    </w:p>
    <w:p w14:paraId="3B6E481C">
      <w:pPr>
        <w:spacing w:before="80" w:after="80"/>
      </w:pPr>
      <w:r>
        <w:rPr>
          <w:rFonts w:ascii="Garamond" w:hAnsi="Garamond" w:eastAsia="Garamond" w:cs="Garamond"/>
          <w:b/>
          <w:bCs/>
          <w:color w:val="4A7C6F"/>
          <w:sz w:val="24"/>
          <w:szCs w:val="24"/>
        </w:rPr>
        <w:t>Foundation</w:t>
      </w:r>
      <w:r>
        <w:rPr>
          <w:rFonts w:ascii="Georgia" w:hAnsi="Georgia" w:eastAsia="Georgia" w:cs="Georgia"/>
          <w:color w:val="1A1A2E"/>
          <w:sz w:val="22"/>
          <w:szCs w:val="22"/>
        </w:rPr>
        <w:t xml:space="preserve">   People &amp; culture roles, developing diagnostic capability</w:t>
      </w:r>
    </w:p>
    <w:p w14:paraId="5A274B4D">
      <w:pPr>
        <w:spacing w:before="0" w:after="60"/>
      </w:pPr>
      <w:r>
        <w:rPr>
          <w:rFonts w:ascii="Georgia" w:hAnsi="Georgia" w:eastAsia="Georgia" w:cs="Georgia"/>
          <w:color w:val="4A7C6F"/>
          <w:sz w:val="22"/>
          <w:szCs w:val="22"/>
        </w:rPr>
        <w:t>↓</w:t>
      </w:r>
    </w:p>
    <w:p w14:paraId="540E7F18">
      <w:pPr>
        <w:spacing w:before="80" w:after="80"/>
      </w:pPr>
      <w:r>
        <w:rPr>
          <w:rFonts w:ascii="Garamond" w:hAnsi="Garamond" w:eastAsia="Garamond" w:cs="Garamond"/>
          <w:b/>
          <w:bCs/>
          <w:color w:val="4A7C6F"/>
          <w:sz w:val="24"/>
          <w:szCs w:val="24"/>
        </w:rPr>
        <w:t>Strategic Expansion</w:t>
      </w:r>
      <w:r>
        <w:rPr>
          <w:rFonts w:ascii="Georgia" w:hAnsi="Georgia" w:eastAsia="Georgia" w:cs="Georgia"/>
          <w:color w:val="1A1A2E"/>
          <w:sz w:val="22"/>
          <w:szCs w:val="22"/>
        </w:rPr>
        <w:t xml:space="preserve">   Organizational design, performance architecture, transformation</w:t>
      </w:r>
    </w:p>
    <w:p w14:paraId="7CC0E3B9">
      <w:pPr>
        <w:spacing w:before="0" w:after="60"/>
      </w:pPr>
      <w:r>
        <w:rPr>
          <w:rFonts w:ascii="Georgia" w:hAnsi="Georgia" w:eastAsia="Georgia" w:cs="Georgia"/>
          <w:color w:val="4A7C6F"/>
          <w:sz w:val="22"/>
          <w:szCs w:val="22"/>
        </w:rPr>
        <w:t>↓</w:t>
      </w:r>
    </w:p>
    <w:p w14:paraId="46952880">
      <w:pPr>
        <w:spacing w:before="80" w:after="80"/>
      </w:pPr>
      <w:r>
        <w:rPr>
          <w:rFonts w:ascii="Garamond" w:hAnsi="Garamond" w:eastAsia="Garamond" w:cs="Garamond"/>
          <w:b/>
          <w:bCs/>
          <w:color w:val="4A7C6F"/>
          <w:sz w:val="24"/>
          <w:szCs w:val="24"/>
        </w:rPr>
        <w:t>Organizational Leadership</w:t>
      </w:r>
      <w:r>
        <w:rPr>
          <w:rFonts w:ascii="Georgia" w:hAnsi="Georgia" w:eastAsia="Georgia" w:cs="Georgia"/>
          <w:color w:val="1A1A2E"/>
          <w:sz w:val="22"/>
          <w:szCs w:val="22"/>
        </w:rPr>
        <w:t xml:space="preserve">   End-to-end strategy and systems design at organizational scale</w:t>
      </w:r>
    </w:p>
    <w:p w14:paraId="3B17E703">
      <w:pPr>
        <w:spacing w:before="0" w:after="60"/>
      </w:pPr>
      <w:r>
        <w:rPr>
          <w:rFonts w:ascii="Georgia" w:hAnsi="Georgia" w:eastAsia="Georgia" w:cs="Georgia"/>
          <w:color w:val="4A7C6F"/>
          <w:sz w:val="22"/>
          <w:szCs w:val="22"/>
        </w:rPr>
        <w:t>↓</w:t>
      </w:r>
    </w:p>
    <w:p w14:paraId="0DEC3851">
      <w:pPr>
        <w:spacing w:before="80" w:after="80"/>
      </w:pPr>
      <w:r>
        <w:rPr>
          <w:rFonts w:ascii="Garamond" w:hAnsi="Garamond" w:eastAsia="Garamond" w:cs="Garamond"/>
          <w:b/>
          <w:bCs/>
          <w:color w:val="4A7C6F"/>
          <w:sz w:val="24"/>
          <w:szCs w:val="24"/>
        </w:rPr>
        <w:t>Future Direction</w:t>
      </w:r>
      <w:r>
        <w:rPr>
          <w:rFonts w:ascii="Georgia" w:hAnsi="Georgia" w:eastAsia="Georgia" w:cs="Georgia"/>
          <w:color w:val="1A1A2E"/>
          <w:sz w:val="22"/>
          <w:szCs w:val="22"/>
        </w:rPr>
        <w:t xml:space="preserve">   Global roles in strategy, transformation, and impact at scale</w:t>
      </w:r>
    </w:p>
    <w:p w14:paraId="4AECCF49">
      <w:r>
        <w:br w:type="page"/>
      </w:r>
    </w:p>
    <w:p w14:paraId="05C8B762">
      <w:pPr>
        <w:spacing w:before="0" w:after="80"/>
      </w:pPr>
      <w:r>
        <w:rPr>
          <w:rFonts w:ascii="Garamond" w:hAnsi="Garamond" w:eastAsia="Garamond" w:cs="Garamond"/>
          <w:b/>
          <w:bCs/>
          <w:color w:val="4A7C6F"/>
          <w:spacing w:val="120"/>
          <w:sz w:val="18"/>
          <w:szCs w:val="18"/>
        </w:rPr>
        <w:t>GLOBAL VALUE PROPOSITION</w:t>
      </w:r>
    </w:p>
    <w:p w14:paraId="69F8D4D8">
      <w:pPr>
        <w:spacing w:before="360" w:after="160"/>
      </w:pPr>
      <w:r>
        <w:rPr>
          <w:rFonts w:ascii="Garamond" w:hAnsi="Garamond" w:eastAsia="Garamond" w:cs="Garamond"/>
          <w:b/>
          <w:bCs/>
          <w:color w:val="2D3748"/>
          <w:sz w:val="42"/>
          <w:szCs w:val="42"/>
        </w:rPr>
        <w:t>What I Bring</w:t>
      </w:r>
    </w:p>
    <w:p w14:paraId="0D6D9C6C">
      <w:pPr>
        <w:pBdr>
          <w:bottom w:val="single" w:color="4A7C6F" w:sz="12" w:space="1"/>
        </w:pBdr>
        <w:spacing w:before="0" w:after="240"/>
      </w:pPr>
    </w:p>
    <w:p w14:paraId="5119CF2C">
      <w:pPr>
        <w:spacing w:before="60" w:after="140"/>
      </w:pPr>
      <w:r>
        <w:rPr>
          <w:rFonts w:ascii="Georgia" w:hAnsi="Georgia" w:eastAsia="Georgia" w:cs="Georgia"/>
          <w:color w:val="1A1A2E"/>
          <w:sz w:val="22"/>
          <w:szCs w:val="22"/>
        </w:rPr>
        <w:t>I help organizations move from ambition to execution — by designing the systems that align strategy, people, and operations into something that actually works.</w:t>
      </w:r>
    </w:p>
    <w:p w14:paraId="650235FE">
      <w:pPr>
        <w:spacing w:before="0" w:after="320"/>
      </w:pPr>
    </w:p>
    <w:p w14:paraId="5C47719F">
      <w:pPr>
        <w:spacing w:before="280" w:after="100"/>
      </w:pPr>
      <w:r>
        <w:rPr>
          <w:rFonts w:ascii="Garamond" w:hAnsi="Garamond" w:eastAsia="Garamond" w:cs="Garamond"/>
          <w:b/>
          <w:bCs/>
          <w:color w:val="2D3748"/>
          <w:sz w:val="28"/>
          <w:szCs w:val="28"/>
        </w:rPr>
        <w:t>Where I Add Value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0CEE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Mar>
              <w:top w:w="60" w:type="dxa"/>
              <w:left w:w="0" w:type="dxa"/>
              <w:bottom w:w="60" w:type="dxa"/>
              <w:right w:w="200" w:type="dxa"/>
            </w:tcMar>
            <w:vAlign w:val="top"/>
          </w:tcPr>
          <w:p w14:paraId="240E9CC8">
            <w:pPr>
              <w:pStyle w:val="16"/>
              <w:numPr>
                <w:ilvl w:val="0"/>
                <w:numId w:val="1"/>
              </w:numPr>
              <w:spacing w:before="60" w:after="80"/>
            </w:pPr>
            <w:r>
              <w:rPr>
                <w:rFonts w:ascii="Georgia" w:hAnsi="Georgia" w:eastAsia="Georgia" w:cs="Georgia"/>
                <w:color w:val="1A1A2E"/>
                <w:sz w:val="22"/>
                <w:szCs w:val="22"/>
              </w:rPr>
              <w:t>Organizational transformation</w:t>
            </w:r>
          </w:p>
          <w:p w14:paraId="3FBFEDA4">
            <w:pPr>
              <w:pStyle w:val="16"/>
              <w:numPr>
                <w:ilvl w:val="0"/>
                <w:numId w:val="1"/>
              </w:numPr>
              <w:spacing w:before="60" w:after="80"/>
            </w:pPr>
            <w:r>
              <w:rPr>
                <w:rFonts w:ascii="Georgia" w:hAnsi="Georgia" w:eastAsia="Georgia" w:cs="Georgia"/>
                <w:color w:val="1A1A2E"/>
                <w:sz w:val="22"/>
                <w:szCs w:val="22"/>
              </w:rPr>
              <w:t>Strategy execution</w:t>
            </w:r>
          </w:p>
          <w:p w14:paraId="0F4E8F1B">
            <w:pPr>
              <w:pStyle w:val="16"/>
              <w:numPr>
                <w:ilvl w:val="0"/>
                <w:numId w:val="1"/>
              </w:numPr>
              <w:spacing w:before="60" w:after="80"/>
            </w:pPr>
            <w:r>
              <w:rPr>
                <w:rFonts w:ascii="Georgia" w:hAnsi="Georgia" w:eastAsia="Georgia" w:cs="Georgia"/>
                <w:color w:val="1A1A2E"/>
                <w:sz w:val="22"/>
                <w:szCs w:val="22"/>
              </w:rPr>
              <w:t>Innovation ecosystems</w:t>
            </w:r>
          </w:p>
        </w:tc>
        <w:tc>
          <w:tcPr>
            <w:tcW w:w="4500" w:type="dxa"/>
            <w:tcBorders>
              <w:top w:val="nil"/>
              <w:left w:val="nil"/>
              <w:bottom w:val="nil"/>
              <w:right w:val="nil"/>
            </w:tcBorders>
            <w:tcMar>
              <w:top w:w="60" w:type="dxa"/>
              <w:left w:w="200" w:type="dxa"/>
              <w:bottom w:w="60" w:type="dxa"/>
              <w:right w:w="0" w:type="dxa"/>
            </w:tcMar>
            <w:vAlign w:val="top"/>
          </w:tcPr>
          <w:p w14:paraId="4D053B33">
            <w:pPr>
              <w:pStyle w:val="16"/>
              <w:numPr>
                <w:ilvl w:val="0"/>
                <w:numId w:val="1"/>
              </w:numPr>
              <w:spacing w:before="60" w:after="80"/>
            </w:pPr>
            <w:r>
              <w:rPr>
                <w:rFonts w:ascii="Georgia" w:hAnsi="Georgia" w:eastAsia="Georgia" w:cs="Georgia"/>
                <w:color w:val="1A1A2E"/>
                <w:sz w:val="22"/>
                <w:szCs w:val="22"/>
              </w:rPr>
              <w:t>AI readiness and enablement</w:t>
            </w:r>
          </w:p>
          <w:p w14:paraId="0079BAD0">
            <w:pPr>
              <w:pStyle w:val="16"/>
              <w:numPr>
                <w:ilvl w:val="0"/>
                <w:numId w:val="1"/>
              </w:numPr>
              <w:spacing w:before="60" w:after="80"/>
            </w:pPr>
            <w:r>
              <w:rPr>
                <w:rFonts w:ascii="Georgia" w:hAnsi="Georgia" w:eastAsia="Georgia" w:cs="Georgia"/>
                <w:color w:val="1A1A2E"/>
                <w:sz w:val="22"/>
                <w:szCs w:val="22"/>
              </w:rPr>
              <w:t>Responsible governance</w:t>
            </w:r>
          </w:p>
          <w:p w14:paraId="14837506">
            <w:pPr>
              <w:pStyle w:val="16"/>
              <w:numPr>
                <w:ilvl w:val="0"/>
                <w:numId w:val="1"/>
              </w:numPr>
              <w:spacing w:before="60" w:after="80"/>
            </w:pPr>
            <w:r>
              <w:rPr>
                <w:rFonts w:ascii="Georgia" w:hAnsi="Georgia" w:eastAsia="Georgia" w:cs="Georgia"/>
                <w:color w:val="1A1A2E"/>
                <w:sz w:val="22"/>
                <w:szCs w:val="22"/>
              </w:rPr>
              <w:t>Executive-level partnership</w:t>
            </w:r>
          </w:p>
        </w:tc>
      </w:tr>
    </w:tbl>
    <w:p w14:paraId="125C94EF">
      <w:pPr>
        <w:spacing w:before="0" w:after="320"/>
      </w:pPr>
    </w:p>
    <w:p w14:paraId="28A4F124">
      <w:pPr>
        <w:pBdr>
          <w:bottom w:val="single" w:color="4A7C6F" w:sz="12" w:space="1"/>
        </w:pBdr>
        <w:spacing w:before="0" w:after="240"/>
      </w:pPr>
    </w:p>
    <w:p w14:paraId="40BD2DBB">
      <w:pPr>
        <w:spacing w:before="280" w:after="100"/>
      </w:pPr>
      <w:r>
        <w:rPr>
          <w:rFonts w:ascii="Garamond" w:hAnsi="Garamond" w:eastAsia="Garamond" w:cs="Garamond"/>
          <w:b/>
          <w:bCs/>
          <w:color w:val="2D3748"/>
          <w:sz w:val="28"/>
          <w:szCs w:val="28"/>
        </w:rPr>
        <w:t>Unique Contribution</w:t>
      </w:r>
    </w:p>
    <w:p w14:paraId="22582127">
      <w:pPr>
        <w:spacing w:before="60" w:after="140"/>
      </w:pPr>
      <w:r>
        <w:rPr>
          <w:rFonts w:ascii="Georgia" w:hAnsi="Georgia" w:eastAsia="Georgia" w:cs="Georgia"/>
          <w:color w:val="1A1A2E"/>
          <w:sz w:val="22"/>
          <w:szCs w:val="22"/>
        </w:rPr>
        <w:t>The ability to bridge strategic thinking, operational design, and human insight is rare. Most organizations have access to strategy frameworks or operational expertise or people-centered leadership — but rarely all three, working as one integrated capability.</w:t>
      </w:r>
    </w:p>
    <w:p w14:paraId="2C4E8F47">
      <w:pPr>
        <w:spacing w:before="0" w:after="160"/>
      </w:pPr>
    </w:p>
    <w:p w14:paraId="35DAAF01">
      <w:pPr>
        <w:spacing w:before="60" w:after="140"/>
      </w:pPr>
      <w:r>
        <w:rPr>
          <w:rFonts w:ascii="Georgia" w:hAnsi="Georgia" w:eastAsia="Georgia" w:cs="Georgia"/>
          <w:color w:val="1A1A2E"/>
          <w:sz w:val="22"/>
          <w:szCs w:val="22"/>
        </w:rPr>
        <w:t>That integration is what I bring. It is what allows me to design systems that are rigorous enough to scale, human enough to sustain, and responsible enough to trust.</w:t>
      </w:r>
    </w:p>
    <w:p w14:paraId="11860E39">
      <w:pPr>
        <w:spacing w:before="0" w:after="480"/>
      </w:pPr>
    </w:p>
    <w:p w14:paraId="7A72CE28">
      <w:pPr>
        <w:pBdr>
          <w:bottom w:val="single" w:color="4A7C6F" w:sz="12" w:space="1"/>
        </w:pBdr>
        <w:spacing w:before="0" w:after="240"/>
      </w:pPr>
    </w:p>
    <w:p w14:paraId="434CA200">
      <w:pPr>
        <w:spacing w:before="0" w:after="80"/>
      </w:pPr>
      <w:r>
        <w:rPr>
          <w:rFonts w:ascii="Garamond" w:hAnsi="Garamond" w:eastAsia="Garamond" w:cs="Garamond"/>
          <w:b/>
          <w:bCs/>
          <w:color w:val="4A7C6F"/>
          <w:spacing w:val="120"/>
          <w:sz w:val="18"/>
          <w:szCs w:val="18"/>
        </w:rPr>
        <w:t>CREDENTIALS</w:t>
      </w:r>
    </w:p>
    <w:p w14:paraId="0CBB7ED8">
      <w:pPr>
        <w:spacing w:before="0" w:after="1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3BE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Mar>
              <w:top w:w="60" w:type="dxa"/>
              <w:left w:w="0" w:type="dxa"/>
              <w:bottom w:w="60" w:type="dxa"/>
              <w:right w:w="200" w:type="dxa"/>
            </w:tcMar>
            <w:vAlign w:val="top"/>
          </w:tcPr>
          <w:p w14:paraId="117AA20F">
            <w:pPr>
              <w:spacing w:before="0" w:after="80"/>
            </w:pPr>
            <w:r>
              <w:rPr>
                <w:rFonts w:ascii="Garamond" w:hAnsi="Garamond" w:eastAsia="Garamond" w:cs="Garamond"/>
                <w:b/>
                <w:bCs/>
                <w:color w:val="2D3748"/>
                <w:sz w:val="24"/>
                <w:szCs w:val="24"/>
              </w:rPr>
              <w:t>SHRM-SCP</w:t>
            </w:r>
          </w:p>
          <w:p w14:paraId="54870F6D">
            <w:pPr>
              <w:spacing w:before="0" w:after="80"/>
            </w:pPr>
            <w:r>
              <w:rPr>
                <w:rFonts w:ascii="Garamond" w:hAnsi="Garamond" w:eastAsia="Garamond" w:cs="Garamond"/>
                <w:b/>
                <w:bCs/>
                <w:color w:val="2D3748"/>
                <w:sz w:val="24"/>
                <w:szCs w:val="24"/>
              </w:rPr>
              <w:t>PMP Certification</w:t>
            </w:r>
          </w:p>
        </w:tc>
        <w:tc>
          <w:tcPr>
            <w:tcW w:w="4500" w:type="dxa"/>
            <w:tcBorders>
              <w:top w:val="nil"/>
              <w:left w:val="nil"/>
              <w:bottom w:val="nil"/>
              <w:right w:val="nil"/>
            </w:tcBorders>
            <w:tcMar>
              <w:top w:w="60" w:type="dxa"/>
              <w:left w:w="200" w:type="dxa"/>
              <w:bottom w:w="60" w:type="dxa"/>
              <w:right w:w="0" w:type="dxa"/>
            </w:tcMar>
            <w:vAlign w:val="top"/>
          </w:tcPr>
          <w:p w14:paraId="5BEF1E7D">
            <w:pPr>
              <w:spacing w:before="0" w:after="80"/>
            </w:pPr>
            <w:r>
              <w:rPr>
                <w:rFonts w:ascii="Garamond" w:hAnsi="Garamond" w:eastAsia="Garamond" w:cs="Garamond"/>
                <w:b/>
                <w:bCs/>
                <w:color w:val="2D3748"/>
                <w:sz w:val="24"/>
                <w:szCs w:val="24"/>
              </w:rPr>
              <w:t>MSc International Human Resources</w:t>
            </w:r>
          </w:p>
          <w:p w14:paraId="0B81FE09">
            <w:pPr>
              <w:spacing w:before="0" w:after="80"/>
            </w:pPr>
            <w:r>
              <w:rPr>
                <w:rFonts w:ascii="Garamond" w:hAnsi="Garamond" w:eastAsia="Garamond" w:cs="Garamond"/>
                <w:b/>
                <w:bCs/>
                <w:color w:val="2D3748"/>
                <w:sz w:val="24"/>
                <w:szCs w:val="24"/>
              </w:rPr>
              <w:t>BSc English</w:t>
            </w:r>
          </w:p>
        </w:tc>
      </w:tr>
    </w:tbl>
    <w:p w14:paraId="1383D3D7"/>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auto"/>
    <w:pitch w:val="default"/>
    <w:sig w:usb0="00000287" w:usb1="00000000" w:usb2="00000000" w:usb3="00000000" w:csb0="2000009F" w:csb1="00000000"/>
  </w:font>
  <w:font w:name="Garamond">
    <w:panose1 w:val="02020404030301010803"/>
    <w:charset w:val="00"/>
    <w:family w:val="auto"/>
    <w:pitch w:val="default"/>
    <w:sig w:usb0="00000287" w:usb1="00000000" w:usb2="00000000" w:usb3="00000000" w:csb0="000000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FBF41">
    <w:pPr>
      <w:pBdr>
        <w:top w:val="single" w:color="E8F0EE" w:sz="4" w:space="1"/>
      </w:pBdr>
      <w:tabs>
        <w:tab w:val="right" w:pos="9360"/>
      </w:tabs>
      <w:spacing w:before="160" w:after="0"/>
    </w:pPr>
    <w:r>
      <w:rPr>
        <w:rFonts w:ascii="Georgia" w:hAnsi="Georgia" w:eastAsia="Georgia" w:cs="Georgia"/>
        <w:i/>
        <w:iCs/>
        <w:color w:val="718096"/>
        <w:sz w:val="18"/>
        <w:szCs w:val="18"/>
      </w:rPr>
      <w:t>Strategy · Transformation · Responsible Scale</w:t>
    </w:r>
    <w:r>
      <w:rPr>
        <w:rFonts w:ascii="Georgia" w:hAnsi="Georgia" w:eastAsia="Georgia" w:cs="Georgia"/>
        <w:sz w:val="18"/>
        <w:szCs w:val="18"/>
      </w:rPr>
      <w:tab/>
    </w:r>
    <w:r>
      <w:rPr>
        <w:rFonts w:ascii="Georgia" w:hAnsi="Georgia" w:eastAsia="Georgia" w:cs="Georgia"/>
        <w:color w:val="718096"/>
        <w:sz w:val="18"/>
        <w:szCs w:val="18"/>
      </w:rPr>
      <w:fldChar w:fldCharType="begin"/>
    </w:r>
    <w:r>
      <w:rPr>
        <w:rFonts w:ascii="Georgia" w:hAnsi="Georgia" w:eastAsia="Georgia" w:cs="Georgia"/>
        <w:color w:val="718096"/>
        <w:sz w:val="18"/>
        <w:szCs w:val="18"/>
      </w:rPr>
      <w:instrText xml:space="preserve">PAGE</w:instrText>
    </w:r>
    <w:r>
      <w:rPr>
        <w:rFonts w:ascii="Georgia" w:hAnsi="Georgia" w:eastAsia="Georgia" w:cs="Georgia"/>
        <w:color w:val="718096"/>
        <w:sz w:val="18"/>
        <w:szCs w:val="18"/>
      </w:rPr>
      <w:fldChar w:fldCharType="separate"/>
    </w:r>
    <w:r>
      <w:rPr>
        <w:rFonts w:ascii="Georgia" w:hAnsi="Georgia" w:eastAsia="Georgia" w:cs="Georgia"/>
        <w:color w:val="71809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FA66E">
    <w:pPr>
      <w:pBdr>
        <w:bottom w:val="single" w:color="E8F0EE" w:sz="4" w:space="1"/>
      </w:pBdr>
      <w:spacing w:before="0" w:after="200"/>
    </w:pPr>
    <w:r>
      <w:rPr>
        <w:rFonts w:ascii="Garamond" w:hAnsi="Garamond" w:eastAsia="Garamond" w:cs="Garamond"/>
        <w:b/>
        <w:bCs/>
        <w:color w:val="4A7C6F"/>
        <w:spacing w:val="120"/>
        <w:sz w:val="18"/>
        <w:szCs w:val="18"/>
      </w:rPr>
      <w:t>AMINA LAWAL</w:t>
    </w:r>
    <w:r>
      <w:rPr>
        <w:rFonts w:ascii="Georgia" w:hAnsi="Georgia" w:eastAsia="Georgia" w:cs="Georgia"/>
        <w:color w:val="718096"/>
        <w:sz w:val="18"/>
        <w:szCs w:val="18"/>
      </w:rPr>
      <w:t xml:space="preserve">  ·  Global Leadership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ind w:left="480" w:hanging="320"/>
      </w:pPr>
      <w:rPr>
        <w:rFonts w:ascii="Georgia" w:hAnsi="Georgia" w:eastAsia="Georgia" w:cs="Georgia"/>
        <w:color w:val="4A7C6F"/>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47F06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Georgia" w:eastAsia="Georgia" w:cs="Georg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eorgia" w:hAnsi="Georgia" w:eastAsia="Georgia" w:cs="Georgia"/>
      <w:color w:val="1A1A2E"/>
      <w:sz w:val="22"/>
      <w:szCs w:val="22"/>
    </w:rPr>
  </w:style>
  <w:style w:type="paragraph" w:styleId="2">
    <w:name w:val="heading 1"/>
    <w:next w:val="1"/>
    <w:qFormat/>
    <w:uiPriority w:val="0"/>
    <w:rPr>
      <w:rFonts w:ascii="Georgia" w:hAnsi="Georgia" w:eastAsia="Georgia" w:cs="Georgia"/>
      <w:color w:val="2E74B5"/>
      <w:sz w:val="32"/>
      <w:szCs w:val="32"/>
    </w:rPr>
  </w:style>
  <w:style w:type="paragraph" w:styleId="3">
    <w:name w:val="heading 2"/>
    <w:next w:val="1"/>
    <w:qFormat/>
    <w:uiPriority w:val="0"/>
    <w:rPr>
      <w:rFonts w:ascii="Georgia" w:hAnsi="Georgia" w:eastAsia="Georgia" w:cs="Georgia"/>
      <w:color w:val="2E74B5"/>
      <w:sz w:val="26"/>
      <w:szCs w:val="26"/>
    </w:rPr>
  </w:style>
  <w:style w:type="paragraph" w:styleId="4">
    <w:name w:val="heading 3"/>
    <w:next w:val="1"/>
    <w:qFormat/>
    <w:uiPriority w:val="0"/>
    <w:rPr>
      <w:rFonts w:ascii="Georgia" w:hAnsi="Georgia" w:eastAsia="Georgia" w:cs="Georgia"/>
      <w:color w:val="1F4D78"/>
      <w:sz w:val="24"/>
      <w:szCs w:val="24"/>
    </w:rPr>
  </w:style>
  <w:style w:type="paragraph" w:styleId="5">
    <w:name w:val="heading 4"/>
    <w:next w:val="1"/>
    <w:qFormat/>
    <w:uiPriority w:val="0"/>
    <w:rPr>
      <w:rFonts w:ascii="Georgia" w:hAnsi="Georgia" w:eastAsia="Georgia" w:cs="Georgia"/>
      <w:i/>
      <w:iCs/>
      <w:color w:val="2E74B5"/>
      <w:sz w:val="22"/>
      <w:szCs w:val="22"/>
    </w:rPr>
  </w:style>
  <w:style w:type="paragraph" w:styleId="6">
    <w:name w:val="heading 5"/>
    <w:next w:val="1"/>
    <w:qFormat/>
    <w:uiPriority w:val="0"/>
    <w:rPr>
      <w:rFonts w:ascii="Georgia" w:hAnsi="Georgia" w:eastAsia="Georgia" w:cs="Georgia"/>
      <w:color w:val="2E74B5"/>
      <w:sz w:val="22"/>
      <w:szCs w:val="22"/>
    </w:rPr>
  </w:style>
  <w:style w:type="paragraph" w:styleId="7">
    <w:name w:val="heading 6"/>
    <w:next w:val="1"/>
    <w:qFormat/>
    <w:uiPriority w:val="0"/>
    <w:rPr>
      <w:rFonts w:ascii="Georgia" w:hAnsi="Georgia" w:eastAsia="Georgia" w:cs="Georgia"/>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Georgia" w:hAnsi="Georgia" w:eastAsia="Georgia" w:cs="Georgia"/>
      <w:color w:val="1A1A2E"/>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Georgia" w:hAnsi="Georgia" w:eastAsia="Georgia" w:cs="Georgia"/>
      <w:color w:val="1A1A2E"/>
      <w:sz w:val="20"/>
      <w:szCs w:val="20"/>
    </w:rPr>
  </w:style>
  <w:style w:type="character" w:styleId="14">
    <w:name w:val="Hyperlink"/>
    <w:unhideWhenUsed/>
    <w:qFormat/>
    <w:uiPriority w:val="99"/>
    <w:rPr>
      <w:color w:val="0563C1"/>
      <w:u w:val="single"/>
    </w:rPr>
  </w:style>
  <w:style w:type="paragraph" w:styleId="15">
    <w:name w:val="Title"/>
    <w:qFormat/>
    <w:uiPriority w:val="0"/>
    <w:rPr>
      <w:rFonts w:ascii="Georgia" w:hAnsi="Georgia" w:eastAsia="Georgia" w:cs="Georgia"/>
      <w:color w:val="1A1A2E"/>
      <w:sz w:val="56"/>
      <w:szCs w:val="56"/>
    </w:rPr>
  </w:style>
  <w:style w:type="paragraph" w:styleId="16">
    <w:name w:val="List Paragraph"/>
    <w:qFormat/>
    <w:uiPriority w:val="0"/>
    <w:rPr>
      <w:rFonts w:ascii="Georgia" w:hAnsi="Georgia" w:eastAsia="Georgia" w:cs="Georgia"/>
      <w:color w:val="1A1A2E"/>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21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2026-04-07T01:46:00Z</dcterms:created>
  <dc:creator>Un-named</dc:creator>
  <cp:lastModifiedBy>Amina Lawal</cp:lastModifiedBy>
  <dcterms:modified xsi:type="dcterms:W3CDTF">2026-04-07T07:19:11Z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088511EF30924BE0A28B1F9AAFCBFF06_13</vt:lpwstr>
  </property>
</Properties>
</file>