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jc w:val="center"/>
      </w:pPr>
      <w:r>
        <w:rPr>
          <w:rFonts w:ascii="Calibri" w:hAnsi="Calibri"/>
          <w:b/>
          <w:color w:val="1F3864"/>
          <w:sz w:val="38"/>
        </w:rPr>
        <w:t>Empirical Validation of the Unified</w:t>
      </w:r>
    </w:p>
    <w:p>
      <w:pPr>
        <w:spacing w:after="320"/>
        <w:jc w:val="center"/>
      </w:pPr>
      <w:r>
        <w:rPr>
          <w:rFonts w:ascii="Calibri" w:hAnsi="Calibri"/>
          <w:b/>
          <w:color w:val="1F3864"/>
          <w:sz w:val="38"/>
        </w:rPr>
        <w:t>Truth-Probability and Importance-Scoring Framework</w:t>
      </w:r>
    </w:p>
    <w:p>
      <w:pPr>
        <w:spacing w:after="60"/>
        <w:jc w:val="center"/>
      </w:pPr>
      <w:r>
        <w:rPr>
          <w:rFonts w:ascii="Calibri" w:hAnsi="Calibri"/>
          <w:b/>
          <w:i w:val="0"/>
          <w:sz w:val="24"/>
        </w:rPr>
        <w:t>Mohamed Amine Belachhab</w:t>
      </w:r>
    </w:p>
    <w:p>
      <w:pPr>
        <w:spacing w:after="60"/>
        <w:jc w:val="center"/>
      </w:pPr>
      <w:r>
        <w:rPr>
          <w:rFonts w:ascii="Calibri" w:hAnsi="Calibri"/>
          <w:b w:val="0"/>
          <w:i/>
        </w:rPr>
        <w:t>Independent Researcher, Fes, Morocco</w:t>
      </w:r>
    </w:p>
    <w:p>
      <w:pPr>
        <w:spacing w:after="60"/>
        <w:jc w:val="center"/>
      </w:pPr>
      <w:r>
        <w:rPr>
          <w:rFonts w:ascii="Calibri" w:hAnsi="Calibri"/>
          <w:b w:val="0"/>
          <w:i w:val="0"/>
        </w:rPr>
        <w:t>m.amine.belachhab@gmail.com</w:t>
      </w:r>
    </w:p>
    <w:p>
      <w:pPr>
        <w:spacing w:after="480"/>
        <w:jc w:val="center"/>
      </w:pPr>
      <w:r>
        <w:rPr>
          <w:rFonts w:ascii="Calibri" w:hAnsi="Calibri"/>
          <w:b w:val="0"/>
          <w:i/>
        </w:rPr>
        <w:t>Working Paper Version 1.0 — June 2026</w:t>
      </w:r>
    </w:p>
    <w:p>
      <w:pPr>
        <w:spacing w:after="120"/>
        <w:jc w:val="both"/>
      </w:pPr>
      <w:r>
        <w:rPr>
          <w:rFonts w:ascii="Calibri" w:hAnsi="Calibri"/>
          <w:b/>
        </w:rPr>
        <w:t>Abstract</w:t>
      </w:r>
      <w:r>
        <w:rPr>
          <w:rFonts w:ascii="Calibri" w:hAnsi="Calibri"/>
        </w:rPr>
      </w:r>
    </w:p>
    <w:p>
      <w:pPr>
        <w:spacing w:after="120"/>
        <w:jc w:val="both"/>
      </w:pPr>
      <w:r>
        <w:rPr>
          <w:rFonts w:ascii="Calibri" w:hAnsi="Calibri"/>
        </w:rPr>
        <w:t>This paper presents a preliminary empirical validation of the unified mathematical framework for truth-probability and importance-scoring of statements. The validation tests three outputs of the framework against three external datasets: T_abs(s) against LIAR/PolitiFact truth labels, T_perc(s,r) against CredEvent crowd credibility ratings, and I(s,r) against HumAID humanitarian-importance categories. A total of 600 items were scored: 200 political statements, 200 social-media credibility items, and 200 crisis-related social-media statements. The strongest result is obtained for T_abs: Spearman rank correlation with PolitiFact categories reaches 0.983 and binary AUC reaches 1.000, indicating near-perfect rank alignment with professional fact-checking labels. The perceived-truth layer shows moderate alignment with CredEvent crowd ratings, while the importance layer exposes a structural failure in HumAID: contextual disaster stakes can inflate importance even when the statement itself is not humanitarianly relevant. The study therefore supports the truth-probability architecture, partially supports the perceived-truth architecture, and identifies a precise repair for the importance architecture: a statement-to-stakes relevance gate. All results are reported as a preliminary AI-assisted scoring pass pending human replication, blind rescoring, and receiver-sensitivity analysis.</w:t>
      </w:r>
    </w:p>
    <w:p>
      <w:pPr>
        <w:spacing w:after="120"/>
        <w:jc w:val="both"/>
      </w:pPr>
      <w:r>
        <w:rPr>
          <w:rFonts w:ascii="Calibri" w:hAnsi="Calibri"/>
          <w:b/>
        </w:rPr>
        <w:t xml:space="preserve">Keywords: </w:t>
      </w:r>
      <w:r>
        <w:rPr>
          <w:rFonts w:ascii="Calibri" w:hAnsi="Calibri"/>
          <w:i/>
        </w:rPr>
        <w:t>truth-probability, importance scoring, empirical validation, fact-checking, social-media credibility, humanitarian information, Bayesian epistemology</w:t>
      </w:r>
    </w:p>
    <w:p>
      <w:pPr>
        <w:spacing w:after="120"/>
        <w:jc w:val="both"/>
      </w:pPr>
    </w:p>
    <w:p>
      <w:pPr>
        <w:pStyle w:val="Titre1"/>
      </w:pPr>
      <w:r>
        <w:rPr>
          <w:rFonts w:ascii="Calibri" w:hAnsi="Calibri"/>
        </w:rPr>
        <w:t>1  Introduction</w:t>
      </w:r>
    </w:p>
    <w:p>
      <w:pPr>
        <w:spacing w:after="120"/>
        <w:jc w:val="both"/>
      </w:pPr>
      <w:r>
        <w:rPr>
          <w:rFonts w:ascii="Calibri" w:hAnsi="Calibri"/>
        </w:rPr>
        <w:t>The original framework defines three outputs for evaluating statements: T_abs(s), an evidence-weighted truth-probability; T_perc(s,r), a receiver-dependent perceived truth-probability; and I(s,r), a receiver-dependent importance score. The theoretical paper establishes the architecture, axioms, variable clusters, Bayesian update engine, neutral points, stress tests, and open problems. The present paper asks a narrower empirical question: when the framework is applied to benchmark datasets, what holds up and what fails?</w:t>
      </w:r>
    </w:p>
    <w:p>
      <w:pPr>
        <w:spacing w:after="120"/>
        <w:jc w:val="both"/>
      </w:pPr>
      <w:r>
        <w:rPr>
          <w:rFonts w:ascii="Calibri" w:hAnsi="Calibri"/>
        </w:rPr>
        <w:t>The purpose of this validation is not to claim final calibration. Several parameters remain empirical defaults, and the scoring pass was performed through an AI-assisted rubric rather than independent human scorer panels. The goal is instead diagnostic: to test whether the framework preserves the correct ordering of external judgments, to identify systematic failure modes, and to determine which parts of the architecture deserve confidence or revision.</w:t>
      </w:r>
    </w:p>
    <w:p>
      <w:pPr>
        <w:spacing w:after="120"/>
        <w:jc w:val="both"/>
      </w:pPr>
      <w:r>
        <w:rPr>
          <w:rFonts w:ascii="Calibri" w:hAnsi="Calibri"/>
        </w:rPr>
        <w:t>The validation produces a mixed but informative result. The truth-probability layer performs extremely well against professional fact-checking categories. The perceived-truth layer shows moderate alignment with crowd credibility judgments. The importance layer succeeds on directly actionable humanitarian statements but fails when ambient crisis context is mistaken for statement-specific relevance. This failure is structural, not random, and it motivates a concrete model repair.</w:t>
      </w:r>
    </w:p>
    <w:p>
      <w:pPr>
        <w:pStyle w:val="Titre1"/>
      </w:pPr>
      <w:r>
        <w:rPr>
          <w:rFonts w:ascii="Calibri" w:hAnsi="Calibri"/>
        </w:rPr>
        <w:t>2  The Validation Study</w:t>
      </w:r>
    </w:p>
    <w:p>
      <w:pPr>
        <w:pStyle w:val="Titre2"/>
      </w:pPr>
      <w:r>
        <w:rPr>
          <w:rFonts w:ascii="Calibri" w:hAnsi="Calibri"/>
        </w:rPr>
        <w:t>2.1  Datasets and Target Outputs</w:t>
      </w:r>
    </w:p>
    <w:p>
      <w:pPr>
        <w:spacing w:after="120"/>
        <w:jc w:val="both"/>
      </w:pPr>
      <w:r>
        <w:rPr>
          <w:rFonts w:ascii="Calibri" w:hAnsi="Calibri"/>
        </w:rPr>
        <w:t>Three datasets were selected because each corresponds to one of the framework's three outputs. LIAR/PolitiFact tests evidence-weighted truth-probability. CredEvent TurkRatings tests perceived credibility. HumAID tests receiver-dependent importance in crisis-response contexts.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76"/>
            <w:vAlign w:val="top"/>
            <w:tcMar>
              <w:top w:w="80" w:type="dxa"/>
              <w:start w:w="80" w:type="dxa"/>
              <w:bottom w:w="80" w:type="dxa"/>
              <w:end w:w="80" w:type="dxa"/>
            </w:tcMar>
            <w:shd w:fill="D9E2F3"/>
          </w:tcPr>
          <w:p>
            <w:pPr>
              <w:spacing w:after="0"/>
              <w:jc w:val="center"/>
            </w:pPr>
            <w:r>
              <w:rPr>
                <w:rFonts w:ascii="Calibri" w:hAnsi="Calibri"/>
                <w:b/>
                <w:sz w:val="18"/>
              </w:rPr>
              <w:t>Dataset</w:t>
            </w:r>
          </w:p>
        </w:tc>
        <w:tc>
          <w:tcPr>
            <w:tcW w:type="dxa" w:w="1728"/>
            <w:vAlign w:val="top"/>
            <w:tcMar>
              <w:top w:w="80" w:type="dxa"/>
              <w:start w:w="80" w:type="dxa"/>
              <w:bottom w:w="80" w:type="dxa"/>
              <w:end w:w="80" w:type="dxa"/>
            </w:tcMar>
            <w:shd w:fill="D9E2F3"/>
          </w:tcPr>
          <w:p>
            <w:pPr>
              <w:spacing w:after="0"/>
              <w:jc w:val="center"/>
            </w:pPr>
            <w:r>
              <w:rPr>
                <w:rFonts w:ascii="Calibri" w:hAnsi="Calibri"/>
                <w:b/>
                <w:sz w:val="18"/>
              </w:rPr>
              <w:t>Tested output</w:t>
            </w:r>
          </w:p>
        </w:tc>
        <w:tc>
          <w:tcPr>
            <w:tcW w:type="dxa" w:w="4896"/>
            <w:vAlign w:val="top"/>
            <w:tcMar>
              <w:top w:w="80" w:type="dxa"/>
              <w:start w:w="80" w:type="dxa"/>
              <w:bottom w:w="80" w:type="dxa"/>
              <w:end w:w="80" w:type="dxa"/>
            </w:tcMar>
            <w:shd w:fill="D9E2F3"/>
          </w:tcPr>
          <w:p>
            <w:pPr>
              <w:spacing w:after="0"/>
              <w:jc w:val="center"/>
            </w:pPr>
            <w:r>
              <w:rPr>
                <w:rFonts w:ascii="Calibri" w:hAnsi="Calibri"/>
                <w:b/>
                <w:sz w:val="18"/>
              </w:rPr>
              <w:t>External target</w:t>
            </w:r>
          </w:p>
        </w:tc>
        <w:tc>
          <w:tcPr>
            <w:tcW w:type="dxa" w:w="648"/>
            <w:vAlign w:val="top"/>
            <w:tcMar>
              <w:top w:w="80" w:type="dxa"/>
              <w:start w:w="80" w:type="dxa"/>
              <w:bottom w:w="80" w:type="dxa"/>
              <w:end w:w="80" w:type="dxa"/>
            </w:tcMar>
            <w:shd w:fill="D9E2F3"/>
          </w:tcPr>
          <w:p>
            <w:pPr>
              <w:spacing w:after="0"/>
              <w:jc w:val="center"/>
            </w:pPr>
            <w:r>
              <w:rPr>
                <w:rFonts w:ascii="Calibri" w:hAnsi="Calibri"/>
                <w:b/>
                <w:sz w:val="18"/>
              </w:rPr>
              <w:t>n</w:t>
            </w:r>
          </w:p>
        </w:tc>
      </w:tr>
      <w:tr>
        <w:tc>
          <w:tcPr>
            <w:tcW w:type="dxa" w:w="2376"/>
            <w:vAlign w:val="top"/>
            <w:tcMar>
              <w:top w:w="80" w:type="dxa"/>
              <w:start w:w="80" w:type="dxa"/>
              <w:bottom w:w="80" w:type="dxa"/>
              <w:end w:w="80" w:type="dxa"/>
            </w:tcMar>
          </w:tcPr>
          <w:p>
            <w:pPr>
              <w:spacing w:after="0"/>
              <w:jc w:val="left"/>
            </w:pPr>
            <w:r>
              <w:rPr>
                <w:rFonts w:ascii="Calibri" w:hAnsi="Calibri"/>
                <w:sz w:val="18"/>
              </w:rPr>
              <w:t>LIAR / PolitiFact</w:t>
            </w:r>
          </w:p>
        </w:tc>
        <w:tc>
          <w:tcPr>
            <w:tcW w:type="dxa" w:w="1728"/>
            <w:vAlign w:val="top"/>
            <w:tcMar>
              <w:top w:w="80" w:type="dxa"/>
              <w:start w:w="80" w:type="dxa"/>
              <w:bottom w:w="80" w:type="dxa"/>
              <w:end w:w="80" w:type="dxa"/>
            </w:tcMar>
          </w:tcPr>
          <w:p>
            <w:pPr>
              <w:spacing w:after="0"/>
              <w:jc w:val="left"/>
            </w:pPr>
            <w:r>
              <w:rPr>
                <w:rFonts w:ascii="Calibri" w:hAnsi="Calibri"/>
                <w:sz w:val="18"/>
              </w:rPr>
              <w:t>T_abs(s)</w:t>
            </w:r>
          </w:p>
        </w:tc>
        <w:tc>
          <w:tcPr>
            <w:tcW w:type="dxa" w:w="4896"/>
            <w:vAlign w:val="top"/>
            <w:tcMar>
              <w:top w:w="80" w:type="dxa"/>
              <w:start w:w="80" w:type="dxa"/>
              <w:bottom w:w="80" w:type="dxa"/>
              <w:end w:w="80" w:type="dxa"/>
            </w:tcMar>
          </w:tcPr>
          <w:p>
            <w:pPr>
              <w:spacing w:after="0"/>
              <w:jc w:val="left"/>
            </w:pPr>
            <w:r>
              <w:rPr>
                <w:rFonts w:ascii="Calibri" w:hAnsi="Calibri"/>
                <w:sz w:val="18"/>
              </w:rPr>
              <w:t>PolitiFact truth category mapped to [0,1]</w:t>
            </w:r>
          </w:p>
        </w:tc>
        <w:tc>
          <w:tcPr>
            <w:tcW w:type="dxa" w:w="648"/>
            <w:vAlign w:val="top"/>
            <w:tcMar>
              <w:top w:w="80" w:type="dxa"/>
              <w:start w:w="80" w:type="dxa"/>
              <w:bottom w:w="80" w:type="dxa"/>
              <w:end w:w="80" w:type="dxa"/>
            </w:tcMar>
          </w:tcPr>
          <w:p>
            <w:pPr>
              <w:spacing w:after="0"/>
              <w:jc w:val="left"/>
            </w:pPr>
            <w:r>
              <w:rPr>
                <w:rFonts w:ascii="Calibri" w:hAnsi="Calibri"/>
                <w:sz w:val="18"/>
              </w:rPr>
              <w:t>200</w:t>
            </w:r>
          </w:p>
        </w:tc>
      </w:tr>
      <w:tr>
        <w:tc>
          <w:tcPr>
            <w:tcW w:type="dxa" w:w="2376"/>
            <w:vAlign w:val="top"/>
            <w:tcMar>
              <w:top w:w="80" w:type="dxa"/>
              <w:start w:w="80" w:type="dxa"/>
              <w:bottom w:w="80" w:type="dxa"/>
              <w:end w:w="80" w:type="dxa"/>
            </w:tcMar>
          </w:tcPr>
          <w:p>
            <w:pPr>
              <w:spacing w:after="0"/>
              <w:jc w:val="left"/>
            </w:pPr>
            <w:r>
              <w:rPr>
                <w:rFonts w:ascii="Calibri" w:hAnsi="Calibri"/>
                <w:sz w:val="18"/>
              </w:rPr>
              <w:t>CredEvent TurkRatings</w:t>
            </w:r>
          </w:p>
        </w:tc>
        <w:tc>
          <w:tcPr>
            <w:tcW w:type="dxa" w:w="1728"/>
            <w:vAlign w:val="top"/>
            <w:tcMar>
              <w:top w:w="80" w:type="dxa"/>
              <w:start w:w="80" w:type="dxa"/>
              <w:bottom w:w="80" w:type="dxa"/>
              <w:end w:w="80" w:type="dxa"/>
            </w:tcMar>
          </w:tcPr>
          <w:p>
            <w:pPr>
              <w:spacing w:after="0"/>
              <w:jc w:val="left"/>
            </w:pPr>
            <w:r>
              <w:rPr>
                <w:rFonts w:ascii="Calibri" w:hAnsi="Calibri"/>
                <w:sz w:val="18"/>
              </w:rPr>
              <w:t>T_perc(s,r)</w:t>
            </w:r>
          </w:p>
        </w:tc>
        <w:tc>
          <w:tcPr>
            <w:tcW w:type="dxa" w:w="4896"/>
            <w:vAlign w:val="top"/>
            <w:tcMar>
              <w:top w:w="80" w:type="dxa"/>
              <w:start w:w="80" w:type="dxa"/>
              <w:bottom w:w="80" w:type="dxa"/>
              <w:end w:w="80" w:type="dxa"/>
            </w:tcMar>
          </w:tcPr>
          <w:p>
            <w:pPr>
              <w:spacing w:after="0"/>
              <w:jc w:val="left"/>
            </w:pPr>
            <w:r>
              <w:rPr>
                <w:rFonts w:ascii="Calibri" w:hAnsi="Calibri"/>
                <w:sz w:val="18"/>
              </w:rPr>
              <w:t>Mean crowd credibility rating mapped to [0,1]</w:t>
            </w:r>
          </w:p>
        </w:tc>
        <w:tc>
          <w:tcPr>
            <w:tcW w:type="dxa" w:w="648"/>
            <w:vAlign w:val="top"/>
            <w:tcMar>
              <w:top w:w="80" w:type="dxa"/>
              <w:start w:w="80" w:type="dxa"/>
              <w:bottom w:w="80" w:type="dxa"/>
              <w:end w:w="80" w:type="dxa"/>
            </w:tcMar>
          </w:tcPr>
          <w:p>
            <w:pPr>
              <w:spacing w:after="0"/>
              <w:jc w:val="left"/>
            </w:pPr>
            <w:r>
              <w:rPr>
                <w:rFonts w:ascii="Calibri" w:hAnsi="Calibri"/>
                <w:sz w:val="18"/>
              </w:rPr>
              <w:t>200</w:t>
            </w:r>
          </w:p>
        </w:tc>
      </w:tr>
      <w:tr>
        <w:tc>
          <w:tcPr>
            <w:tcW w:type="dxa" w:w="2376"/>
            <w:vAlign w:val="top"/>
            <w:tcMar>
              <w:top w:w="80" w:type="dxa"/>
              <w:start w:w="80" w:type="dxa"/>
              <w:bottom w:w="80" w:type="dxa"/>
              <w:end w:w="80" w:type="dxa"/>
            </w:tcMar>
          </w:tcPr>
          <w:p>
            <w:pPr>
              <w:spacing w:after="0"/>
              <w:jc w:val="left"/>
            </w:pPr>
            <w:r>
              <w:rPr>
                <w:rFonts w:ascii="Calibri" w:hAnsi="Calibri"/>
                <w:sz w:val="18"/>
              </w:rPr>
              <w:t>HumAID</w:t>
            </w:r>
          </w:p>
        </w:tc>
        <w:tc>
          <w:tcPr>
            <w:tcW w:type="dxa" w:w="1728"/>
            <w:vAlign w:val="top"/>
            <w:tcMar>
              <w:top w:w="80" w:type="dxa"/>
              <w:start w:w="80" w:type="dxa"/>
              <w:bottom w:w="80" w:type="dxa"/>
              <w:end w:w="80" w:type="dxa"/>
            </w:tcMar>
          </w:tcPr>
          <w:p>
            <w:pPr>
              <w:spacing w:after="0"/>
              <w:jc w:val="left"/>
            </w:pPr>
            <w:r>
              <w:rPr>
                <w:rFonts w:ascii="Calibri" w:hAnsi="Calibri"/>
                <w:sz w:val="18"/>
              </w:rPr>
              <w:t>I(s,r)</w:t>
            </w:r>
          </w:p>
        </w:tc>
        <w:tc>
          <w:tcPr>
            <w:tcW w:type="dxa" w:w="4896"/>
            <w:vAlign w:val="top"/>
            <w:tcMar>
              <w:top w:w="80" w:type="dxa"/>
              <w:start w:w="80" w:type="dxa"/>
              <w:bottom w:w="80" w:type="dxa"/>
              <w:end w:w="80" w:type="dxa"/>
            </w:tcMar>
          </w:tcPr>
          <w:p>
            <w:pPr>
              <w:spacing w:after="0"/>
              <w:jc w:val="left"/>
            </w:pPr>
            <w:r>
              <w:rPr>
                <w:rFonts w:ascii="Calibri" w:hAnsi="Calibri"/>
                <w:sz w:val="18"/>
              </w:rPr>
              <w:t>Humanitarian-importance category target</w:t>
            </w:r>
          </w:p>
        </w:tc>
        <w:tc>
          <w:tcPr>
            <w:tcW w:type="dxa" w:w="648"/>
            <w:vAlign w:val="top"/>
            <w:tcMar>
              <w:top w:w="80" w:type="dxa"/>
              <w:start w:w="80" w:type="dxa"/>
              <w:bottom w:w="80" w:type="dxa"/>
              <w:end w:w="80" w:type="dxa"/>
            </w:tcMar>
          </w:tcPr>
          <w:p>
            <w:pPr>
              <w:spacing w:after="0"/>
              <w:jc w:val="left"/>
            </w:pPr>
            <w:r>
              <w:rPr>
                <w:rFonts w:ascii="Calibri" w:hAnsi="Calibri"/>
                <w:sz w:val="18"/>
              </w:rPr>
              <w:t>200</w:t>
            </w:r>
          </w:p>
        </w:tc>
      </w:tr>
    </w:tbl>
    <w:p>
      <w:pPr>
        <w:spacing w:after="240"/>
        <w:jc w:val="center"/>
      </w:pPr>
      <w:r>
        <w:rPr>
          <w:rFonts w:ascii="Calibri" w:hAnsi="Calibri"/>
          <w:b/>
        </w:rPr>
        <w:t xml:space="preserve">Table 1: </w:t>
      </w:r>
      <w:r>
        <w:rPr>
          <w:rFonts w:ascii="Calibri" w:hAnsi="Calibri"/>
        </w:rPr>
        <w:t>Empirical validation datasets and target outputs.</w:t>
      </w:r>
    </w:p>
    <w:p>
      <w:pPr>
        <w:spacing w:after="120"/>
        <w:jc w:val="both"/>
      </w:pPr>
      <w:r>
        <w:rPr>
          <w:rFonts w:ascii="Calibri" w:hAnsi="Calibri"/>
        </w:rPr>
        <w:t>The LIAR/PolitiFact subset uses a continuous mapping of PolitiFact labels onto [0,1]: pants-fire = 0.00, false = 0.15, barely-true = 0.35, half-true = 0.50, mostly-true = 0.75, and true = 1.00. This mapping does not assume that the journalistic labels are literal posterior probabilities. It is used as an external ordinal benchmark for whether T_abs preserves the professional fact-checking order.</w:t>
      </w:r>
    </w:p>
    <w:p>
      <w:pPr>
        <w:spacing w:after="120"/>
        <w:jc w:val="both"/>
      </w:pPr>
      <w:r>
        <w:rPr>
          <w:rFonts w:ascii="Calibri" w:hAnsi="Calibri"/>
        </w:rPr>
        <w:t>The CredEvent TurkRatings subset uses mean crowd credibility ratings transformed onto [0,1]. This target is not identical to T_perc(s,r), because the framework defines perceived truth for a specified receiver, whereas CredEvent aggregates ratings across many implicit receivers. This mismatch is treated as a limitation rather than hidden in the analysis.</w:t>
      </w:r>
    </w:p>
    <w:p>
      <w:pPr>
        <w:spacing w:after="120"/>
        <w:jc w:val="both"/>
      </w:pPr>
      <w:r>
        <w:rPr>
          <w:rFonts w:ascii="Calibri" w:hAnsi="Calibri"/>
        </w:rPr>
        <w:t>The HumAID subset uses humanitarian-response categories mapped onto target importance values. Categories involving urgent needs, missing people, injuries, evacuation, infrastructure damage, caution, donation, and general relevance receive high to moderate targets. not_humanitarian receives a low target. This dataset is the most direct test of whether I(s,r) can distinguish actual humanitarian importance from mere disaster-adjacent content.</w:t>
      </w:r>
    </w:p>
    <w:p>
      <w:pPr>
        <w:pStyle w:val="Titre2"/>
      </w:pPr>
      <w:r>
        <w:rPr>
          <w:rFonts w:ascii="Calibri" w:hAnsi="Calibri"/>
        </w:rPr>
        <w:t>2.2  Scoring Methodology</w:t>
      </w:r>
    </w:p>
    <w:p>
      <w:pPr>
        <w:spacing w:after="120"/>
        <w:jc w:val="both"/>
      </w:pPr>
      <w:r>
        <w:rPr>
          <w:rFonts w:ascii="Calibri" w:hAnsi="Calibri"/>
        </w:rPr>
        <w:t>Each item was scored by assigning atomic variables from the framework's six clusters. The scoring pass followed the human-aligned rubric developed for version 0.13 of the framework package. Non-neutral variable values were allowed only when supported by textual, contextual, source-level, delivery-level, receiver-level, or evidence-level cues. The scoring protocol was designed to avoid pure impressionistic scoring: the scorer had to ask what observable feature justified each deviation from neutrality.</w:t>
      </w:r>
    </w:p>
    <w:p>
      <w:pPr>
        <w:spacing w:after="120"/>
        <w:jc w:val="both"/>
      </w:pPr>
      <w:r>
        <w:rPr>
          <w:rFonts w:ascii="Calibri" w:hAnsi="Calibri"/>
        </w:rPr>
        <w:t>Atomic variable assignments were generated through an AI-assisted scoring pass using ChatGPT 5.5 Thinking following the rubric protocol. This is a methodological limitation. The results should be interpreted as a preliminary automated validation pass, not as a completed human-replicated study. Human replication, blind rescoring, and inter-rater reliability testing are reserved for the sequel validation study.</w:t>
      </w:r>
    </w:p>
    <w:p>
      <w:pPr>
        <w:spacing w:after="120"/>
        <w:jc w:val="both"/>
      </w:pPr>
      <w:r>
        <w:rPr>
          <w:rFonts w:ascii="Calibri" w:hAnsi="Calibri"/>
        </w:rPr>
        <w:t>For LIAR/PolitiFact, the truth-layer variables K, L, and M were assigned through an evidence-audit procedure grounded in the fact-checking record. For HumAID and CredEvent, scoring required more contextual inference because the datasets do not explicitly specify receiver profiles, tone, delivery setting, or full evidence chains. This difference matters: the LIAR results are therefore methodologically stronger than the HumAID and CredEvent results.</w:t>
      </w:r>
    </w:p>
    <w:p>
      <w:pPr>
        <w:spacing w:after="120"/>
        <w:jc w:val="both"/>
      </w:pPr>
      <w:r>
        <w:rPr>
          <w:rFonts w:ascii="Calibri" w:hAnsi="Calibri"/>
        </w:rPr>
        <w:t>The primary metric is Spearman rank correlation, because the framework is designed first to preserve correct ordering across statements. Pearson correlation, mean absolute error (MAE), and binary AUC where applicable are reported as secondary metrics. Absolute calibration remains dependent on empirical neutral points, receiver assumptions, target mappings, and dataset-specific construct differences.</w:t>
      </w:r>
    </w:p>
    <w:p>
      <w:pPr>
        <w:pStyle w:val="Titre1"/>
      </w:pPr>
      <w:r>
        <w:rPr>
          <w:rFonts w:ascii="Calibri" w:hAnsi="Calibri"/>
        </w:rPr>
        <w:t>3  What Held Up</w:t>
      </w:r>
    </w:p>
    <w:p>
      <w:pPr>
        <w:pStyle w:val="Titre2"/>
      </w:pPr>
      <w:r>
        <w:rPr>
          <w:rFonts w:ascii="Calibri" w:hAnsi="Calibri"/>
        </w:rPr>
        <w:t>3.1  Headline Finding: T_abs Aligns with PolitiFact</w:t>
      </w:r>
    </w:p>
    <w:p>
      <w:pPr>
        <w:spacing w:after="120"/>
        <w:jc w:val="both"/>
      </w:pPr>
      <w:r>
        <w:rPr>
          <w:rFonts w:ascii="Calibri" w:hAnsi="Calibri"/>
        </w:rPr>
        <w:t>The strongest result is the alignment between T_abs(s) and PolitiFact truth categories. Across 200 political statements, the framework achieves Spearman ρ = 0.983, Pearson r = 0.935, MAE = 0.136, and binary AUC = 1.000. This is the headline empirical finding of the validation study.</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40"/>
        <w:gridCol w:w="1040"/>
        <w:gridCol w:w="1040"/>
        <w:gridCol w:w="1040"/>
        <w:gridCol w:w="1040"/>
        <w:gridCol w:w="1040"/>
        <w:gridCol w:w="1040"/>
        <w:gridCol w:w="1040"/>
        <w:gridCol w:w="1040"/>
      </w:tblGrid>
      <w:tr>
        <w:tc>
          <w:tcPr>
            <w:tcW w:type="dxa" w:w="2088"/>
            <w:vAlign w:val="top"/>
            <w:tcMar>
              <w:top w:w="80" w:type="dxa"/>
              <w:start w:w="80" w:type="dxa"/>
              <w:bottom w:w="80" w:type="dxa"/>
              <w:end w:w="80" w:type="dxa"/>
            </w:tcMar>
            <w:shd w:fill="D9E2F3"/>
          </w:tcPr>
          <w:p>
            <w:pPr>
              <w:spacing w:after="0"/>
              <w:jc w:val="center"/>
            </w:pPr>
            <w:r>
              <w:rPr>
                <w:rFonts w:ascii="Calibri" w:hAnsi="Calibri"/>
                <w:b/>
                <w:sz w:val="16"/>
              </w:rPr>
              <w:t>Dataset</w:t>
            </w:r>
          </w:p>
        </w:tc>
        <w:tc>
          <w:tcPr>
            <w:tcW w:type="dxa" w:w="1080"/>
            <w:vAlign w:val="top"/>
            <w:tcMar>
              <w:top w:w="80" w:type="dxa"/>
              <w:start w:w="80" w:type="dxa"/>
              <w:bottom w:w="80" w:type="dxa"/>
              <w:end w:w="80" w:type="dxa"/>
            </w:tcMar>
            <w:shd w:fill="D9E2F3"/>
          </w:tcPr>
          <w:p>
            <w:pPr>
              <w:spacing w:after="0"/>
              <w:jc w:val="center"/>
            </w:pPr>
            <w:r>
              <w:rPr>
                <w:rFonts w:ascii="Calibri" w:hAnsi="Calibri"/>
                <w:b/>
                <w:sz w:val="16"/>
              </w:rPr>
              <w:t>Output</w:t>
            </w:r>
          </w:p>
        </w:tc>
        <w:tc>
          <w:tcPr>
            <w:tcW w:type="dxa" w:w="648"/>
            <w:vAlign w:val="top"/>
            <w:tcMar>
              <w:top w:w="80" w:type="dxa"/>
              <w:start w:w="80" w:type="dxa"/>
              <w:bottom w:w="80" w:type="dxa"/>
              <w:end w:w="80" w:type="dxa"/>
            </w:tcMar>
            <w:shd w:fill="D9E2F3"/>
          </w:tcPr>
          <w:p>
            <w:pPr>
              <w:spacing w:after="0"/>
              <w:jc w:val="center"/>
            </w:pPr>
            <w:r>
              <w:rPr>
                <w:rFonts w:ascii="Calibri" w:hAnsi="Calibri"/>
                <w:b/>
                <w:sz w:val="16"/>
              </w:rPr>
              <w:t>n</w:t>
            </w:r>
          </w:p>
        </w:tc>
        <w:tc>
          <w:tcPr>
            <w:tcW w:type="dxa" w:w="1224"/>
            <w:vAlign w:val="top"/>
            <w:tcMar>
              <w:top w:w="80" w:type="dxa"/>
              <w:start w:w="80" w:type="dxa"/>
              <w:bottom w:w="80" w:type="dxa"/>
              <w:end w:w="80" w:type="dxa"/>
            </w:tcMar>
            <w:shd w:fill="D9E2F3"/>
          </w:tcPr>
          <w:p>
            <w:pPr>
              <w:spacing w:after="0"/>
              <w:jc w:val="center"/>
            </w:pPr>
            <w:r>
              <w:rPr>
                <w:rFonts w:ascii="Calibri" w:hAnsi="Calibri"/>
                <w:b/>
                <w:sz w:val="16"/>
              </w:rPr>
              <w:t>Expected mean</w:t>
            </w:r>
          </w:p>
        </w:tc>
        <w:tc>
          <w:tcPr>
            <w:tcW w:type="dxa" w:w="1152"/>
            <w:vAlign w:val="top"/>
            <w:tcMar>
              <w:top w:w="80" w:type="dxa"/>
              <w:start w:w="80" w:type="dxa"/>
              <w:bottom w:w="80" w:type="dxa"/>
              <w:end w:w="80" w:type="dxa"/>
            </w:tcMar>
            <w:shd w:fill="D9E2F3"/>
          </w:tcPr>
          <w:p>
            <w:pPr>
              <w:spacing w:after="0"/>
              <w:jc w:val="center"/>
            </w:pPr>
            <w:r>
              <w:rPr>
                <w:rFonts w:ascii="Calibri" w:hAnsi="Calibri"/>
                <w:b/>
                <w:sz w:val="16"/>
              </w:rPr>
              <w:t>Model mean</w:t>
            </w:r>
          </w:p>
        </w:tc>
        <w:tc>
          <w:tcPr>
            <w:tcW w:type="dxa" w:w="1080"/>
            <w:vAlign w:val="top"/>
            <w:tcMar>
              <w:top w:w="80" w:type="dxa"/>
              <w:start w:w="80" w:type="dxa"/>
              <w:bottom w:w="80" w:type="dxa"/>
              <w:end w:w="80" w:type="dxa"/>
            </w:tcMar>
            <w:shd w:fill="D9E2F3"/>
          </w:tcPr>
          <w:p>
            <w:pPr>
              <w:spacing w:after="0"/>
              <w:jc w:val="center"/>
            </w:pPr>
            <w:r>
              <w:rPr>
                <w:rFonts w:ascii="Calibri" w:hAnsi="Calibri"/>
                <w:b/>
                <w:sz w:val="16"/>
              </w:rPr>
              <w:t>Spearman</w:t>
            </w:r>
          </w:p>
        </w:tc>
        <w:tc>
          <w:tcPr>
            <w:tcW w:type="dxa" w:w="1080"/>
            <w:vAlign w:val="top"/>
            <w:tcMar>
              <w:top w:w="80" w:type="dxa"/>
              <w:start w:w="80" w:type="dxa"/>
              <w:bottom w:w="80" w:type="dxa"/>
              <w:end w:w="80" w:type="dxa"/>
            </w:tcMar>
            <w:shd w:fill="D9E2F3"/>
          </w:tcPr>
          <w:p>
            <w:pPr>
              <w:spacing w:after="0"/>
              <w:jc w:val="center"/>
            </w:pPr>
            <w:r>
              <w:rPr>
                <w:rFonts w:ascii="Calibri" w:hAnsi="Calibri"/>
                <w:b/>
                <w:sz w:val="16"/>
              </w:rPr>
              <w:t>Pearson</w:t>
            </w:r>
          </w:p>
        </w:tc>
        <w:tc>
          <w:tcPr>
            <w:tcW w:type="dxa" w:w="792"/>
            <w:vAlign w:val="top"/>
            <w:tcMar>
              <w:top w:w="80" w:type="dxa"/>
              <w:start w:w="80" w:type="dxa"/>
              <w:bottom w:w="80" w:type="dxa"/>
              <w:end w:w="80" w:type="dxa"/>
            </w:tcMar>
            <w:shd w:fill="D9E2F3"/>
          </w:tcPr>
          <w:p>
            <w:pPr>
              <w:spacing w:after="0"/>
              <w:jc w:val="center"/>
            </w:pPr>
            <w:r>
              <w:rPr>
                <w:rFonts w:ascii="Calibri" w:hAnsi="Calibri"/>
                <w:b/>
                <w:sz w:val="16"/>
              </w:rPr>
              <w:t>MAE</w:t>
            </w:r>
          </w:p>
        </w:tc>
        <w:tc>
          <w:tcPr>
            <w:tcW w:type="dxa" w:w="792"/>
            <w:vAlign w:val="top"/>
            <w:tcMar>
              <w:top w:w="80" w:type="dxa"/>
              <w:start w:w="80" w:type="dxa"/>
              <w:bottom w:w="80" w:type="dxa"/>
              <w:end w:w="80" w:type="dxa"/>
            </w:tcMar>
            <w:shd w:fill="D9E2F3"/>
          </w:tcPr>
          <w:p>
            <w:pPr>
              <w:spacing w:after="0"/>
              <w:jc w:val="center"/>
            </w:pPr>
            <w:r>
              <w:rPr>
                <w:rFonts w:ascii="Calibri" w:hAnsi="Calibri"/>
                <w:b/>
                <w:sz w:val="16"/>
              </w:rPr>
              <w:t>AUC</w:t>
            </w:r>
          </w:p>
        </w:tc>
      </w:tr>
      <w:tr>
        <w:tc>
          <w:tcPr>
            <w:tcW w:type="dxa" w:w="2088"/>
            <w:vAlign w:val="top"/>
            <w:tcMar>
              <w:top w:w="80" w:type="dxa"/>
              <w:start w:w="80" w:type="dxa"/>
              <w:bottom w:w="80" w:type="dxa"/>
              <w:end w:w="80" w:type="dxa"/>
            </w:tcMar>
          </w:tcPr>
          <w:p>
            <w:pPr>
              <w:spacing w:after="0"/>
              <w:jc w:val="left"/>
            </w:pPr>
            <w:r>
              <w:rPr>
                <w:rFonts w:ascii="Calibri" w:hAnsi="Calibri"/>
                <w:sz w:val="16"/>
              </w:rPr>
              <w:t>LIAR / PolitiFact</w:t>
            </w:r>
          </w:p>
        </w:tc>
        <w:tc>
          <w:tcPr>
            <w:tcW w:type="dxa" w:w="1080"/>
            <w:vAlign w:val="top"/>
            <w:tcMar>
              <w:top w:w="80" w:type="dxa"/>
              <w:start w:w="80" w:type="dxa"/>
              <w:bottom w:w="80" w:type="dxa"/>
              <w:end w:w="80" w:type="dxa"/>
            </w:tcMar>
          </w:tcPr>
          <w:p>
            <w:pPr>
              <w:spacing w:after="0"/>
              <w:jc w:val="left"/>
            </w:pPr>
            <w:r>
              <w:rPr>
                <w:rFonts w:ascii="Calibri" w:hAnsi="Calibri"/>
                <w:sz w:val="16"/>
              </w:rPr>
              <w:t>T_abs</w:t>
            </w:r>
          </w:p>
        </w:tc>
        <w:tc>
          <w:tcPr>
            <w:tcW w:type="dxa" w:w="648"/>
            <w:vAlign w:val="top"/>
            <w:tcMar>
              <w:top w:w="80" w:type="dxa"/>
              <w:start w:w="80" w:type="dxa"/>
              <w:bottom w:w="80" w:type="dxa"/>
              <w:end w:w="80" w:type="dxa"/>
            </w:tcMar>
          </w:tcPr>
          <w:p>
            <w:pPr>
              <w:spacing w:after="0"/>
              <w:jc w:val="left"/>
            </w:pPr>
            <w:r>
              <w:rPr>
                <w:rFonts w:ascii="Calibri" w:hAnsi="Calibri"/>
                <w:sz w:val="16"/>
              </w:rPr>
              <w:t>200</w:t>
            </w:r>
          </w:p>
        </w:tc>
        <w:tc>
          <w:tcPr>
            <w:tcW w:type="dxa" w:w="1224"/>
            <w:vAlign w:val="top"/>
            <w:tcMar>
              <w:top w:w="80" w:type="dxa"/>
              <w:start w:w="80" w:type="dxa"/>
              <w:bottom w:w="80" w:type="dxa"/>
              <w:end w:w="80" w:type="dxa"/>
            </w:tcMar>
          </w:tcPr>
          <w:p>
            <w:pPr>
              <w:spacing w:after="0"/>
              <w:jc w:val="left"/>
            </w:pPr>
            <w:r>
              <w:rPr>
                <w:rFonts w:ascii="Calibri" w:hAnsi="Calibri"/>
                <w:sz w:val="16"/>
              </w:rPr>
              <w:t>0.448</w:t>
            </w:r>
          </w:p>
        </w:tc>
        <w:tc>
          <w:tcPr>
            <w:tcW w:type="dxa" w:w="1152"/>
            <w:vAlign w:val="top"/>
            <w:tcMar>
              <w:top w:w="80" w:type="dxa"/>
              <w:start w:w="80" w:type="dxa"/>
              <w:bottom w:w="80" w:type="dxa"/>
              <w:end w:w="80" w:type="dxa"/>
            </w:tcMar>
          </w:tcPr>
          <w:p>
            <w:pPr>
              <w:spacing w:after="0"/>
              <w:jc w:val="left"/>
            </w:pPr>
            <w:r>
              <w:rPr>
                <w:rFonts w:ascii="Calibri" w:hAnsi="Calibri"/>
                <w:sz w:val="16"/>
              </w:rPr>
              <w:t>0.353</w:t>
            </w:r>
          </w:p>
        </w:tc>
        <w:tc>
          <w:tcPr>
            <w:tcW w:type="dxa" w:w="1080"/>
            <w:vAlign w:val="top"/>
            <w:tcMar>
              <w:top w:w="80" w:type="dxa"/>
              <w:start w:w="80" w:type="dxa"/>
              <w:bottom w:w="80" w:type="dxa"/>
              <w:end w:w="80" w:type="dxa"/>
            </w:tcMar>
          </w:tcPr>
          <w:p>
            <w:pPr>
              <w:spacing w:after="0"/>
              <w:jc w:val="left"/>
            </w:pPr>
            <w:r>
              <w:rPr>
                <w:rFonts w:ascii="Calibri" w:hAnsi="Calibri"/>
                <w:sz w:val="16"/>
              </w:rPr>
              <w:t>0.983</w:t>
            </w:r>
          </w:p>
        </w:tc>
        <w:tc>
          <w:tcPr>
            <w:tcW w:type="dxa" w:w="1080"/>
            <w:vAlign w:val="top"/>
            <w:tcMar>
              <w:top w:w="80" w:type="dxa"/>
              <w:start w:w="80" w:type="dxa"/>
              <w:bottom w:w="80" w:type="dxa"/>
              <w:end w:w="80" w:type="dxa"/>
            </w:tcMar>
          </w:tcPr>
          <w:p>
            <w:pPr>
              <w:spacing w:after="0"/>
              <w:jc w:val="left"/>
            </w:pPr>
            <w:r>
              <w:rPr>
                <w:rFonts w:ascii="Calibri" w:hAnsi="Calibri"/>
                <w:sz w:val="16"/>
              </w:rPr>
              <w:t>0.935</w:t>
            </w:r>
          </w:p>
        </w:tc>
        <w:tc>
          <w:tcPr>
            <w:tcW w:type="dxa" w:w="792"/>
            <w:vAlign w:val="top"/>
            <w:tcMar>
              <w:top w:w="80" w:type="dxa"/>
              <w:start w:w="80" w:type="dxa"/>
              <w:bottom w:w="80" w:type="dxa"/>
              <w:end w:w="80" w:type="dxa"/>
            </w:tcMar>
          </w:tcPr>
          <w:p>
            <w:pPr>
              <w:spacing w:after="0"/>
              <w:jc w:val="left"/>
            </w:pPr>
            <w:r>
              <w:rPr>
                <w:rFonts w:ascii="Calibri" w:hAnsi="Calibri"/>
                <w:sz w:val="16"/>
              </w:rPr>
              <w:t>0.136</w:t>
            </w:r>
          </w:p>
        </w:tc>
        <w:tc>
          <w:tcPr>
            <w:tcW w:type="dxa" w:w="792"/>
            <w:vAlign w:val="top"/>
            <w:tcMar>
              <w:top w:w="80" w:type="dxa"/>
              <w:start w:w="80" w:type="dxa"/>
              <w:bottom w:w="80" w:type="dxa"/>
              <w:end w:w="80" w:type="dxa"/>
            </w:tcMar>
          </w:tcPr>
          <w:p>
            <w:pPr>
              <w:spacing w:after="0"/>
              <w:jc w:val="left"/>
            </w:pPr>
            <w:r>
              <w:rPr>
                <w:rFonts w:ascii="Calibri" w:hAnsi="Calibri"/>
                <w:sz w:val="16"/>
              </w:rPr>
              <w:t>1.000</w:t>
            </w:r>
          </w:p>
        </w:tc>
      </w:tr>
      <w:tr>
        <w:tc>
          <w:tcPr>
            <w:tcW w:type="dxa" w:w="2088"/>
            <w:vAlign w:val="top"/>
            <w:tcMar>
              <w:top w:w="80" w:type="dxa"/>
              <w:start w:w="80" w:type="dxa"/>
              <w:bottom w:w="80" w:type="dxa"/>
              <w:end w:w="80" w:type="dxa"/>
            </w:tcMar>
          </w:tcPr>
          <w:p>
            <w:pPr>
              <w:spacing w:after="0"/>
              <w:jc w:val="left"/>
            </w:pPr>
            <w:r>
              <w:rPr>
                <w:rFonts w:ascii="Calibri" w:hAnsi="Calibri"/>
                <w:sz w:val="16"/>
              </w:rPr>
              <w:t>CredEvent TurkRatings</w:t>
            </w:r>
          </w:p>
        </w:tc>
        <w:tc>
          <w:tcPr>
            <w:tcW w:type="dxa" w:w="1080"/>
            <w:vAlign w:val="top"/>
            <w:tcMar>
              <w:top w:w="80" w:type="dxa"/>
              <w:start w:w="80" w:type="dxa"/>
              <w:bottom w:w="80" w:type="dxa"/>
              <w:end w:w="80" w:type="dxa"/>
            </w:tcMar>
          </w:tcPr>
          <w:p>
            <w:pPr>
              <w:spacing w:after="0"/>
              <w:jc w:val="left"/>
            </w:pPr>
            <w:r>
              <w:rPr>
                <w:rFonts w:ascii="Calibri" w:hAnsi="Calibri"/>
                <w:sz w:val="16"/>
              </w:rPr>
              <w:t>T_perc</w:t>
            </w:r>
          </w:p>
        </w:tc>
        <w:tc>
          <w:tcPr>
            <w:tcW w:type="dxa" w:w="648"/>
            <w:vAlign w:val="top"/>
            <w:tcMar>
              <w:top w:w="80" w:type="dxa"/>
              <w:start w:w="80" w:type="dxa"/>
              <w:bottom w:w="80" w:type="dxa"/>
              <w:end w:w="80" w:type="dxa"/>
            </w:tcMar>
          </w:tcPr>
          <w:p>
            <w:pPr>
              <w:spacing w:after="0"/>
              <w:jc w:val="left"/>
            </w:pPr>
            <w:r>
              <w:rPr>
                <w:rFonts w:ascii="Calibri" w:hAnsi="Calibri"/>
                <w:sz w:val="16"/>
              </w:rPr>
              <w:t>200</w:t>
            </w:r>
          </w:p>
        </w:tc>
        <w:tc>
          <w:tcPr>
            <w:tcW w:type="dxa" w:w="1224"/>
            <w:vAlign w:val="top"/>
            <w:tcMar>
              <w:top w:w="80" w:type="dxa"/>
              <w:start w:w="80" w:type="dxa"/>
              <w:bottom w:w="80" w:type="dxa"/>
              <w:end w:w="80" w:type="dxa"/>
            </w:tcMar>
          </w:tcPr>
          <w:p>
            <w:pPr>
              <w:spacing w:after="0"/>
              <w:jc w:val="left"/>
            </w:pPr>
            <w:r>
              <w:rPr>
                <w:rFonts w:ascii="Calibri" w:hAnsi="Calibri"/>
                <w:sz w:val="16"/>
              </w:rPr>
              <w:t>0.931</w:t>
            </w:r>
          </w:p>
        </w:tc>
        <w:tc>
          <w:tcPr>
            <w:tcW w:type="dxa" w:w="1152"/>
            <w:vAlign w:val="top"/>
            <w:tcMar>
              <w:top w:w="80" w:type="dxa"/>
              <w:start w:w="80" w:type="dxa"/>
              <w:bottom w:w="80" w:type="dxa"/>
              <w:end w:w="80" w:type="dxa"/>
            </w:tcMar>
          </w:tcPr>
          <w:p>
            <w:pPr>
              <w:spacing w:after="0"/>
              <w:jc w:val="left"/>
            </w:pPr>
            <w:r>
              <w:rPr>
                <w:rFonts w:ascii="Calibri" w:hAnsi="Calibri"/>
                <w:sz w:val="16"/>
              </w:rPr>
              <w:t>0.991</w:t>
            </w:r>
          </w:p>
        </w:tc>
        <w:tc>
          <w:tcPr>
            <w:tcW w:type="dxa" w:w="1080"/>
            <w:vAlign w:val="top"/>
            <w:tcMar>
              <w:top w:w="80" w:type="dxa"/>
              <w:start w:w="80" w:type="dxa"/>
              <w:bottom w:w="80" w:type="dxa"/>
              <w:end w:w="80" w:type="dxa"/>
            </w:tcMar>
          </w:tcPr>
          <w:p>
            <w:pPr>
              <w:spacing w:after="0"/>
              <w:jc w:val="left"/>
            </w:pPr>
            <w:r>
              <w:rPr>
                <w:rFonts w:ascii="Calibri" w:hAnsi="Calibri"/>
                <w:sz w:val="16"/>
              </w:rPr>
              <w:t>0.476</w:t>
            </w:r>
          </w:p>
        </w:tc>
        <w:tc>
          <w:tcPr>
            <w:tcW w:type="dxa" w:w="1080"/>
            <w:vAlign w:val="top"/>
            <w:tcMar>
              <w:top w:w="80" w:type="dxa"/>
              <w:start w:w="80" w:type="dxa"/>
              <w:bottom w:w="80" w:type="dxa"/>
              <w:end w:w="80" w:type="dxa"/>
            </w:tcMar>
          </w:tcPr>
          <w:p>
            <w:pPr>
              <w:spacing w:after="0"/>
              <w:jc w:val="left"/>
            </w:pPr>
            <w:r>
              <w:rPr>
                <w:rFonts w:ascii="Calibri" w:hAnsi="Calibri"/>
                <w:sz w:val="16"/>
              </w:rPr>
              <w:t>0.437</w:t>
            </w:r>
          </w:p>
        </w:tc>
        <w:tc>
          <w:tcPr>
            <w:tcW w:type="dxa" w:w="792"/>
            <w:vAlign w:val="top"/>
            <w:tcMar>
              <w:top w:w="80" w:type="dxa"/>
              <w:start w:w="80" w:type="dxa"/>
              <w:bottom w:w="80" w:type="dxa"/>
              <w:end w:w="80" w:type="dxa"/>
            </w:tcMar>
          </w:tcPr>
          <w:p>
            <w:pPr>
              <w:spacing w:after="0"/>
              <w:jc w:val="left"/>
            </w:pPr>
            <w:r>
              <w:rPr>
                <w:rFonts w:ascii="Calibri" w:hAnsi="Calibri"/>
                <w:sz w:val="16"/>
              </w:rPr>
              <w:t>0.060</w:t>
            </w:r>
          </w:p>
        </w:tc>
        <w:tc>
          <w:tcPr>
            <w:tcW w:type="dxa" w:w="792"/>
            <w:vAlign w:val="top"/>
            <w:tcMar>
              <w:top w:w="80" w:type="dxa"/>
              <w:start w:w="80" w:type="dxa"/>
              <w:bottom w:w="80" w:type="dxa"/>
              <w:end w:w="80" w:type="dxa"/>
            </w:tcMar>
          </w:tcPr>
          <w:p>
            <w:pPr>
              <w:spacing w:after="0"/>
              <w:jc w:val="left"/>
            </w:pPr>
            <w:r>
              <w:rPr>
                <w:rFonts w:ascii="Calibri" w:hAnsi="Calibri"/>
                <w:sz w:val="16"/>
              </w:rPr>
              <w:t>—</w:t>
            </w:r>
          </w:p>
        </w:tc>
      </w:tr>
      <w:tr>
        <w:tc>
          <w:tcPr>
            <w:tcW w:type="dxa" w:w="2088"/>
            <w:vAlign w:val="top"/>
            <w:tcMar>
              <w:top w:w="80" w:type="dxa"/>
              <w:start w:w="80" w:type="dxa"/>
              <w:bottom w:w="80" w:type="dxa"/>
              <w:end w:w="80" w:type="dxa"/>
            </w:tcMar>
          </w:tcPr>
          <w:p>
            <w:pPr>
              <w:spacing w:after="0"/>
              <w:jc w:val="left"/>
            </w:pPr>
            <w:r>
              <w:rPr>
                <w:rFonts w:ascii="Calibri" w:hAnsi="Calibri"/>
                <w:sz w:val="16"/>
              </w:rPr>
              <w:t>HumAID</w:t>
            </w:r>
          </w:p>
        </w:tc>
        <w:tc>
          <w:tcPr>
            <w:tcW w:type="dxa" w:w="1080"/>
            <w:vAlign w:val="top"/>
            <w:tcMar>
              <w:top w:w="80" w:type="dxa"/>
              <w:start w:w="80" w:type="dxa"/>
              <w:bottom w:w="80" w:type="dxa"/>
              <w:end w:w="80" w:type="dxa"/>
            </w:tcMar>
          </w:tcPr>
          <w:p>
            <w:pPr>
              <w:spacing w:after="0"/>
              <w:jc w:val="left"/>
            </w:pPr>
            <w:r>
              <w:rPr>
                <w:rFonts w:ascii="Calibri" w:hAnsi="Calibri"/>
                <w:sz w:val="16"/>
              </w:rPr>
              <w:t>I</w:t>
            </w:r>
          </w:p>
        </w:tc>
        <w:tc>
          <w:tcPr>
            <w:tcW w:type="dxa" w:w="648"/>
            <w:vAlign w:val="top"/>
            <w:tcMar>
              <w:top w:w="80" w:type="dxa"/>
              <w:start w:w="80" w:type="dxa"/>
              <w:bottom w:w="80" w:type="dxa"/>
              <w:end w:w="80" w:type="dxa"/>
            </w:tcMar>
          </w:tcPr>
          <w:p>
            <w:pPr>
              <w:spacing w:after="0"/>
              <w:jc w:val="left"/>
            </w:pPr>
            <w:r>
              <w:rPr>
                <w:rFonts w:ascii="Calibri" w:hAnsi="Calibri"/>
                <w:sz w:val="16"/>
              </w:rPr>
              <w:t>200</w:t>
            </w:r>
          </w:p>
        </w:tc>
        <w:tc>
          <w:tcPr>
            <w:tcW w:type="dxa" w:w="1224"/>
            <w:vAlign w:val="top"/>
            <w:tcMar>
              <w:top w:w="80" w:type="dxa"/>
              <w:start w:w="80" w:type="dxa"/>
              <w:bottom w:w="80" w:type="dxa"/>
              <w:end w:w="80" w:type="dxa"/>
            </w:tcMar>
          </w:tcPr>
          <w:p>
            <w:pPr>
              <w:spacing w:after="0"/>
              <w:jc w:val="left"/>
            </w:pPr>
            <w:r>
              <w:rPr>
                <w:rFonts w:ascii="Calibri" w:hAnsi="Calibri"/>
                <w:sz w:val="16"/>
              </w:rPr>
              <w:t>0.744</w:t>
            </w:r>
          </w:p>
        </w:tc>
        <w:tc>
          <w:tcPr>
            <w:tcW w:type="dxa" w:w="1152"/>
            <w:vAlign w:val="top"/>
            <w:tcMar>
              <w:top w:w="80" w:type="dxa"/>
              <w:start w:w="80" w:type="dxa"/>
              <w:bottom w:w="80" w:type="dxa"/>
              <w:end w:w="80" w:type="dxa"/>
            </w:tcMar>
          </w:tcPr>
          <w:p>
            <w:pPr>
              <w:spacing w:after="0"/>
              <w:jc w:val="left"/>
            </w:pPr>
            <w:r>
              <w:rPr>
                <w:rFonts w:ascii="Calibri" w:hAnsi="Calibri"/>
                <w:sz w:val="16"/>
              </w:rPr>
              <w:t>0.837</w:t>
            </w:r>
          </w:p>
        </w:tc>
        <w:tc>
          <w:tcPr>
            <w:tcW w:type="dxa" w:w="1080"/>
            <w:vAlign w:val="top"/>
            <w:tcMar>
              <w:top w:w="80" w:type="dxa"/>
              <w:start w:w="80" w:type="dxa"/>
              <w:bottom w:w="80" w:type="dxa"/>
              <w:end w:w="80" w:type="dxa"/>
            </w:tcMar>
          </w:tcPr>
          <w:p>
            <w:pPr>
              <w:spacing w:after="0"/>
              <w:jc w:val="left"/>
            </w:pPr>
            <w:r>
              <w:rPr>
                <w:rFonts w:ascii="Calibri" w:hAnsi="Calibri"/>
                <w:sz w:val="16"/>
              </w:rPr>
              <w:t>0.320</w:t>
            </w:r>
          </w:p>
        </w:tc>
        <w:tc>
          <w:tcPr>
            <w:tcW w:type="dxa" w:w="1080"/>
            <w:vAlign w:val="top"/>
            <w:tcMar>
              <w:top w:w="80" w:type="dxa"/>
              <w:start w:w="80" w:type="dxa"/>
              <w:bottom w:w="80" w:type="dxa"/>
              <w:end w:w="80" w:type="dxa"/>
            </w:tcMar>
          </w:tcPr>
          <w:p>
            <w:pPr>
              <w:spacing w:after="0"/>
              <w:jc w:val="left"/>
            </w:pPr>
            <w:r>
              <w:rPr>
                <w:rFonts w:ascii="Calibri" w:hAnsi="Calibri"/>
                <w:sz w:val="16"/>
              </w:rPr>
              <w:t>0.277</w:t>
            </w:r>
          </w:p>
        </w:tc>
        <w:tc>
          <w:tcPr>
            <w:tcW w:type="dxa" w:w="792"/>
            <w:vAlign w:val="top"/>
            <w:tcMar>
              <w:top w:w="80" w:type="dxa"/>
              <w:start w:w="80" w:type="dxa"/>
              <w:bottom w:w="80" w:type="dxa"/>
              <w:end w:w="80" w:type="dxa"/>
            </w:tcMar>
          </w:tcPr>
          <w:p>
            <w:pPr>
              <w:spacing w:after="0"/>
              <w:jc w:val="left"/>
            </w:pPr>
            <w:r>
              <w:rPr>
                <w:rFonts w:ascii="Calibri" w:hAnsi="Calibri"/>
                <w:sz w:val="16"/>
              </w:rPr>
              <w:t>0.200</w:t>
            </w:r>
          </w:p>
        </w:tc>
        <w:tc>
          <w:tcPr>
            <w:tcW w:type="dxa" w:w="792"/>
            <w:vAlign w:val="top"/>
            <w:tcMar>
              <w:top w:w="80" w:type="dxa"/>
              <w:start w:w="80" w:type="dxa"/>
              <w:bottom w:w="80" w:type="dxa"/>
              <w:end w:w="80" w:type="dxa"/>
            </w:tcMar>
          </w:tcPr>
          <w:p>
            <w:pPr>
              <w:spacing w:after="0"/>
              <w:jc w:val="left"/>
            </w:pPr>
            <w:r>
              <w:rPr>
                <w:rFonts w:ascii="Calibri" w:hAnsi="Calibri"/>
                <w:sz w:val="16"/>
              </w:rPr>
              <w:t>0.679</w:t>
            </w:r>
          </w:p>
        </w:tc>
      </w:tr>
    </w:tbl>
    <w:p>
      <w:pPr>
        <w:spacing w:after="240"/>
        <w:jc w:val="center"/>
      </w:pPr>
      <w:r>
        <w:rPr>
          <w:rFonts w:ascii="Calibri" w:hAnsi="Calibri"/>
          <w:b/>
        </w:rPr>
        <w:t xml:space="preserve">Table 2: </w:t>
      </w:r>
      <w:r>
        <w:rPr>
          <w:rFonts w:ascii="Calibri" w:hAnsi="Calibri"/>
        </w:rPr>
        <w:t>Validation metrics by dataset.</w:t>
      </w:r>
    </w:p>
    <w:p>
      <w:pPr>
        <w:spacing w:after="120"/>
        <w:jc w:val="both"/>
      </w:pPr>
      <w:r>
        <w:rPr>
          <w:rFonts w:ascii="Calibri" w:hAnsi="Calibri"/>
        </w:rPr>
        <w:t>The LIAR result suggests that the truth-probability architecture captures a large portion of the ordering used by professional fact-checkers. The model is not merely separating true from false cases. It preserves the ordinal structure of a six-category fact-checking scale with near-perfect monotonic agreement.</w:t>
      </w:r>
    </w:p>
    <w:p>
      <w:pPr>
        <w:spacing w:after="120"/>
        <w:jc w:val="both"/>
      </w:pPr>
      <w:r>
        <w:rPr>
          <w:rFonts w:ascii="Calibri" w:hAnsi="Calibri"/>
        </w:rPr>
        <w:t>This supports the framework's decision to compute T_abs from source credibility, statement properties, independent corroboration, established-knowledge consistency, and physical or empirical evidence. In particular, the result indicates that the K/L/M evidence layer is essential. Truth-probability cannot be computed reliably from semantic plausibility alone; it requires explicit evidence and corroboration variables.</w:t>
      </w:r>
    </w:p>
    <w:p>
      <w:pPr>
        <w:pStyle w:val="Titre2"/>
        <w:pageBreakBefore/>
      </w:pPr>
      <w:r>
        <w:rPr>
          <w:rFonts w:ascii="Calibri" w:hAnsi="Calibri"/>
        </w:rPr>
        <w:t>3.2  Performance at the Truth Extremes</w:t>
      </w:r>
    </w:p>
    <w:p>
      <w:pPr>
        <w:spacing w:after="120"/>
        <w:jc w:val="both"/>
      </w:pPr>
      <w:r>
        <w:rPr>
          <w:rFonts w:ascii="Calibri" w:hAnsi="Calibri"/>
        </w:rPr>
        <w:t>The framework performs especially well at the truth extremes. Statements labelled true by PolitiFact have a mean model score of 0.968 against an expected value of 1.000. Statements labelled pants-fire have a mean model score of 0.005 against an expected value of 0.000. Mostly-true statements are placed high, with a model mean of 0.867 against an expected value of 0.750.</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72"/>
        <w:gridCol w:w="1872"/>
        <w:gridCol w:w="1872"/>
        <w:gridCol w:w="1872"/>
        <w:gridCol w:w="1872"/>
      </w:tblGrid>
      <w:tr>
        <w:tc>
          <w:tcPr>
            <w:tcW w:type="dxa" w:w="3168"/>
            <w:vAlign w:val="top"/>
            <w:tcMar>
              <w:top w:w="80" w:type="dxa"/>
              <w:start w:w="80" w:type="dxa"/>
              <w:bottom w:w="80" w:type="dxa"/>
              <w:end w:w="80" w:type="dxa"/>
            </w:tcMar>
            <w:shd w:fill="D9E2F3"/>
          </w:tcPr>
          <w:p>
            <w:pPr>
              <w:spacing w:after="0"/>
              <w:jc w:val="center"/>
            </w:pPr>
            <w:r>
              <w:rPr>
                <w:rFonts w:ascii="Calibri" w:hAnsi="Calibri"/>
                <w:b/>
                <w:sz w:val="18"/>
              </w:rPr>
              <w:t>PolitiFact category</w:t>
            </w:r>
          </w:p>
        </w:tc>
        <w:tc>
          <w:tcPr>
            <w:tcW w:type="dxa" w:w="864"/>
            <w:vAlign w:val="top"/>
            <w:tcMar>
              <w:top w:w="80" w:type="dxa"/>
              <w:start w:w="80" w:type="dxa"/>
              <w:bottom w:w="80" w:type="dxa"/>
              <w:end w:w="80" w:type="dxa"/>
            </w:tcMar>
            <w:shd w:fill="D9E2F3"/>
          </w:tcPr>
          <w:p>
            <w:pPr>
              <w:spacing w:after="0"/>
              <w:jc w:val="center"/>
            </w:pPr>
            <w:r>
              <w:rPr>
                <w:rFonts w:ascii="Calibri" w:hAnsi="Calibri"/>
                <w:b/>
                <w:sz w:val="18"/>
              </w:rPr>
              <w:t>n</w:t>
            </w:r>
          </w:p>
        </w:tc>
        <w:tc>
          <w:tcPr>
            <w:tcW w:type="dxa" w:w="1728"/>
            <w:vAlign w:val="top"/>
            <w:tcMar>
              <w:top w:w="80" w:type="dxa"/>
              <w:start w:w="80" w:type="dxa"/>
              <w:bottom w:w="80" w:type="dxa"/>
              <w:end w:w="80" w:type="dxa"/>
            </w:tcMar>
            <w:shd w:fill="D9E2F3"/>
          </w:tcPr>
          <w:p>
            <w:pPr>
              <w:spacing w:after="0"/>
              <w:jc w:val="center"/>
            </w:pPr>
            <w:r>
              <w:rPr>
                <w:rFonts w:ascii="Calibri" w:hAnsi="Calibri"/>
                <w:b/>
                <w:sz w:val="18"/>
              </w:rPr>
              <w:t>Expected mean</w:t>
            </w:r>
          </w:p>
        </w:tc>
        <w:tc>
          <w:tcPr>
            <w:tcW w:type="dxa" w:w="1728"/>
            <w:vAlign w:val="top"/>
            <w:tcMar>
              <w:top w:w="80" w:type="dxa"/>
              <w:start w:w="80" w:type="dxa"/>
              <w:bottom w:w="80" w:type="dxa"/>
              <w:end w:w="80" w:type="dxa"/>
            </w:tcMar>
            <w:shd w:fill="D9E2F3"/>
          </w:tcPr>
          <w:p>
            <w:pPr>
              <w:spacing w:after="0"/>
              <w:jc w:val="center"/>
            </w:pPr>
            <w:r>
              <w:rPr>
                <w:rFonts w:ascii="Calibri" w:hAnsi="Calibri"/>
                <w:b/>
                <w:sz w:val="18"/>
              </w:rPr>
              <w:t>Model mean</w:t>
            </w:r>
          </w:p>
        </w:tc>
        <w:tc>
          <w:tcPr>
            <w:tcW w:type="dxa" w:w="1152"/>
            <w:vAlign w:val="top"/>
            <w:tcMar>
              <w:top w:w="80" w:type="dxa"/>
              <w:start w:w="80" w:type="dxa"/>
              <w:bottom w:w="80" w:type="dxa"/>
              <w:end w:w="80" w:type="dxa"/>
            </w:tcMar>
            <w:shd w:fill="D9E2F3"/>
          </w:tcPr>
          <w:p>
            <w:pPr>
              <w:spacing w:after="0"/>
              <w:jc w:val="center"/>
            </w:pPr>
            <w:r>
              <w:rPr>
                <w:rFonts w:ascii="Calibri" w:hAnsi="Calibri"/>
                <w:b/>
                <w:sz w:val="18"/>
              </w:rPr>
              <w:t>Gap</w:t>
            </w:r>
          </w:p>
        </w:tc>
      </w:tr>
      <w:tr>
        <w:tc>
          <w:tcPr>
            <w:tcW w:type="dxa" w:w="3168"/>
            <w:vAlign w:val="top"/>
            <w:tcMar>
              <w:top w:w="80" w:type="dxa"/>
              <w:start w:w="80" w:type="dxa"/>
              <w:bottom w:w="80" w:type="dxa"/>
              <w:end w:w="80" w:type="dxa"/>
            </w:tcMar>
          </w:tcPr>
          <w:p>
            <w:pPr>
              <w:spacing w:after="0"/>
              <w:jc w:val="left"/>
            </w:pPr>
            <w:r>
              <w:rPr>
                <w:rFonts w:ascii="Calibri" w:hAnsi="Calibri"/>
                <w:sz w:val="18"/>
              </w:rPr>
              <w:t>pants-fire</w:t>
            </w:r>
          </w:p>
        </w:tc>
        <w:tc>
          <w:tcPr>
            <w:tcW w:type="dxa" w:w="864"/>
            <w:vAlign w:val="top"/>
            <w:tcMar>
              <w:top w:w="80" w:type="dxa"/>
              <w:start w:w="80" w:type="dxa"/>
              <w:bottom w:w="80" w:type="dxa"/>
              <w:end w:w="80" w:type="dxa"/>
            </w:tcMar>
          </w:tcPr>
          <w:p>
            <w:pPr>
              <w:spacing w:after="0"/>
              <w:jc w:val="left"/>
            </w:pPr>
            <w:r>
              <w:rPr>
                <w:rFonts w:ascii="Calibri" w:hAnsi="Calibri"/>
                <w:sz w:val="18"/>
              </w:rPr>
              <w:t>34</w:t>
            </w:r>
          </w:p>
        </w:tc>
        <w:tc>
          <w:tcPr>
            <w:tcW w:type="dxa" w:w="1728"/>
            <w:vAlign w:val="top"/>
            <w:tcMar>
              <w:top w:w="80" w:type="dxa"/>
              <w:start w:w="80" w:type="dxa"/>
              <w:bottom w:w="80" w:type="dxa"/>
              <w:end w:w="80" w:type="dxa"/>
            </w:tcMar>
          </w:tcPr>
          <w:p>
            <w:pPr>
              <w:spacing w:after="0"/>
              <w:jc w:val="left"/>
            </w:pPr>
            <w:r>
              <w:rPr>
                <w:rFonts w:ascii="Calibri" w:hAnsi="Calibri"/>
                <w:sz w:val="18"/>
              </w:rPr>
              <w:t>0.000</w:t>
            </w:r>
          </w:p>
        </w:tc>
        <w:tc>
          <w:tcPr>
            <w:tcW w:type="dxa" w:w="1728"/>
            <w:vAlign w:val="top"/>
            <w:tcMar>
              <w:top w:w="80" w:type="dxa"/>
              <w:start w:w="80" w:type="dxa"/>
              <w:bottom w:w="80" w:type="dxa"/>
              <w:end w:w="80" w:type="dxa"/>
            </w:tcMar>
          </w:tcPr>
          <w:p>
            <w:pPr>
              <w:spacing w:after="0"/>
              <w:jc w:val="left"/>
            </w:pPr>
            <w:r>
              <w:rPr>
                <w:rFonts w:ascii="Calibri" w:hAnsi="Calibri"/>
                <w:sz w:val="18"/>
              </w:rPr>
              <w:t>0.005</w:t>
            </w:r>
          </w:p>
        </w:tc>
        <w:tc>
          <w:tcPr>
            <w:tcW w:type="dxa" w:w="1152"/>
            <w:vAlign w:val="top"/>
            <w:tcMar>
              <w:top w:w="80" w:type="dxa"/>
              <w:start w:w="80" w:type="dxa"/>
              <w:bottom w:w="80" w:type="dxa"/>
              <w:end w:w="80" w:type="dxa"/>
            </w:tcMar>
          </w:tcPr>
          <w:p>
            <w:pPr>
              <w:spacing w:after="0"/>
              <w:jc w:val="left"/>
            </w:pPr>
            <w:r>
              <w:rPr>
                <w:rFonts w:ascii="Calibri" w:hAnsi="Calibri"/>
                <w:sz w:val="18"/>
              </w:rPr>
              <w:t>+0.005</w:t>
            </w:r>
          </w:p>
        </w:tc>
      </w:tr>
      <w:tr>
        <w:tc>
          <w:tcPr>
            <w:tcW w:type="dxa" w:w="3168"/>
            <w:vAlign w:val="top"/>
            <w:tcMar>
              <w:top w:w="80" w:type="dxa"/>
              <w:start w:w="80" w:type="dxa"/>
              <w:bottom w:w="80" w:type="dxa"/>
              <w:end w:w="80" w:type="dxa"/>
            </w:tcMar>
          </w:tcPr>
          <w:p>
            <w:pPr>
              <w:spacing w:after="0"/>
              <w:jc w:val="left"/>
            </w:pPr>
            <w:r>
              <w:rPr>
                <w:rFonts w:ascii="Calibri" w:hAnsi="Calibri"/>
                <w:sz w:val="18"/>
              </w:rPr>
              <w:t>false</w:t>
            </w:r>
          </w:p>
        </w:tc>
        <w:tc>
          <w:tcPr>
            <w:tcW w:type="dxa" w:w="864"/>
            <w:vAlign w:val="top"/>
            <w:tcMar>
              <w:top w:w="80" w:type="dxa"/>
              <w:start w:w="80" w:type="dxa"/>
              <w:bottom w:w="80" w:type="dxa"/>
              <w:end w:w="80" w:type="dxa"/>
            </w:tcMar>
          </w:tcPr>
          <w:p>
            <w:pPr>
              <w:spacing w:after="0"/>
              <w:jc w:val="left"/>
            </w:pPr>
            <w:r>
              <w:rPr>
                <w:rFonts w:ascii="Calibri" w:hAnsi="Calibri"/>
                <w:sz w:val="18"/>
              </w:rPr>
              <w:t>34</w:t>
            </w:r>
          </w:p>
        </w:tc>
        <w:tc>
          <w:tcPr>
            <w:tcW w:type="dxa" w:w="1728"/>
            <w:vAlign w:val="top"/>
            <w:tcMar>
              <w:top w:w="80" w:type="dxa"/>
              <w:start w:w="80" w:type="dxa"/>
              <w:bottom w:w="80" w:type="dxa"/>
              <w:end w:w="80" w:type="dxa"/>
            </w:tcMar>
          </w:tcPr>
          <w:p>
            <w:pPr>
              <w:spacing w:after="0"/>
              <w:jc w:val="left"/>
            </w:pPr>
            <w:r>
              <w:rPr>
                <w:rFonts w:ascii="Calibri" w:hAnsi="Calibri"/>
                <w:sz w:val="18"/>
              </w:rPr>
              <w:t>0.150</w:t>
            </w:r>
          </w:p>
        </w:tc>
        <w:tc>
          <w:tcPr>
            <w:tcW w:type="dxa" w:w="1728"/>
            <w:vAlign w:val="top"/>
            <w:tcMar>
              <w:top w:w="80" w:type="dxa"/>
              <w:start w:w="80" w:type="dxa"/>
              <w:bottom w:w="80" w:type="dxa"/>
              <w:end w:w="80" w:type="dxa"/>
            </w:tcMar>
          </w:tcPr>
          <w:p>
            <w:pPr>
              <w:spacing w:after="0"/>
              <w:jc w:val="left"/>
            </w:pPr>
            <w:r>
              <w:rPr>
                <w:rFonts w:ascii="Calibri" w:hAnsi="Calibri"/>
                <w:sz w:val="18"/>
              </w:rPr>
              <w:t>0.019</w:t>
            </w:r>
          </w:p>
        </w:tc>
        <w:tc>
          <w:tcPr>
            <w:tcW w:type="dxa" w:w="1152"/>
            <w:vAlign w:val="top"/>
            <w:tcMar>
              <w:top w:w="80" w:type="dxa"/>
              <w:start w:w="80" w:type="dxa"/>
              <w:bottom w:w="80" w:type="dxa"/>
              <w:end w:w="80" w:type="dxa"/>
            </w:tcMar>
          </w:tcPr>
          <w:p>
            <w:pPr>
              <w:spacing w:after="0"/>
              <w:jc w:val="left"/>
            </w:pPr>
            <w:r>
              <w:rPr>
                <w:rFonts w:ascii="Calibri" w:hAnsi="Calibri"/>
                <w:sz w:val="18"/>
              </w:rPr>
              <w:t>−0.131</w:t>
            </w:r>
          </w:p>
        </w:tc>
      </w:tr>
      <w:tr>
        <w:tc>
          <w:tcPr>
            <w:tcW w:type="dxa" w:w="3168"/>
            <w:vAlign w:val="top"/>
            <w:tcMar>
              <w:top w:w="80" w:type="dxa"/>
              <w:start w:w="80" w:type="dxa"/>
              <w:bottom w:w="80" w:type="dxa"/>
              <w:end w:w="80" w:type="dxa"/>
            </w:tcMar>
          </w:tcPr>
          <w:p>
            <w:pPr>
              <w:spacing w:after="0"/>
              <w:jc w:val="left"/>
            </w:pPr>
            <w:r>
              <w:rPr>
                <w:rFonts w:ascii="Calibri" w:hAnsi="Calibri"/>
                <w:sz w:val="18"/>
              </w:rPr>
              <w:t>barely-true</w:t>
            </w:r>
          </w:p>
        </w:tc>
        <w:tc>
          <w:tcPr>
            <w:tcW w:type="dxa" w:w="864"/>
            <w:vAlign w:val="top"/>
            <w:tcMar>
              <w:top w:w="80" w:type="dxa"/>
              <w:start w:w="80" w:type="dxa"/>
              <w:bottom w:w="80" w:type="dxa"/>
              <w:end w:w="80" w:type="dxa"/>
            </w:tcMar>
          </w:tcPr>
          <w:p>
            <w:pPr>
              <w:spacing w:after="0"/>
              <w:jc w:val="left"/>
            </w:pPr>
            <w:r>
              <w:rPr>
                <w:rFonts w:ascii="Calibri" w:hAnsi="Calibri"/>
                <w:sz w:val="18"/>
              </w:rPr>
              <w:t>34</w:t>
            </w:r>
          </w:p>
        </w:tc>
        <w:tc>
          <w:tcPr>
            <w:tcW w:type="dxa" w:w="1728"/>
            <w:vAlign w:val="top"/>
            <w:tcMar>
              <w:top w:w="80" w:type="dxa"/>
              <w:start w:w="80" w:type="dxa"/>
              <w:bottom w:w="80" w:type="dxa"/>
              <w:end w:w="80" w:type="dxa"/>
            </w:tcMar>
          </w:tcPr>
          <w:p>
            <w:pPr>
              <w:spacing w:after="0"/>
              <w:jc w:val="left"/>
            </w:pPr>
            <w:r>
              <w:rPr>
                <w:rFonts w:ascii="Calibri" w:hAnsi="Calibri"/>
                <w:sz w:val="18"/>
              </w:rPr>
              <w:t>0.350</w:t>
            </w:r>
          </w:p>
        </w:tc>
        <w:tc>
          <w:tcPr>
            <w:tcW w:type="dxa" w:w="1728"/>
            <w:vAlign w:val="top"/>
            <w:tcMar>
              <w:top w:w="80" w:type="dxa"/>
              <w:start w:w="80" w:type="dxa"/>
              <w:bottom w:w="80" w:type="dxa"/>
              <w:end w:w="80" w:type="dxa"/>
            </w:tcMar>
          </w:tcPr>
          <w:p>
            <w:pPr>
              <w:spacing w:after="0"/>
              <w:jc w:val="left"/>
            </w:pPr>
            <w:r>
              <w:rPr>
                <w:rFonts w:ascii="Calibri" w:hAnsi="Calibri"/>
                <w:sz w:val="18"/>
              </w:rPr>
              <w:t>0.054</w:t>
            </w:r>
          </w:p>
        </w:tc>
        <w:tc>
          <w:tcPr>
            <w:tcW w:type="dxa" w:w="1152"/>
            <w:vAlign w:val="top"/>
            <w:tcMar>
              <w:top w:w="80" w:type="dxa"/>
              <w:start w:w="80" w:type="dxa"/>
              <w:bottom w:w="80" w:type="dxa"/>
              <w:end w:w="80" w:type="dxa"/>
            </w:tcMar>
          </w:tcPr>
          <w:p>
            <w:pPr>
              <w:spacing w:after="0"/>
              <w:jc w:val="left"/>
            </w:pPr>
            <w:r>
              <w:rPr>
                <w:rFonts w:ascii="Calibri" w:hAnsi="Calibri"/>
                <w:sz w:val="18"/>
              </w:rPr>
              <w:t>−0.296</w:t>
            </w:r>
          </w:p>
        </w:tc>
      </w:tr>
      <w:tr>
        <w:tc>
          <w:tcPr>
            <w:tcW w:type="dxa" w:w="3168"/>
            <w:vAlign w:val="top"/>
            <w:tcMar>
              <w:top w:w="80" w:type="dxa"/>
              <w:start w:w="80" w:type="dxa"/>
              <w:bottom w:w="80" w:type="dxa"/>
              <w:end w:w="80" w:type="dxa"/>
            </w:tcMar>
          </w:tcPr>
          <w:p>
            <w:pPr>
              <w:spacing w:after="0"/>
              <w:jc w:val="left"/>
            </w:pPr>
            <w:r>
              <w:rPr>
                <w:rFonts w:ascii="Calibri" w:hAnsi="Calibri"/>
                <w:sz w:val="18"/>
              </w:rPr>
              <w:t>half-true</w:t>
            </w:r>
          </w:p>
        </w:tc>
        <w:tc>
          <w:tcPr>
            <w:tcW w:type="dxa" w:w="864"/>
            <w:vAlign w:val="top"/>
            <w:tcMar>
              <w:top w:w="80" w:type="dxa"/>
              <w:start w:w="80" w:type="dxa"/>
              <w:bottom w:w="80" w:type="dxa"/>
              <w:end w:w="80" w:type="dxa"/>
            </w:tcMar>
          </w:tcPr>
          <w:p>
            <w:pPr>
              <w:spacing w:after="0"/>
              <w:jc w:val="left"/>
            </w:pPr>
            <w:r>
              <w:rPr>
                <w:rFonts w:ascii="Calibri" w:hAnsi="Calibri"/>
                <w:sz w:val="18"/>
              </w:rPr>
              <w:t>34</w:t>
            </w:r>
          </w:p>
        </w:tc>
        <w:tc>
          <w:tcPr>
            <w:tcW w:type="dxa" w:w="1728"/>
            <w:vAlign w:val="top"/>
            <w:tcMar>
              <w:top w:w="80" w:type="dxa"/>
              <w:start w:w="80" w:type="dxa"/>
              <w:bottom w:w="80" w:type="dxa"/>
              <w:end w:w="80" w:type="dxa"/>
            </w:tcMar>
          </w:tcPr>
          <w:p>
            <w:pPr>
              <w:spacing w:after="0"/>
              <w:jc w:val="left"/>
            </w:pPr>
            <w:r>
              <w:rPr>
                <w:rFonts w:ascii="Calibri" w:hAnsi="Calibri"/>
                <w:sz w:val="18"/>
              </w:rPr>
              <w:t>0.500</w:t>
            </w:r>
          </w:p>
        </w:tc>
        <w:tc>
          <w:tcPr>
            <w:tcW w:type="dxa" w:w="1728"/>
            <w:vAlign w:val="top"/>
            <w:tcMar>
              <w:top w:w="80" w:type="dxa"/>
              <w:start w:w="80" w:type="dxa"/>
              <w:bottom w:w="80" w:type="dxa"/>
              <w:end w:w="80" w:type="dxa"/>
            </w:tcMar>
          </w:tcPr>
          <w:p>
            <w:pPr>
              <w:spacing w:after="0"/>
              <w:jc w:val="left"/>
            </w:pPr>
            <w:r>
              <w:rPr>
                <w:rFonts w:ascii="Calibri" w:hAnsi="Calibri"/>
                <w:sz w:val="18"/>
              </w:rPr>
              <w:t>0.275</w:t>
            </w:r>
          </w:p>
        </w:tc>
        <w:tc>
          <w:tcPr>
            <w:tcW w:type="dxa" w:w="1152"/>
            <w:vAlign w:val="top"/>
            <w:tcMar>
              <w:top w:w="80" w:type="dxa"/>
              <w:start w:w="80" w:type="dxa"/>
              <w:bottom w:w="80" w:type="dxa"/>
              <w:end w:w="80" w:type="dxa"/>
            </w:tcMar>
          </w:tcPr>
          <w:p>
            <w:pPr>
              <w:spacing w:after="0"/>
              <w:jc w:val="left"/>
            </w:pPr>
            <w:r>
              <w:rPr>
                <w:rFonts w:ascii="Calibri" w:hAnsi="Calibri"/>
                <w:sz w:val="18"/>
              </w:rPr>
              <w:t>−0.225</w:t>
            </w:r>
          </w:p>
        </w:tc>
      </w:tr>
      <w:tr>
        <w:tc>
          <w:tcPr>
            <w:tcW w:type="dxa" w:w="3168"/>
            <w:vAlign w:val="top"/>
            <w:tcMar>
              <w:top w:w="80" w:type="dxa"/>
              <w:start w:w="80" w:type="dxa"/>
              <w:bottom w:w="80" w:type="dxa"/>
              <w:end w:w="80" w:type="dxa"/>
            </w:tcMar>
          </w:tcPr>
          <w:p>
            <w:pPr>
              <w:spacing w:after="0"/>
              <w:jc w:val="left"/>
            </w:pPr>
            <w:r>
              <w:rPr>
                <w:rFonts w:ascii="Calibri" w:hAnsi="Calibri"/>
                <w:sz w:val="18"/>
              </w:rPr>
              <w:t>mostly-true</w:t>
            </w:r>
          </w:p>
        </w:tc>
        <w:tc>
          <w:tcPr>
            <w:tcW w:type="dxa" w:w="864"/>
            <w:vAlign w:val="top"/>
            <w:tcMar>
              <w:top w:w="80" w:type="dxa"/>
              <w:start w:w="80" w:type="dxa"/>
              <w:bottom w:w="80" w:type="dxa"/>
              <w:end w:w="80" w:type="dxa"/>
            </w:tcMar>
          </w:tcPr>
          <w:p>
            <w:pPr>
              <w:spacing w:after="0"/>
              <w:jc w:val="left"/>
            </w:pPr>
            <w:r>
              <w:rPr>
                <w:rFonts w:ascii="Calibri" w:hAnsi="Calibri"/>
                <w:sz w:val="18"/>
              </w:rPr>
              <w:t>34</w:t>
            </w:r>
          </w:p>
        </w:tc>
        <w:tc>
          <w:tcPr>
            <w:tcW w:type="dxa" w:w="1728"/>
            <w:vAlign w:val="top"/>
            <w:tcMar>
              <w:top w:w="80" w:type="dxa"/>
              <w:start w:w="80" w:type="dxa"/>
              <w:bottom w:w="80" w:type="dxa"/>
              <w:end w:w="80" w:type="dxa"/>
            </w:tcMar>
          </w:tcPr>
          <w:p>
            <w:pPr>
              <w:spacing w:after="0"/>
              <w:jc w:val="left"/>
            </w:pPr>
            <w:r>
              <w:rPr>
                <w:rFonts w:ascii="Calibri" w:hAnsi="Calibri"/>
                <w:sz w:val="18"/>
              </w:rPr>
              <w:t>0.750</w:t>
            </w:r>
          </w:p>
        </w:tc>
        <w:tc>
          <w:tcPr>
            <w:tcW w:type="dxa" w:w="1728"/>
            <w:vAlign w:val="top"/>
            <w:tcMar>
              <w:top w:w="80" w:type="dxa"/>
              <w:start w:w="80" w:type="dxa"/>
              <w:bottom w:w="80" w:type="dxa"/>
              <w:end w:w="80" w:type="dxa"/>
            </w:tcMar>
          </w:tcPr>
          <w:p>
            <w:pPr>
              <w:spacing w:after="0"/>
              <w:jc w:val="left"/>
            </w:pPr>
            <w:r>
              <w:rPr>
                <w:rFonts w:ascii="Calibri" w:hAnsi="Calibri"/>
                <w:sz w:val="18"/>
              </w:rPr>
              <w:t>0.867</w:t>
            </w:r>
          </w:p>
        </w:tc>
        <w:tc>
          <w:tcPr>
            <w:tcW w:type="dxa" w:w="1152"/>
            <w:vAlign w:val="top"/>
            <w:tcMar>
              <w:top w:w="80" w:type="dxa"/>
              <w:start w:w="80" w:type="dxa"/>
              <w:bottom w:w="80" w:type="dxa"/>
              <w:end w:w="80" w:type="dxa"/>
            </w:tcMar>
          </w:tcPr>
          <w:p>
            <w:pPr>
              <w:spacing w:after="0"/>
              <w:jc w:val="left"/>
            </w:pPr>
            <w:r>
              <w:rPr>
                <w:rFonts w:ascii="Calibri" w:hAnsi="Calibri"/>
                <w:sz w:val="18"/>
              </w:rPr>
              <w:t>+0.117</w:t>
            </w:r>
          </w:p>
        </w:tc>
      </w:tr>
      <w:tr>
        <w:tc>
          <w:tcPr>
            <w:tcW w:type="dxa" w:w="3168"/>
            <w:vAlign w:val="top"/>
            <w:tcMar>
              <w:top w:w="80" w:type="dxa"/>
              <w:start w:w="80" w:type="dxa"/>
              <w:bottom w:w="80" w:type="dxa"/>
              <w:end w:w="80" w:type="dxa"/>
            </w:tcMar>
          </w:tcPr>
          <w:p>
            <w:pPr>
              <w:spacing w:after="0"/>
              <w:jc w:val="left"/>
            </w:pPr>
            <w:r>
              <w:rPr>
                <w:rFonts w:ascii="Calibri" w:hAnsi="Calibri"/>
                <w:sz w:val="18"/>
              </w:rPr>
              <w:t>true</w:t>
            </w:r>
          </w:p>
        </w:tc>
        <w:tc>
          <w:tcPr>
            <w:tcW w:type="dxa" w:w="864"/>
            <w:vAlign w:val="top"/>
            <w:tcMar>
              <w:top w:w="80" w:type="dxa"/>
              <w:start w:w="80" w:type="dxa"/>
              <w:bottom w:w="80" w:type="dxa"/>
              <w:end w:w="80" w:type="dxa"/>
            </w:tcMar>
          </w:tcPr>
          <w:p>
            <w:pPr>
              <w:spacing w:after="0"/>
              <w:jc w:val="left"/>
            </w:pPr>
            <w:r>
              <w:rPr>
                <w:rFonts w:ascii="Calibri" w:hAnsi="Calibri"/>
                <w:sz w:val="18"/>
              </w:rPr>
              <w:t>30</w:t>
            </w:r>
          </w:p>
        </w:tc>
        <w:tc>
          <w:tcPr>
            <w:tcW w:type="dxa" w:w="1728"/>
            <w:vAlign w:val="top"/>
            <w:tcMar>
              <w:top w:w="80" w:type="dxa"/>
              <w:start w:w="80" w:type="dxa"/>
              <w:bottom w:w="80" w:type="dxa"/>
              <w:end w:w="80" w:type="dxa"/>
            </w:tcMar>
          </w:tcPr>
          <w:p>
            <w:pPr>
              <w:spacing w:after="0"/>
              <w:jc w:val="left"/>
            </w:pPr>
            <w:r>
              <w:rPr>
                <w:rFonts w:ascii="Calibri" w:hAnsi="Calibri"/>
                <w:sz w:val="18"/>
              </w:rPr>
              <w:t>1.000</w:t>
            </w:r>
          </w:p>
        </w:tc>
        <w:tc>
          <w:tcPr>
            <w:tcW w:type="dxa" w:w="1728"/>
            <w:vAlign w:val="top"/>
            <w:tcMar>
              <w:top w:w="80" w:type="dxa"/>
              <w:start w:w="80" w:type="dxa"/>
              <w:bottom w:w="80" w:type="dxa"/>
              <w:end w:w="80" w:type="dxa"/>
            </w:tcMar>
          </w:tcPr>
          <w:p>
            <w:pPr>
              <w:spacing w:after="0"/>
              <w:jc w:val="left"/>
            </w:pPr>
            <w:r>
              <w:rPr>
                <w:rFonts w:ascii="Calibri" w:hAnsi="Calibri"/>
                <w:sz w:val="18"/>
              </w:rPr>
              <w:t>0.968</w:t>
            </w:r>
          </w:p>
        </w:tc>
        <w:tc>
          <w:tcPr>
            <w:tcW w:type="dxa" w:w="1152"/>
            <w:vAlign w:val="top"/>
            <w:tcMar>
              <w:top w:w="80" w:type="dxa"/>
              <w:start w:w="80" w:type="dxa"/>
              <w:bottom w:w="80" w:type="dxa"/>
              <w:end w:w="80" w:type="dxa"/>
            </w:tcMar>
          </w:tcPr>
          <w:p>
            <w:pPr>
              <w:spacing w:after="0"/>
              <w:jc w:val="left"/>
            </w:pPr>
            <w:r>
              <w:rPr>
                <w:rFonts w:ascii="Calibri" w:hAnsi="Calibri"/>
                <w:sz w:val="18"/>
              </w:rPr>
              <w:t>−0.032</w:t>
            </w:r>
          </w:p>
        </w:tc>
      </w:tr>
    </w:tbl>
    <w:p>
      <w:pPr>
        <w:spacing w:after="240"/>
        <w:jc w:val="center"/>
      </w:pPr>
      <w:r>
        <w:rPr>
          <w:rFonts w:ascii="Calibri" w:hAnsi="Calibri"/>
          <w:b/>
        </w:rPr>
        <w:t xml:space="preserve">Table 3: </w:t>
      </w:r>
      <w:r>
        <w:rPr>
          <w:rFonts w:ascii="Calibri" w:hAnsi="Calibri"/>
        </w:rPr>
        <w:t>LIAR / PolitiFact category means.</w:t>
      </w:r>
    </w:p>
    <w:p>
      <w:pPr>
        <w:spacing w:after="120"/>
        <w:jc w:val="both"/>
      </w:pPr>
      <w:r>
        <w:rPr>
          <w:rFonts w:ascii="Calibri" w:hAnsi="Calibri"/>
        </w:rPr>
        <w:t>The high AUC follows from this strong separation. Under the binary collapse used in this validation pass, the framework perfectly separates the externally true side from the externally false side. The more interesting result, however, is the Spearman correlation: the model is not only classifying but ranking.</w:t>
      </w:r>
    </w:p>
    <w:p>
      <w:pPr>
        <w:pStyle w:val="Titre2"/>
      </w:pPr>
      <w:r>
        <w:rPr>
          <w:rFonts w:ascii="Calibri" w:hAnsi="Calibri"/>
        </w:rPr>
        <w:t>3.3  Partial Success in HumAID High-Action Categories</w:t>
      </w:r>
    </w:p>
    <w:p>
      <w:pPr>
        <w:spacing w:after="120"/>
        <w:jc w:val="both"/>
      </w:pPr>
      <w:r>
        <w:rPr>
          <w:rFonts w:ascii="Calibri" w:hAnsi="Calibri"/>
        </w:rPr>
        <w:t>The HumAID validation is weak overall, but not uniformly weak. The framework correctly assigns high importance to categories where the statement itself usually contains direct human-impact or action-relevant content. Requests or urgent needs score 0.947 against an expected value of 1.000. Missing or found people score 0.944 against an expected value of 0.950. Displaced people and evacuations score 0.916 against an expected value of 0.900. Caution and advice score 0.818 against an expected value of 0.850.</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72"/>
        <w:gridCol w:w="1872"/>
        <w:gridCol w:w="1872"/>
        <w:gridCol w:w="1872"/>
        <w:gridCol w:w="1872"/>
      </w:tblGrid>
      <w:tr>
        <w:tc>
          <w:tcPr>
            <w:tcW w:type="dxa" w:w="3816"/>
            <w:vAlign w:val="top"/>
            <w:tcMar>
              <w:top w:w="80" w:type="dxa"/>
              <w:start w:w="80" w:type="dxa"/>
              <w:bottom w:w="80" w:type="dxa"/>
              <w:end w:w="80" w:type="dxa"/>
            </w:tcMar>
            <w:shd w:fill="D9E2F3"/>
          </w:tcPr>
          <w:p>
            <w:pPr>
              <w:spacing w:after="0"/>
              <w:jc w:val="center"/>
            </w:pPr>
            <w:r>
              <w:rPr>
                <w:rFonts w:ascii="Calibri" w:hAnsi="Calibri"/>
                <w:b/>
                <w:sz w:val="18"/>
              </w:rPr>
              <w:t>HumAID category</w:t>
            </w:r>
          </w:p>
        </w:tc>
        <w:tc>
          <w:tcPr>
            <w:tcW w:type="dxa" w:w="792"/>
            <w:vAlign w:val="top"/>
            <w:tcMar>
              <w:top w:w="80" w:type="dxa"/>
              <w:start w:w="80" w:type="dxa"/>
              <w:bottom w:w="80" w:type="dxa"/>
              <w:end w:w="80" w:type="dxa"/>
            </w:tcMar>
            <w:shd w:fill="D9E2F3"/>
          </w:tcPr>
          <w:p>
            <w:pPr>
              <w:spacing w:after="0"/>
              <w:jc w:val="center"/>
            </w:pPr>
            <w:r>
              <w:rPr>
                <w:rFonts w:ascii="Calibri" w:hAnsi="Calibri"/>
                <w:b/>
                <w:sz w:val="18"/>
              </w:rPr>
              <w:t>n</w:t>
            </w:r>
          </w:p>
        </w:tc>
        <w:tc>
          <w:tcPr>
            <w:tcW w:type="dxa" w:w="1584"/>
            <w:vAlign w:val="top"/>
            <w:tcMar>
              <w:top w:w="80" w:type="dxa"/>
              <w:start w:w="80" w:type="dxa"/>
              <w:bottom w:w="80" w:type="dxa"/>
              <w:end w:w="80" w:type="dxa"/>
            </w:tcMar>
            <w:shd w:fill="D9E2F3"/>
          </w:tcPr>
          <w:p>
            <w:pPr>
              <w:spacing w:after="0"/>
              <w:jc w:val="center"/>
            </w:pPr>
            <w:r>
              <w:rPr>
                <w:rFonts w:ascii="Calibri" w:hAnsi="Calibri"/>
                <w:b/>
                <w:sz w:val="18"/>
              </w:rPr>
              <w:t>Expected mean</w:t>
            </w:r>
          </w:p>
        </w:tc>
        <w:tc>
          <w:tcPr>
            <w:tcW w:type="dxa" w:w="1584"/>
            <w:vAlign w:val="top"/>
            <w:tcMar>
              <w:top w:w="80" w:type="dxa"/>
              <w:start w:w="80" w:type="dxa"/>
              <w:bottom w:w="80" w:type="dxa"/>
              <w:end w:w="80" w:type="dxa"/>
            </w:tcMar>
            <w:shd w:fill="D9E2F3"/>
          </w:tcPr>
          <w:p>
            <w:pPr>
              <w:spacing w:after="0"/>
              <w:jc w:val="center"/>
            </w:pPr>
            <w:r>
              <w:rPr>
                <w:rFonts w:ascii="Calibri" w:hAnsi="Calibri"/>
                <w:b/>
                <w:sz w:val="18"/>
              </w:rPr>
              <w:t>Model mean</w:t>
            </w:r>
          </w:p>
        </w:tc>
        <w:tc>
          <w:tcPr>
            <w:tcW w:type="dxa" w:w="1007"/>
            <w:vAlign w:val="top"/>
            <w:tcMar>
              <w:top w:w="80" w:type="dxa"/>
              <w:start w:w="80" w:type="dxa"/>
              <w:bottom w:w="80" w:type="dxa"/>
              <w:end w:w="80" w:type="dxa"/>
            </w:tcMar>
            <w:shd w:fill="D9E2F3"/>
          </w:tcPr>
          <w:p>
            <w:pPr>
              <w:spacing w:after="0"/>
              <w:jc w:val="center"/>
            </w:pPr>
            <w:r>
              <w:rPr>
                <w:rFonts w:ascii="Calibri" w:hAnsi="Calibri"/>
                <w:b/>
                <w:sz w:val="18"/>
              </w:rPr>
              <w:t>Gap</w:t>
            </w:r>
          </w:p>
        </w:tc>
      </w:tr>
      <w:tr>
        <w:tc>
          <w:tcPr>
            <w:tcW w:type="dxa" w:w="3816"/>
            <w:vAlign w:val="top"/>
            <w:tcMar>
              <w:top w:w="80" w:type="dxa"/>
              <w:start w:w="80" w:type="dxa"/>
              <w:bottom w:w="80" w:type="dxa"/>
              <w:end w:w="80" w:type="dxa"/>
            </w:tcMar>
          </w:tcPr>
          <w:p>
            <w:r>
              <w:rPr>
                <w:sz w:val="16"/>
              </w:rPr>
              <w:t>requests or urgent needs</w:t>
            </w:r>
          </w:p>
        </w:tc>
        <w:tc>
          <w:tcPr>
            <w:tcW w:type="dxa" w:w="792"/>
            <w:vAlign w:val="top"/>
            <w:tcMar>
              <w:top w:w="80" w:type="dxa"/>
              <w:start w:w="80" w:type="dxa"/>
              <w:bottom w:w="80" w:type="dxa"/>
              <w:end w:w="80" w:type="dxa"/>
            </w:tcMar>
          </w:tcPr>
          <w:p>
            <w:pPr>
              <w:spacing w:after="0"/>
              <w:jc w:val="left"/>
            </w:pPr>
            <w:r>
              <w:rPr>
                <w:rFonts w:ascii="Calibri" w:hAnsi="Calibri"/>
                <w:sz w:val="18"/>
              </w:rPr>
              <w:t>20</w:t>
            </w:r>
          </w:p>
        </w:tc>
        <w:tc>
          <w:tcPr>
            <w:tcW w:type="dxa" w:w="1584"/>
            <w:vAlign w:val="top"/>
            <w:tcMar>
              <w:top w:w="80" w:type="dxa"/>
              <w:start w:w="80" w:type="dxa"/>
              <w:bottom w:w="80" w:type="dxa"/>
              <w:end w:w="80" w:type="dxa"/>
            </w:tcMar>
          </w:tcPr>
          <w:p>
            <w:pPr>
              <w:spacing w:after="0"/>
              <w:jc w:val="left"/>
            </w:pPr>
            <w:r>
              <w:rPr>
                <w:rFonts w:ascii="Calibri" w:hAnsi="Calibri"/>
                <w:sz w:val="18"/>
              </w:rPr>
              <w:t>1.000</w:t>
            </w:r>
          </w:p>
        </w:tc>
        <w:tc>
          <w:tcPr>
            <w:tcW w:type="dxa" w:w="1584"/>
            <w:vAlign w:val="top"/>
            <w:tcMar>
              <w:top w:w="80" w:type="dxa"/>
              <w:start w:w="80" w:type="dxa"/>
              <w:bottom w:w="80" w:type="dxa"/>
              <w:end w:w="80" w:type="dxa"/>
            </w:tcMar>
          </w:tcPr>
          <w:p>
            <w:pPr>
              <w:spacing w:after="0"/>
              <w:jc w:val="left"/>
            </w:pPr>
            <w:r>
              <w:rPr>
                <w:rFonts w:ascii="Calibri" w:hAnsi="Calibri"/>
                <w:sz w:val="18"/>
              </w:rPr>
              <w:t>0.947</w:t>
            </w:r>
          </w:p>
        </w:tc>
        <w:tc>
          <w:tcPr>
            <w:tcW w:type="dxa" w:w="1007"/>
            <w:vAlign w:val="top"/>
            <w:tcMar>
              <w:top w:w="80" w:type="dxa"/>
              <w:start w:w="80" w:type="dxa"/>
              <w:bottom w:w="80" w:type="dxa"/>
              <w:end w:w="80" w:type="dxa"/>
            </w:tcMar>
          </w:tcPr>
          <w:p>
            <w:pPr>
              <w:spacing w:after="0"/>
              <w:jc w:val="left"/>
            </w:pPr>
            <w:r>
              <w:rPr>
                <w:rFonts w:ascii="Calibri" w:hAnsi="Calibri"/>
                <w:sz w:val="18"/>
              </w:rPr>
              <w:t>−0.053</w:t>
            </w:r>
          </w:p>
        </w:tc>
      </w:tr>
      <w:tr>
        <w:tc>
          <w:tcPr>
            <w:tcW w:type="dxa" w:w="3816"/>
            <w:vAlign w:val="top"/>
            <w:tcMar>
              <w:top w:w="80" w:type="dxa"/>
              <w:start w:w="80" w:type="dxa"/>
              <w:bottom w:w="80" w:type="dxa"/>
              <w:end w:w="80" w:type="dxa"/>
            </w:tcMar>
          </w:tcPr>
          <w:p>
            <w:r>
              <w:rPr>
                <w:sz w:val="16"/>
              </w:rPr>
              <w:t>missing or found people</w:t>
            </w:r>
          </w:p>
        </w:tc>
        <w:tc>
          <w:tcPr>
            <w:tcW w:type="dxa" w:w="792"/>
            <w:vAlign w:val="top"/>
            <w:tcMar>
              <w:top w:w="80" w:type="dxa"/>
              <w:start w:w="80" w:type="dxa"/>
              <w:bottom w:w="80" w:type="dxa"/>
              <w:end w:w="80" w:type="dxa"/>
            </w:tcMar>
          </w:tcPr>
          <w:p>
            <w:pPr>
              <w:spacing w:after="0"/>
              <w:jc w:val="left"/>
            </w:pPr>
            <w:r>
              <w:rPr>
                <w:rFonts w:ascii="Calibri" w:hAnsi="Calibri"/>
                <w:sz w:val="18"/>
              </w:rPr>
              <w:t>20</w:t>
            </w:r>
          </w:p>
        </w:tc>
        <w:tc>
          <w:tcPr>
            <w:tcW w:type="dxa" w:w="1584"/>
            <w:vAlign w:val="top"/>
            <w:tcMar>
              <w:top w:w="80" w:type="dxa"/>
              <w:start w:w="80" w:type="dxa"/>
              <w:bottom w:w="80" w:type="dxa"/>
              <w:end w:w="80" w:type="dxa"/>
            </w:tcMar>
          </w:tcPr>
          <w:p>
            <w:pPr>
              <w:spacing w:after="0"/>
              <w:jc w:val="left"/>
            </w:pPr>
            <w:r>
              <w:rPr>
                <w:rFonts w:ascii="Calibri" w:hAnsi="Calibri"/>
                <w:sz w:val="18"/>
              </w:rPr>
              <w:t>0.950</w:t>
            </w:r>
          </w:p>
        </w:tc>
        <w:tc>
          <w:tcPr>
            <w:tcW w:type="dxa" w:w="1584"/>
            <w:vAlign w:val="top"/>
            <w:tcMar>
              <w:top w:w="80" w:type="dxa"/>
              <w:start w:w="80" w:type="dxa"/>
              <w:bottom w:w="80" w:type="dxa"/>
              <w:end w:w="80" w:type="dxa"/>
            </w:tcMar>
          </w:tcPr>
          <w:p>
            <w:pPr>
              <w:spacing w:after="0"/>
              <w:jc w:val="left"/>
            </w:pPr>
            <w:r>
              <w:rPr>
                <w:rFonts w:ascii="Calibri" w:hAnsi="Calibri"/>
                <w:sz w:val="18"/>
              </w:rPr>
              <w:t>0.944</w:t>
            </w:r>
          </w:p>
        </w:tc>
        <w:tc>
          <w:tcPr>
            <w:tcW w:type="dxa" w:w="1007"/>
            <w:vAlign w:val="top"/>
            <w:tcMar>
              <w:top w:w="80" w:type="dxa"/>
              <w:start w:w="80" w:type="dxa"/>
              <w:bottom w:w="80" w:type="dxa"/>
              <w:end w:w="80" w:type="dxa"/>
            </w:tcMar>
          </w:tcPr>
          <w:p>
            <w:pPr>
              <w:spacing w:after="0"/>
              <w:jc w:val="left"/>
            </w:pPr>
            <w:r>
              <w:rPr>
                <w:rFonts w:ascii="Calibri" w:hAnsi="Calibri"/>
                <w:sz w:val="18"/>
              </w:rPr>
              <w:t>−0.006</w:t>
            </w:r>
          </w:p>
        </w:tc>
      </w:tr>
      <w:tr>
        <w:tc>
          <w:tcPr>
            <w:tcW w:type="dxa" w:w="3816"/>
            <w:vAlign w:val="top"/>
            <w:tcMar>
              <w:top w:w="80" w:type="dxa"/>
              <w:start w:w="80" w:type="dxa"/>
              <w:bottom w:w="80" w:type="dxa"/>
              <w:end w:w="80" w:type="dxa"/>
            </w:tcMar>
          </w:tcPr>
          <w:p>
            <w:r>
              <w:rPr>
                <w:sz w:val="16"/>
              </w:rPr>
              <w:t>displaced people and evacuations</w:t>
            </w:r>
          </w:p>
        </w:tc>
        <w:tc>
          <w:tcPr>
            <w:tcW w:type="dxa" w:w="792"/>
            <w:vAlign w:val="top"/>
            <w:tcMar>
              <w:top w:w="80" w:type="dxa"/>
              <w:start w:w="80" w:type="dxa"/>
              <w:bottom w:w="80" w:type="dxa"/>
              <w:end w:w="80" w:type="dxa"/>
            </w:tcMar>
          </w:tcPr>
          <w:p>
            <w:pPr>
              <w:spacing w:after="0"/>
              <w:jc w:val="left"/>
            </w:pPr>
            <w:r>
              <w:rPr>
                <w:rFonts w:ascii="Calibri" w:hAnsi="Calibri"/>
                <w:sz w:val="18"/>
              </w:rPr>
              <w:t>20</w:t>
            </w:r>
          </w:p>
        </w:tc>
        <w:tc>
          <w:tcPr>
            <w:tcW w:type="dxa" w:w="1584"/>
            <w:vAlign w:val="top"/>
            <w:tcMar>
              <w:top w:w="80" w:type="dxa"/>
              <w:start w:w="80" w:type="dxa"/>
              <w:bottom w:w="80" w:type="dxa"/>
              <w:end w:w="80" w:type="dxa"/>
            </w:tcMar>
          </w:tcPr>
          <w:p>
            <w:pPr>
              <w:spacing w:after="0"/>
              <w:jc w:val="left"/>
            </w:pPr>
            <w:r>
              <w:rPr>
                <w:rFonts w:ascii="Calibri" w:hAnsi="Calibri"/>
                <w:sz w:val="18"/>
              </w:rPr>
              <w:t>0.900</w:t>
            </w:r>
          </w:p>
        </w:tc>
        <w:tc>
          <w:tcPr>
            <w:tcW w:type="dxa" w:w="1584"/>
            <w:vAlign w:val="top"/>
            <w:tcMar>
              <w:top w:w="80" w:type="dxa"/>
              <w:start w:w="80" w:type="dxa"/>
              <w:bottom w:w="80" w:type="dxa"/>
              <w:end w:w="80" w:type="dxa"/>
            </w:tcMar>
          </w:tcPr>
          <w:p>
            <w:pPr>
              <w:spacing w:after="0"/>
              <w:jc w:val="left"/>
            </w:pPr>
            <w:r>
              <w:rPr>
                <w:rFonts w:ascii="Calibri" w:hAnsi="Calibri"/>
                <w:sz w:val="18"/>
              </w:rPr>
              <w:t>0.916</w:t>
            </w:r>
          </w:p>
        </w:tc>
        <w:tc>
          <w:tcPr>
            <w:tcW w:type="dxa" w:w="1007"/>
            <w:vAlign w:val="top"/>
            <w:tcMar>
              <w:top w:w="80" w:type="dxa"/>
              <w:start w:w="80" w:type="dxa"/>
              <w:bottom w:w="80" w:type="dxa"/>
              <w:end w:w="80" w:type="dxa"/>
            </w:tcMar>
          </w:tcPr>
          <w:p>
            <w:pPr>
              <w:spacing w:after="0"/>
              <w:jc w:val="left"/>
            </w:pPr>
            <w:r>
              <w:rPr>
                <w:rFonts w:ascii="Calibri" w:hAnsi="Calibri"/>
                <w:sz w:val="18"/>
              </w:rPr>
              <w:t>+0.016</w:t>
            </w:r>
          </w:p>
        </w:tc>
      </w:tr>
      <w:tr>
        <w:tc>
          <w:tcPr>
            <w:tcW w:type="dxa" w:w="3816"/>
            <w:vAlign w:val="top"/>
            <w:tcMar>
              <w:top w:w="80" w:type="dxa"/>
              <w:start w:w="80" w:type="dxa"/>
              <w:bottom w:w="80" w:type="dxa"/>
              <w:end w:w="80" w:type="dxa"/>
            </w:tcMar>
          </w:tcPr>
          <w:p>
            <w:r>
              <w:rPr>
                <w:sz w:val="16"/>
              </w:rPr>
              <w:t>caution and advice</w:t>
            </w:r>
          </w:p>
        </w:tc>
        <w:tc>
          <w:tcPr>
            <w:tcW w:type="dxa" w:w="792"/>
            <w:vAlign w:val="top"/>
            <w:tcMar>
              <w:top w:w="80" w:type="dxa"/>
              <w:start w:w="80" w:type="dxa"/>
              <w:bottom w:w="80" w:type="dxa"/>
              <w:end w:w="80" w:type="dxa"/>
            </w:tcMar>
          </w:tcPr>
          <w:p>
            <w:pPr>
              <w:spacing w:after="0"/>
              <w:jc w:val="left"/>
            </w:pPr>
            <w:r>
              <w:rPr>
                <w:rFonts w:ascii="Calibri" w:hAnsi="Calibri"/>
                <w:sz w:val="18"/>
              </w:rPr>
              <w:t>20</w:t>
            </w:r>
          </w:p>
        </w:tc>
        <w:tc>
          <w:tcPr>
            <w:tcW w:type="dxa" w:w="1584"/>
            <w:vAlign w:val="top"/>
            <w:tcMar>
              <w:top w:w="80" w:type="dxa"/>
              <w:start w:w="80" w:type="dxa"/>
              <w:bottom w:w="80" w:type="dxa"/>
              <w:end w:w="80" w:type="dxa"/>
            </w:tcMar>
          </w:tcPr>
          <w:p>
            <w:pPr>
              <w:spacing w:after="0"/>
              <w:jc w:val="left"/>
            </w:pPr>
            <w:r>
              <w:rPr>
                <w:rFonts w:ascii="Calibri" w:hAnsi="Calibri"/>
                <w:sz w:val="18"/>
              </w:rPr>
              <w:t>0.850</w:t>
            </w:r>
          </w:p>
        </w:tc>
        <w:tc>
          <w:tcPr>
            <w:tcW w:type="dxa" w:w="1584"/>
            <w:vAlign w:val="top"/>
            <w:tcMar>
              <w:top w:w="80" w:type="dxa"/>
              <w:start w:w="80" w:type="dxa"/>
              <w:bottom w:w="80" w:type="dxa"/>
              <w:end w:w="80" w:type="dxa"/>
            </w:tcMar>
          </w:tcPr>
          <w:p>
            <w:pPr>
              <w:spacing w:after="0"/>
              <w:jc w:val="left"/>
            </w:pPr>
            <w:r>
              <w:rPr>
                <w:rFonts w:ascii="Calibri" w:hAnsi="Calibri"/>
                <w:sz w:val="18"/>
              </w:rPr>
              <w:t>0.818</w:t>
            </w:r>
          </w:p>
        </w:tc>
        <w:tc>
          <w:tcPr>
            <w:tcW w:type="dxa" w:w="1007"/>
            <w:vAlign w:val="top"/>
            <w:tcMar>
              <w:top w:w="80" w:type="dxa"/>
              <w:start w:w="80" w:type="dxa"/>
              <w:bottom w:w="80" w:type="dxa"/>
              <w:end w:w="80" w:type="dxa"/>
            </w:tcMar>
          </w:tcPr>
          <w:p>
            <w:pPr>
              <w:spacing w:after="0"/>
              <w:jc w:val="left"/>
            </w:pPr>
            <w:r>
              <w:rPr>
                <w:rFonts w:ascii="Calibri" w:hAnsi="Calibri"/>
                <w:sz w:val="18"/>
              </w:rPr>
              <w:t>−0.032</w:t>
            </w:r>
          </w:p>
        </w:tc>
      </w:tr>
    </w:tbl>
    <w:p>
      <w:pPr>
        <w:spacing w:after="240"/>
        <w:jc w:val="center"/>
      </w:pPr>
      <w:r>
        <w:rPr>
          <w:rFonts w:ascii="Calibri" w:hAnsi="Calibri"/>
          <w:b/>
        </w:rPr>
        <w:t xml:space="preserve">Table 4: </w:t>
      </w:r>
      <w:r>
        <w:rPr>
          <w:rFonts w:ascii="Calibri" w:hAnsi="Calibri"/>
        </w:rPr>
        <w:t>HumAID categories where the importance engine behaves correctly.</w:t>
      </w:r>
    </w:p>
    <w:p>
      <w:pPr>
        <w:spacing w:after="120"/>
        <w:jc w:val="both"/>
      </w:pPr>
      <w:r>
        <w:rPr>
          <w:rFonts w:ascii="Calibri" w:hAnsi="Calibri"/>
        </w:rPr>
        <w:t>This pattern is important because it shows that the importance architecture does not fail globally. It succeeds when the statement itself carries the stakes. The failure appears when the surrounding context carries the stakes but the statement does not.</w:t>
      </w:r>
    </w:p>
    <w:p>
      <w:pPr>
        <w:pStyle w:val="Titre2"/>
      </w:pPr>
      <w:r>
        <w:rPr>
          <w:rFonts w:ascii="Calibri" w:hAnsi="Calibri"/>
        </w:rPr>
        <w:t>3.4  CredEvent: Moderate but Nontrivial Alignment</w:t>
      </w:r>
    </w:p>
    <w:p>
      <w:pPr>
        <w:spacing w:after="120"/>
        <w:jc w:val="both"/>
      </w:pPr>
      <w:r>
        <w:rPr>
          <w:rFonts w:ascii="Calibri" w:hAnsi="Calibri"/>
        </w:rPr>
        <w:t>The CredEvent result is intermediate. T_perc obtains Spearman ρ = 0.476 and Pearson r = 0.437 against crowd credibility ratings, with MAE = 0.060. This is not strong enough to claim close alignment with crowd perception, but it is high enough to suggest that the framework captures a real component of perceived credibility.</w:t>
      </w:r>
    </w:p>
    <w:p>
      <w:pPr>
        <w:spacing w:after="120"/>
        <w:jc w:val="both"/>
      </w:pPr>
      <w:r>
        <w:rPr>
          <w:rFonts w:ascii="Calibri" w:hAnsi="Calibri"/>
        </w:rPr>
        <w:t>The model mean is 0.991 against an expected mean of 0.931, indicating compression near the upper ceiling. Several causes are likely: T_perc is anchored to T_abs, the dataset provides crowd-level rather than receiver-specific targets, and the event-cluster format does not provide enough detail to score delivery variables such as language register, tone, and expression with high variance.</w:t>
      </w:r>
    </w:p>
    <w:p>
      <w:pPr>
        <w:pStyle w:val="Titre1"/>
      </w:pPr>
      <w:r>
        <w:rPr>
          <w:rFonts w:ascii="Calibri" w:hAnsi="Calibri"/>
        </w:rPr>
        <w:t>4  What Failed and Why</w:t>
      </w:r>
    </w:p>
    <w:p>
      <w:pPr>
        <w:pStyle w:val="Titre2"/>
      </w:pPr>
      <w:r>
        <w:rPr>
          <w:rFonts w:ascii="Calibri" w:hAnsi="Calibri"/>
        </w:rPr>
        <w:t>4.1  HumAID Importance Failure: Ambient Stakes vs Statement Relevance</w:t>
      </w:r>
    </w:p>
    <w:p>
      <w:pPr>
        <w:spacing w:after="120"/>
        <w:jc w:val="both"/>
      </w:pPr>
      <w:r>
        <w:rPr>
          <w:rFonts w:ascii="Calibri" w:hAnsi="Calibri"/>
        </w:rPr>
        <w:t>The main failure is structural and concerns the HumAID importance task. The framework systematically over-scores not_humanitarian tweets. The expected mean for not_humanitarian items is 0.080, but the model mean is 0.791, a gap of +0.711. This is the largest systematic error in the validation. Twenty of the fifty-one largest residuals are not_humanitarian tweets, and the five worst residuals all belong to this category.</w:t>
      </w:r>
    </w:p>
    <w:p>
      <w:pPr>
        <w:spacing w:after="120"/>
        <w:jc w:val="both"/>
      </w:pPr>
      <w:r>
        <w:rPr>
          <w:rFonts w:ascii="Calibri" w:hAnsi="Calibri"/>
        </w:rPr>
        <w:t>The worst case is a birthday and food post made during Hurricane Harvey: "Some great chef food made at home. Happy bday to Yuval, Vivi, and Lauren." The expected score is 0.080, but the model assigns I = 0.914. The model is not detecting that the statement is unrelated to the humanitarian stakes of the event.</w:t>
      </w:r>
    </w:p>
    <w:p>
      <w:pPr>
        <w:spacing w:after="120"/>
        <w:jc w:val="both"/>
      </w:pPr>
      <w:r>
        <w:rPr>
          <w:rFonts w:ascii="Calibri" w:hAnsi="Calibri"/>
        </w:rPr>
        <w:t>This reveals a missing distinction in the current importance architecture. The framework distinguishes truth from importance, but it does not yet distinguish ambient contextual stakes from statement-specific relevance to those stakes. In disaster datasets, AD, Y, and Z_eff can become high simply because the post is temporally or socially located inside a crisis. But a statement made during a disaster is not necessarily a disaster-relevant statement.</w:t>
      </w:r>
    </w:p>
    <w:p>
      <w:pPr>
        <w:spacing w:after="120"/>
        <w:jc w:val="both"/>
      </w:pPr>
      <w:r>
        <w:rPr>
          <w:rFonts w:ascii="Calibri" w:hAnsi="Calibri"/>
        </w:rPr>
        <w:t>The same failure appears in weaker form for sympathy_and_support. These tweets have an expected mean of 0.380 but a model mean of 0.750, a gap of +0.370. Sympathy statements are emotionally meaningful, but they are usually not operationally informative. The framework currently treats emotional salience and broad stakes as sufficient for importance, even when actionability is low.</w:t>
      </w:r>
    </w:p>
    <w:p>
      <w:pPr>
        <w:spacing w:after="120"/>
        <w:jc w:val="both"/>
      </w:pPr>
      <w:r>
        <w:rPr>
          <w:rFonts w:ascii="Calibri" w:hAnsi="Calibri"/>
        </w:rPr>
        <w:t>The opposite error appears for infrastructure_and_utility_damage. These items have an expected mean of 0.880 but a model mean of 0.701, a gap of −0.179. Bare factual reports such as a total blackout or infrastructure collapse are highly relevant to humanitarian response, but they may lack strong delivery, action-guidance specificity, or direct personal consequence for the generic receiver. The framework therefore penalizes sparse factual reporting even when the statement is operationally important.</w:t>
      </w:r>
    </w:p>
    <w:p>
      <w:r>
        <w:br w:type="page"/>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60"/>
        <w:gridCol w:w="1560"/>
        <w:gridCol w:w="1560"/>
        <w:gridCol w:w="1560"/>
        <w:gridCol w:w="1560"/>
        <w:gridCol w:w="1560"/>
      </w:tblGrid>
      <w:tr>
        <w:tc>
          <w:tcPr>
            <w:tcW w:type="dxa" w:w="2376"/>
            <w:vAlign w:val="top"/>
            <w:tcMar>
              <w:top w:w="80" w:type="dxa"/>
              <w:start w:w="80" w:type="dxa"/>
              <w:bottom w:w="80" w:type="dxa"/>
              <w:end w:w="80" w:type="dxa"/>
            </w:tcMar>
            <w:shd w:fill="D9E2F3"/>
          </w:tcPr>
          <w:p>
            <w:pPr>
              <w:spacing w:after="0"/>
              <w:jc w:val="center"/>
            </w:pPr>
            <w:r>
              <w:rPr>
                <w:rFonts w:ascii="Calibri" w:hAnsi="Calibri"/>
                <w:b/>
                <w:sz w:val="16"/>
              </w:rPr>
              <w:t>HumAID failure category</w:t>
            </w:r>
          </w:p>
        </w:tc>
        <w:tc>
          <w:tcPr>
            <w:tcW w:type="dxa" w:w="503"/>
            <w:vAlign w:val="top"/>
            <w:tcMar>
              <w:top w:w="80" w:type="dxa"/>
              <w:start w:w="80" w:type="dxa"/>
              <w:bottom w:w="80" w:type="dxa"/>
              <w:end w:w="80" w:type="dxa"/>
            </w:tcMar>
            <w:shd w:fill="D9E2F3"/>
          </w:tcPr>
          <w:p>
            <w:pPr>
              <w:spacing w:after="0"/>
              <w:jc w:val="center"/>
            </w:pPr>
            <w:r>
              <w:rPr>
                <w:rFonts w:ascii="Calibri" w:hAnsi="Calibri"/>
                <w:b/>
                <w:sz w:val="16"/>
              </w:rPr>
              <w:t>n</w:t>
            </w:r>
          </w:p>
        </w:tc>
        <w:tc>
          <w:tcPr>
            <w:tcW w:type="dxa" w:w="1152"/>
            <w:vAlign w:val="top"/>
            <w:tcMar>
              <w:top w:w="80" w:type="dxa"/>
              <w:start w:w="80" w:type="dxa"/>
              <w:bottom w:w="80" w:type="dxa"/>
              <w:end w:w="80" w:type="dxa"/>
            </w:tcMar>
            <w:shd w:fill="D9E2F3"/>
          </w:tcPr>
          <w:p>
            <w:pPr>
              <w:spacing w:after="0"/>
              <w:jc w:val="center"/>
            </w:pPr>
            <w:r>
              <w:rPr>
                <w:rFonts w:ascii="Calibri" w:hAnsi="Calibri"/>
                <w:b/>
                <w:sz w:val="16"/>
              </w:rPr>
              <w:t>Expected mean</w:t>
            </w:r>
          </w:p>
        </w:tc>
        <w:tc>
          <w:tcPr>
            <w:tcW w:type="dxa" w:w="1152"/>
            <w:vAlign w:val="top"/>
            <w:tcMar>
              <w:top w:w="80" w:type="dxa"/>
              <w:start w:w="80" w:type="dxa"/>
              <w:bottom w:w="80" w:type="dxa"/>
              <w:end w:w="80" w:type="dxa"/>
            </w:tcMar>
            <w:shd w:fill="D9E2F3"/>
          </w:tcPr>
          <w:p>
            <w:pPr>
              <w:spacing w:after="0"/>
              <w:jc w:val="center"/>
            </w:pPr>
            <w:r>
              <w:rPr>
                <w:rFonts w:ascii="Calibri" w:hAnsi="Calibri"/>
                <w:b/>
                <w:sz w:val="16"/>
              </w:rPr>
              <w:t>Model mean</w:t>
            </w:r>
          </w:p>
        </w:tc>
        <w:tc>
          <w:tcPr>
            <w:tcW w:type="dxa" w:w="720"/>
            <w:vAlign w:val="top"/>
            <w:tcMar>
              <w:top w:w="80" w:type="dxa"/>
              <w:start w:w="80" w:type="dxa"/>
              <w:bottom w:w="80" w:type="dxa"/>
              <w:end w:w="80" w:type="dxa"/>
            </w:tcMar>
            <w:shd w:fill="D9E2F3"/>
          </w:tcPr>
          <w:p>
            <w:pPr>
              <w:spacing w:after="0"/>
              <w:jc w:val="center"/>
            </w:pPr>
            <w:r>
              <w:rPr>
                <w:rFonts w:ascii="Calibri" w:hAnsi="Calibri"/>
                <w:b/>
                <w:sz w:val="16"/>
              </w:rPr>
              <w:t>Gap</w:t>
            </w:r>
          </w:p>
        </w:tc>
        <w:tc>
          <w:tcPr>
            <w:tcW w:type="dxa" w:w="3744"/>
            <w:vAlign w:val="top"/>
            <w:tcMar>
              <w:top w:w="80" w:type="dxa"/>
              <w:start w:w="80" w:type="dxa"/>
              <w:bottom w:w="80" w:type="dxa"/>
              <w:end w:w="80" w:type="dxa"/>
            </w:tcMar>
            <w:shd w:fill="D9E2F3"/>
          </w:tcPr>
          <w:p>
            <w:pPr>
              <w:spacing w:after="0"/>
              <w:jc w:val="center"/>
            </w:pPr>
            <w:r>
              <w:rPr>
                <w:rFonts w:ascii="Calibri" w:hAnsi="Calibri"/>
                <w:b/>
                <w:sz w:val="16"/>
              </w:rPr>
              <w:t>Diagnosis</w:t>
            </w:r>
          </w:p>
        </w:tc>
      </w:tr>
      <w:tr>
        <w:tc>
          <w:tcPr>
            <w:tcW w:type="dxa" w:w="2376"/>
            <w:vAlign w:val="top"/>
            <w:tcMar>
              <w:top w:w="80" w:type="dxa"/>
              <w:start w:w="80" w:type="dxa"/>
              <w:bottom w:w="80" w:type="dxa"/>
              <w:end w:w="80" w:type="dxa"/>
            </w:tcMar>
          </w:tcPr>
          <w:p>
            <w:r>
              <w:rPr>
                <w:sz w:val="16"/>
              </w:rPr>
              <w:t>not humanitarian</w:t>
            </w:r>
          </w:p>
        </w:tc>
        <w:tc>
          <w:tcPr>
            <w:tcW w:type="dxa" w:w="503"/>
            <w:vAlign w:val="top"/>
            <w:tcMar>
              <w:top w:w="80" w:type="dxa"/>
              <w:start w:w="80" w:type="dxa"/>
              <w:bottom w:w="80" w:type="dxa"/>
              <w:end w:w="80" w:type="dxa"/>
            </w:tcMar>
          </w:tcPr>
          <w:p>
            <w:pPr>
              <w:spacing w:after="0"/>
              <w:jc w:val="left"/>
            </w:pPr>
            <w:r>
              <w:rPr>
                <w:rFonts w:ascii="Calibri" w:hAnsi="Calibri"/>
                <w:sz w:val="16"/>
              </w:rPr>
              <w:t>20</w:t>
            </w:r>
          </w:p>
        </w:tc>
        <w:tc>
          <w:tcPr>
            <w:tcW w:type="dxa" w:w="1152"/>
            <w:vAlign w:val="top"/>
            <w:tcMar>
              <w:top w:w="80" w:type="dxa"/>
              <w:start w:w="80" w:type="dxa"/>
              <w:bottom w:w="80" w:type="dxa"/>
              <w:end w:w="80" w:type="dxa"/>
            </w:tcMar>
          </w:tcPr>
          <w:p>
            <w:pPr>
              <w:spacing w:after="0"/>
              <w:jc w:val="left"/>
            </w:pPr>
            <w:r>
              <w:rPr>
                <w:rFonts w:ascii="Calibri" w:hAnsi="Calibri"/>
                <w:sz w:val="16"/>
              </w:rPr>
              <w:t>0.080</w:t>
            </w:r>
          </w:p>
        </w:tc>
        <w:tc>
          <w:tcPr>
            <w:tcW w:type="dxa" w:w="1152"/>
            <w:vAlign w:val="top"/>
            <w:tcMar>
              <w:top w:w="80" w:type="dxa"/>
              <w:start w:w="80" w:type="dxa"/>
              <w:bottom w:w="80" w:type="dxa"/>
              <w:end w:w="80" w:type="dxa"/>
            </w:tcMar>
          </w:tcPr>
          <w:p>
            <w:pPr>
              <w:spacing w:after="0"/>
              <w:jc w:val="left"/>
            </w:pPr>
            <w:r>
              <w:rPr>
                <w:rFonts w:ascii="Calibri" w:hAnsi="Calibri"/>
                <w:sz w:val="16"/>
              </w:rPr>
              <w:t>0.791</w:t>
            </w:r>
          </w:p>
        </w:tc>
        <w:tc>
          <w:tcPr>
            <w:tcW w:type="dxa" w:w="720"/>
            <w:vAlign w:val="top"/>
            <w:tcMar>
              <w:top w:w="80" w:type="dxa"/>
              <w:start w:w="80" w:type="dxa"/>
              <w:bottom w:w="80" w:type="dxa"/>
              <w:end w:w="80" w:type="dxa"/>
            </w:tcMar>
          </w:tcPr>
          <w:p>
            <w:pPr>
              <w:spacing w:after="0"/>
              <w:jc w:val="left"/>
            </w:pPr>
            <w:r>
              <w:rPr>
                <w:rFonts w:ascii="Calibri" w:hAnsi="Calibri"/>
                <w:sz w:val="16"/>
              </w:rPr>
              <w:t>+0.711</w:t>
            </w:r>
          </w:p>
        </w:tc>
        <w:tc>
          <w:tcPr>
            <w:tcW w:type="dxa" w:w="3744"/>
            <w:vAlign w:val="top"/>
            <w:tcMar>
              <w:top w:w="80" w:type="dxa"/>
              <w:start w:w="80" w:type="dxa"/>
              <w:bottom w:w="80" w:type="dxa"/>
              <w:end w:w="80" w:type="dxa"/>
            </w:tcMar>
          </w:tcPr>
          <w:p>
            <w:pPr>
              <w:spacing w:after="0"/>
              <w:jc w:val="left"/>
            </w:pPr>
            <w:r>
              <w:rPr>
                <w:rFonts w:ascii="Calibri" w:hAnsi="Calibri"/>
                <w:sz w:val="16"/>
              </w:rPr>
              <w:t>Ambient disaster context mistaken for statement importance</w:t>
            </w:r>
          </w:p>
        </w:tc>
      </w:tr>
      <w:tr>
        <w:tc>
          <w:tcPr>
            <w:tcW w:type="dxa" w:w="2376"/>
            <w:vAlign w:val="top"/>
            <w:tcMar>
              <w:top w:w="80" w:type="dxa"/>
              <w:start w:w="80" w:type="dxa"/>
              <w:bottom w:w="80" w:type="dxa"/>
              <w:end w:w="80" w:type="dxa"/>
            </w:tcMar>
          </w:tcPr>
          <w:p>
            <w:r>
              <w:rPr>
                <w:sz w:val="16"/>
              </w:rPr>
              <w:t>sympathy and support</w:t>
            </w:r>
          </w:p>
        </w:tc>
        <w:tc>
          <w:tcPr>
            <w:tcW w:type="dxa" w:w="503"/>
            <w:vAlign w:val="top"/>
            <w:tcMar>
              <w:top w:w="80" w:type="dxa"/>
              <w:start w:w="80" w:type="dxa"/>
              <w:bottom w:w="80" w:type="dxa"/>
              <w:end w:w="80" w:type="dxa"/>
            </w:tcMar>
          </w:tcPr>
          <w:p>
            <w:pPr>
              <w:spacing w:after="0"/>
              <w:jc w:val="left"/>
            </w:pPr>
            <w:r>
              <w:rPr>
                <w:rFonts w:ascii="Calibri" w:hAnsi="Calibri"/>
                <w:sz w:val="16"/>
              </w:rPr>
              <w:t>20</w:t>
            </w:r>
          </w:p>
        </w:tc>
        <w:tc>
          <w:tcPr>
            <w:tcW w:type="dxa" w:w="1152"/>
            <w:vAlign w:val="top"/>
            <w:tcMar>
              <w:top w:w="80" w:type="dxa"/>
              <w:start w:w="80" w:type="dxa"/>
              <w:bottom w:w="80" w:type="dxa"/>
              <w:end w:w="80" w:type="dxa"/>
            </w:tcMar>
          </w:tcPr>
          <w:p>
            <w:pPr>
              <w:spacing w:after="0"/>
              <w:jc w:val="left"/>
            </w:pPr>
            <w:r>
              <w:rPr>
                <w:rFonts w:ascii="Calibri" w:hAnsi="Calibri"/>
                <w:sz w:val="16"/>
              </w:rPr>
              <w:t>0.380</w:t>
            </w:r>
          </w:p>
        </w:tc>
        <w:tc>
          <w:tcPr>
            <w:tcW w:type="dxa" w:w="1152"/>
            <w:vAlign w:val="top"/>
            <w:tcMar>
              <w:top w:w="80" w:type="dxa"/>
              <w:start w:w="80" w:type="dxa"/>
              <w:bottom w:w="80" w:type="dxa"/>
              <w:end w:w="80" w:type="dxa"/>
            </w:tcMar>
          </w:tcPr>
          <w:p>
            <w:pPr>
              <w:spacing w:after="0"/>
              <w:jc w:val="left"/>
            </w:pPr>
            <w:r>
              <w:rPr>
                <w:rFonts w:ascii="Calibri" w:hAnsi="Calibri"/>
                <w:sz w:val="16"/>
              </w:rPr>
              <w:t>0.750</w:t>
            </w:r>
          </w:p>
        </w:tc>
        <w:tc>
          <w:tcPr>
            <w:tcW w:type="dxa" w:w="720"/>
            <w:vAlign w:val="top"/>
            <w:tcMar>
              <w:top w:w="80" w:type="dxa"/>
              <w:start w:w="80" w:type="dxa"/>
              <w:bottom w:w="80" w:type="dxa"/>
              <w:end w:w="80" w:type="dxa"/>
            </w:tcMar>
          </w:tcPr>
          <w:p>
            <w:pPr>
              <w:spacing w:after="0"/>
              <w:jc w:val="left"/>
            </w:pPr>
            <w:r>
              <w:rPr>
                <w:rFonts w:ascii="Calibri" w:hAnsi="Calibri"/>
                <w:sz w:val="16"/>
              </w:rPr>
              <w:t>+0.370</w:t>
            </w:r>
          </w:p>
        </w:tc>
        <w:tc>
          <w:tcPr>
            <w:tcW w:type="dxa" w:w="3744"/>
            <w:vAlign w:val="top"/>
            <w:tcMar>
              <w:top w:w="80" w:type="dxa"/>
              <w:start w:w="80" w:type="dxa"/>
              <w:bottom w:w="80" w:type="dxa"/>
              <w:end w:w="80" w:type="dxa"/>
            </w:tcMar>
          </w:tcPr>
          <w:p>
            <w:pPr>
              <w:spacing w:after="0"/>
              <w:jc w:val="left"/>
            </w:pPr>
            <w:r>
              <w:rPr>
                <w:rFonts w:ascii="Calibri" w:hAnsi="Calibri"/>
                <w:sz w:val="16"/>
              </w:rPr>
              <w:t>Emotional salience mistaken for operational importance</w:t>
            </w:r>
          </w:p>
        </w:tc>
      </w:tr>
      <w:tr>
        <w:tc>
          <w:tcPr>
            <w:tcW w:type="dxa" w:w="2376"/>
            <w:vAlign w:val="top"/>
            <w:tcMar>
              <w:top w:w="80" w:type="dxa"/>
              <w:start w:w="80" w:type="dxa"/>
              <w:bottom w:w="80" w:type="dxa"/>
              <w:end w:w="80" w:type="dxa"/>
            </w:tcMar>
          </w:tcPr>
          <w:p>
            <w:r>
              <w:rPr>
                <w:sz w:val="16"/>
              </w:rPr>
              <w:t>infrastructure and utility damage</w:t>
            </w:r>
          </w:p>
        </w:tc>
        <w:tc>
          <w:tcPr>
            <w:tcW w:type="dxa" w:w="503"/>
            <w:vAlign w:val="top"/>
            <w:tcMar>
              <w:top w:w="80" w:type="dxa"/>
              <w:start w:w="80" w:type="dxa"/>
              <w:bottom w:w="80" w:type="dxa"/>
              <w:end w:w="80" w:type="dxa"/>
            </w:tcMar>
          </w:tcPr>
          <w:p>
            <w:pPr>
              <w:spacing w:after="0"/>
              <w:jc w:val="left"/>
            </w:pPr>
            <w:r>
              <w:rPr>
                <w:rFonts w:ascii="Calibri" w:hAnsi="Calibri"/>
                <w:sz w:val="16"/>
              </w:rPr>
              <w:t>20</w:t>
            </w:r>
          </w:p>
        </w:tc>
        <w:tc>
          <w:tcPr>
            <w:tcW w:type="dxa" w:w="1152"/>
            <w:vAlign w:val="top"/>
            <w:tcMar>
              <w:top w:w="80" w:type="dxa"/>
              <w:start w:w="80" w:type="dxa"/>
              <w:bottom w:w="80" w:type="dxa"/>
              <w:end w:w="80" w:type="dxa"/>
            </w:tcMar>
          </w:tcPr>
          <w:p>
            <w:pPr>
              <w:spacing w:after="0"/>
              <w:jc w:val="left"/>
            </w:pPr>
            <w:r>
              <w:rPr>
                <w:rFonts w:ascii="Calibri" w:hAnsi="Calibri"/>
                <w:sz w:val="16"/>
              </w:rPr>
              <w:t>0.880</w:t>
            </w:r>
          </w:p>
        </w:tc>
        <w:tc>
          <w:tcPr>
            <w:tcW w:type="dxa" w:w="1152"/>
            <w:vAlign w:val="top"/>
            <w:tcMar>
              <w:top w:w="80" w:type="dxa"/>
              <w:start w:w="80" w:type="dxa"/>
              <w:bottom w:w="80" w:type="dxa"/>
              <w:end w:w="80" w:type="dxa"/>
            </w:tcMar>
          </w:tcPr>
          <w:p>
            <w:pPr>
              <w:spacing w:after="0"/>
              <w:jc w:val="left"/>
            </w:pPr>
            <w:r>
              <w:rPr>
                <w:rFonts w:ascii="Calibri" w:hAnsi="Calibri"/>
                <w:sz w:val="16"/>
              </w:rPr>
              <w:t>0.701</w:t>
            </w:r>
          </w:p>
        </w:tc>
        <w:tc>
          <w:tcPr>
            <w:tcW w:type="dxa" w:w="720"/>
            <w:vAlign w:val="top"/>
            <w:tcMar>
              <w:top w:w="80" w:type="dxa"/>
              <w:start w:w="80" w:type="dxa"/>
              <w:bottom w:w="80" w:type="dxa"/>
              <w:end w:w="80" w:type="dxa"/>
            </w:tcMar>
          </w:tcPr>
          <w:p>
            <w:pPr>
              <w:spacing w:after="0"/>
              <w:jc w:val="left"/>
            </w:pPr>
            <w:r>
              <w:rPr>
                <w:rFonts w:ascii="Calibri" w:hAnsi="Calibri"/>
                <w:sz w:val="16"/>
              </w:rPr>
              <w:t>−0.179</w:t>
            </w:r>
          </w:p>
        </w:tc>
        <w:tc>
          <w:tcPr>
            <w:tcW w:type="dxa" w:w="3744"/>
            <w:vAlign w:val="top"/>
            <w:tcMar>
              <w:top w:w="80" w:type="dxa"/>
              <w:start w:w="80" w:type="dxa"/>
              <w:bottom w:w="80" w:type="dxa"/>
              <w:end w:w="80" w:type="dxa"/>
            </w:tcMar>
          </w:tcPr>
          <w:p>
            <w:pPr>
              <w:spacing w:after="0"/>
              <w:jc w:val="left"/>
            </w:pPr>
            <w:r>
              <w:rPr>
                <w:rFonts w:ascii="Calibri" w:hAnsi="Calibri"/>
                <w:sz w:val="16"/>
              </w:rPr>
              <w:t>Sparse factual reporting under-valued despite humanitarian relevance</w:t>
            </w:r>
          </w:p>
        </w:tc>
      </w:tr>
    </w:tbl>
    <w:p>
      <w:pPr>
        <w:spacing w:after="240"/>
        <w:jc w:val="center"/>
      </w:pPr>
      <w:r>
        <w:rPr>
          <w:rFonts w:ascii="Calibri" w:hAnsi="Calibri"/>
          <w:b/>
        </w:rPr>
        <w:t xml:space="preserve">Table 5: </w:t>
      </w:r>
      <w:r>
        <w:rPr>
          <w:rFonts w:ascii="Calibri" w:hAnsi="Calibri"/>
        </w:rPr>
        <w:t>Main HumAID failure modes.</w:t>
      </w:r>
    </w:p>
    <w:p>
      <w:pPr>
        <w:pStyle w:val="Titre2"/>
      </w:pPr>
      <w:r>
        <w:rPr>
          <w:rFonts w:ascii="Calibri" w:hAnsi="Calibri"/>
        </w:rPr>
        <w:t>4.2  Proposed Repair: Statement-to-Stakes Relevance Gate</w:t>
      </w:r>
    </w:p>
    <w:p>
      <w:pPr>
        <w:spacing w:after="120"/>
        <w:jc w:val="both"/>
      </w:pPr>
      <w:r>
        <w:rPr>
          <w:rFonts w:ascii="Calibri" w:hAnsi="Calibri"/>
        </w:rPr>
        <w:t>The proposed correction is a statement-to-stakes relevance gate, Rel(s,c), where c is the relevant situational context. Rel measures whether the statement itself bears informationally, causally, or operationally on the surrounding stakes.</w:t>
      </w:r>
    </w:p>
    <w:p>
      <w:pPr>
        <w:spacing w:after="120"/>
        <w:jc w:val="both"/>
      </w:pPr>
      <w:r>
        <w:rPr>
          <w:rFonts w:ascii="Calibri" w:hAnsi="Calibri"/>
        </w:rPr>
        <w:t>Rel = 0 means that the statement is merely co-located with the high-stakes context. Rel = 1 means that the statement directly reflects, updates, causes, warns about, requests action about, or otherwise contributes to the stakes. Intermediate values represent partial relation, such as sympathy, general commentary, or low-actionability relevance.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1080"/>
            <w:vAlign w:val="top"/>
            <w:tcMar>
              <w:top w:w="80" w:type="dxa"/>
              <w:start w:w="80" w:type="dxa"/>
              <w:bottom w:w="80" w:type="dxa"/>
              <w:end w:w="80" w:type="dxa"/>
            </w:tcMar>
            <w:shd w:fill="D9E2F3"/>
          </w:tcPr>
          <w:p>
            <w:pPr>
              <w:spacing w:after="0"/>
              <w:jc w:val="center"/>
            </w:pPr>
            <w:r>
              <w:rPr>
                <w:rFonts w:ascii="Calibri" w:hAnsi="Calibri"/>
                <w:b/>
                <w:sz w:val="16"/>
              </w:rPr>
              <w:t>Rel value</w:t>
            </w:r>
          </w:p>
        </w:tc>
        <w:tc>
          <w:tcPr>
            <w:tcW w:type="dxa" w:w="4320"/>
            <w:vAlign w:val="top"/>
            <w:tcMar>
              <w:top w:w="80" w:type="dxa"/>
              <w:start w:w="80" w:type="dxa"/>
              <w:bottom w:w="80" w:type="dxa"/>
              <w:end w:w="80" w:type="dxa"/>
            </w:tcMar>
            <w:shd w:fill="D9E2F3"/>
          </w:tcPr>
          <w:p>
            <w:pPr>
              <w:spacing w:after="0"/>
              <w:jc w:val="center"/>
            </w:pPr>
            <w:r>
              <w:rPr>
                <w:rFonts w:ascii="Calibri" w:hAnsi="Calibri"/>
                <w:b/>
                <w:sz w:val="16"/>
              </w:rPr>
              <w:t>Interpretation</w:t>
            </w:r>
          </w:p>
        </w:tc>
        <w:tc>
          <w:tcPr>
            <w:tcW w:type="dxa" w:w="3744"/>
            <w:vAlign w:val="top"/>
            <w:tcMar>
              <w:top w:w="80" w:type="dxa"/>
              <w:start w:w="80" w:type="dxa"/>
              <w:bottom w:w="80" w:type="dxa"/>
              <w:end w:w="80" w:type="dxa"/>
            </w:tcMar>
            <w:shd w:fill="D9E2F3"/>
          </w:tcPr>
          <w:p>
            <w:pPr>
              <w:spacing w:after="0"/>
              <w:jc w:val="center"/>
            </w:pPr>
            <w:r>
              <w:rPr>
                <w:rFonts w:ascii="Calibri" w:hAnsi="Calibri"/>
                <w:b/>
                <w:sz w:val="16"/>
              </w:rPr>
              <w:t>Example class</w:t>
            </w:r>
          </w:p>
        </w:tc>
      </w:tr>
      <w:tr>
        <w:tc>
          <w:tcPr>
            <w:tcW w:type="dxa" w:w="1080"/>
            <w:vAlign w:val="top"/>
            <w:tcMar>
              <w:top w:w="80" w:type="dxa"/>
              <w:start w:w="80" w:type="dxa"/>
              <w:bottom w:w="80" w:type="dxa"/>
              <w:end w:w="80" w:type="dxa"/>
            </w:tcMar>
          </w:tcPr>
          <w:p>
            <w:pPr>
              <w:spacing w:after="0"/>
              <w:jc w:val="left"/>
            </w:pPr>
            <w:r>
              <w:rPr>
                <w:rFonts w:ascii="Calibri" w:hAnsi="Calibri"/>
                <w:sz w:val="16"/>
              </w:rPr>
              <w:t>0.00</w:t>
            </w:r>
          </w:p>
        </w:tc>
        <w:tc>
          <w:tcPr>
            <w:tcW w:type="dxa" w:w="4320"/>
            <w:vAlign w:val="top"/>
            <w:tcMar>
              <w:top w:w="80" w:type="dxa"/>
              <w:start w:w="80" w:type="dxa"/>
              <w:bottom w:w="80" w:type="dxa"/>
              <w:end w:w="80" w:type="dxa"/>
            </w:tcMar>
          </w:tcPr>
          <w:p>
            <w:pPr>
              <w:spacing w:after="0"/>
              <w:jc w:val="left"/>
            </w:pPr>
            <w:r>
              <w:rPr>
                <w:rFonts w:ascii="Calibri" w:hAnsi="Calibri"/>
                <w:sz w:val="16"/>
              </w:rPr>
              <w:t>Co-located with the context but not relevant to it</w:t>
            </w:r>
          </w:p>
        </w:tc>
        <w:tc>
          <w:tcPr>
            <w:tcW w:type="dxa" w:w="3744"/>
            <w:vAlign w:val="top"/>
            <w:tcMar>
              <w:top w:w="80" w:type="dxa"/>
              <w:start w:w="80" w:type="dxa"/>
              <w:bottom w:w="80" w:type="dxa"/>
              <w:end w:w="80" w:type="dxa"/>
            </w:tcMar>
          </w:tcPr>
          <w:p>
            <w:pPr>
              <w:spacing w:after="0"/>
              <w:jc w:val="left"/>
            </w:pPr>
            <w:r>
              <w:rPr>
                <w:rFonts w:ascii="Calibri" w:hAnsi="Calibri"/>
                <w:sz w:val="16"/>
              </w:rPr>
              <w:t>birthday post, food photo, unrelated job ad</w:t>
            </w:r>
          </w:p>
        </w:tc>
      </w:tr>
      <w:tr>
        <w:tc>
          <w:tcPr>
            <w:tcW w:type="dxa" w:w="1080"/>
            <w:vAlign w:val="top"/>
            <w:tcMar>
              <w:top w:w="80" w:type="dxa"/>
              <w:start w:w="80" w:type="dxa"/>
              <w:bottom w:w="80" w:type="dxa"/>
              <w:end w:w="80" w:type="dxa"/>
            </w:tcMar>
          </w:tcPr>
          <w:p>
            <w:pPr>
              <w:spacing w:after="0"/>
              <w:jc w:val="left"/>
            </w:pPr>
            <w:r>
              <w:rPr>
                <w:rFonts w:ascii="Calibri" w:hAnsi="Calibri"/>
                <w:sz w:val="16"/>
              </w:rPr>
              <w:t>0.25</w:t>
            </w:r>
          </w:p>
        </w:tc>
        <w:tc>
          <w:tcPr>
            <w:tcW w:type="dxa" w:w="4320"/>
            <w:vAlign w:val="top"/>
            <w:tcMar>
              <w:top w:w="80" w:type="dxa"/>
              <w:start w:w="80" w:type="dxa"/>
              <w:bottom w:w="80" w:type="dxa"/>
              <w:end w:w="80" w:type="dxa"/>
            </w:tcMar>
          </w:tcPr>
          <w:p>
            <w:pPr>
              <w:spacing w:after="0"/>
              <w:jc w:val="left"/>
            </w:pPr>
            <w:r>
              <w:rPr>
                <w:rFonts w:ascii="Calibri" w:hAnsi="Calibri"/>
                <w:sz w:val="16"/>
              </w:rPr>
              <w:t>Weak contextual or emotional relation</w:t>
            </w:r>
          </w:p>
        </w:tc>
        <w:tc>
          <w:tcPr>
            <w:tcW w:type="dxa" w:w="3744"/>
            <w:vAlign w:val="top"/>
            <w:tcMar>
              <w:top w:w="80" w:type="dxa"/>
              <w:start w:w="80" w:type="dxa"/>
              <w:bottom w:w="80" w:type="dxa"/>
              <w:end w:w="80" w:type="dxa"/>
            </w:tcMar>
          </w:tcPr>
          <w:p>
            <w:pPr>
              <w:spacing w:after="0"/>
              <w:jc w:val="left"/>
            </w:pPr>
            <w:r>
              <w:rPr>
                <w:rFonts w:ascii="Calibri" w:hAnsi="Calibri"/>
                <w:sz w:val="16"/>
              </w:rPr>
              <w:t>general comment, weak political aside</w:t>
            </w:r>
          </w:p>
        </w:tc>
      </w:tr>
      <w:tr>
        <w:tc>
          <w:tcPr>
            <w:tcW w:type="dxa" w:w="1080"/>
            <w:vAlign w:val="top"/>
            <w:tcMar>
              <w:top w:w="80" w:type="dxa"/>
              <w:start w:w="80" w:type="dxa"/>
              <w:bottom w:w="80" w:type="dxa"/>
              <w:end w:w="80" w:type="dxa"/>
            </w:tcMar>
          </w:tcPr>
          <w:p>
            <w:pPr>
              <w:spacing w:after="0"/>
              <w:jc w:val="left"/>
            </w:pPr>
            <w:r>
              <w:rPr>
                <w:rFonts w:ascii="Calibri" w:hAnsi="Calibri"/>
                <w:sz w:val="16"/>
              </w:rPr>
              <w:t>0.50</w:t>
            </w:r>
          </w:p>
        </w:tc>
        <w:tc>
          <w:tcPr>
            <w:tcW w:type="dxa" w:w="4320"/>
            <w:vAlign w:val="top"/>
            <w:tcMar>
              <w:top w:w="80" w:type="dxa"/>
              <w:start w:w="80" w:type="dxa"/>
              <w:bottom w:w="80" w:type="dxa"/>
              <w:end w:w="80" w:type="dxa"/>
            </w:tcMar>
          </w:tcPr>
          <w:p>
            <w:pPr>
              <w:spacing w:after="0"/>
              <w:jc w:val="left"/>
            </w:pPr>
            <w:r>
              <w:rPr>
                <w:rFonts w:ascii="Calibri" w:hAnsi="Calibri"/>
                <w:sz w:val="16"/>
              </w:rPr>
              <w:t>Emotionally or socially relevant but low operational content</w:t>
            </w:r>
          </w:p>
        </w:tc>
        <w:tc>
          <w:tcPr>
            <w:tcW w:type="dxa" w:w="3744"/>
            <w:vAlign w:val="top"/>
            <w:tcMar>
              <w:top w:w="80" w:type="dxa"/>
              <w:start w:w="80" w:type="dxa"/>
              <w:bottom w:w="80" w:type="dxa"/>
              <w:end w:w="80" w:type="dxa"/>
            </w:tcMar>
          </w:tcPr>
          <w:p>
            <w:pPr>
              <w:spacing w:after="0"/>
              <w:jc w:val="left"/>
            </w:pPr>
            <w:r>
              <w:rPr>
                <w:rFonts w:ascii="Calibri" w:hAnsi="Calibri"/>
                <w:sz w:val="16"/>
              </w:rPr>
              <w:t>sympathy and support</w:t>
            </w:r>
          </w:p>
        </w:tc>
      </w:tr>
      <w:tr>
        <w:tc>
          <w:tcPr>
            <w:tcW w:type="dxa" w:w="1080"/>
            <w:vAlign w:val="top"/>
            <w:tcMar>
              <w:top w:w="80" w:type="dxa"/>
              <w:start w:w="80" w:type="dxa"/>
              <w:bottom w:w="80" w:type="dxa"/>
              <w:end w:w="80" w:type="dxa"/>
            </w:tcMar>
          </w:tcPr>
          <w:p>
            <w:pPr>
              <w:spacing w:after="0"/>
              <w:jc w:val="left"/>
            </w:pPr>
            <w:r>
              <w:rPr>
                <w:rFonts w:ascii="Calibri" w:hAnsi="Calibri"/>
                <w:sz w:val="16"/>
              </w:rPr>
              <w:t>0.75</w:t>
            </w:r>
          </w:p>
        </w:tc>
        <w:tc>
          <w:tcPr>
            <w:tcW w:type="dxa" w:w="4320"/>
            <w:vAlign w:val="top"/>
            <w:tcMar>
              <w:top w:w="80" w:type="dxa"/>
              <w:start w:w="80" w:type="dxa"/>
              <w:bottom w:w="80" w:type="dxa"/>
              <w:end w:w="80" w:type="dxa"/>
            </w:tcMar>
          </w:tcPr>
          <w:p>
            <w:pPr>
              <w:spacing w:after="0"/>
              <w:jc w:val="left"/>
            </w:pPr>
            <w:r>
              <w:rPr>
                <w:rFonts w:ascii="Calibri" w:hAnsi="Calibri"/>
                <w:sz w:val="16"/>
              </w:rPr>
              <w:t>Factual event-relevant report</w:t>
            </w:r>
          </w:p>
        </w:tc>
        <w:tc>
          <w:tcPr>
            <w:tcW w:type="dxa" w:w="3744"/>
            <w:vAlign w:val="top"/>
            <w:tcMar>
              <w:top w:w="80" w:type="dxa"/>
              <w:start w:w="80" w:type="dxa"/>
              <w:bottom w:w="80" w:type="dxa"/>
              <w:end w:w="80" w:type="dxa"/>
            </w:tcMar>
          </w:tcPr>
          <w:p>
            <w:pPr>
              <w:spacing w:after="0"/>
              <w:jc w:val="left"/>
            </w:pPr>
            <w:r>
              <w:rPr>
                <w:rFonts w:ascii="Calibri" w:hAnsi="Calibri"/>
                <w:sz w:val="16"/>
              </w:rPr>
              <w:t>infrastructure damage report, evacuation update</w:t>
            </w:r>
          </w:p>
        </w:tc>
      </w:tr>
      <w:tr>
        <w:tc>
          <w:tcPr>
            <w:tcW w:type="dxa" w:w="1080"/>
            <w:vAlign w:val="top"/>
            <w:tcMar>
              <w:top w:w="80" w:type="dxa"/>
              <w:start w:w="80" w:type="dxa"/>
              <w:bottom w:w="80" w:type="dxa"/>
              <w:end w:w="80" w:type="dxa"/>
            </w:tcMar>
          </w:tcPr>
          <w:p>
            <w:pPr>
              <w:spacing w:after="0"/>
              <w:jc w:val="left"/>
            </w:pPr>
            <w:r>
              <w:rPr>
                <w:rFonts w:ascii="Calibri" w:hAnsi="Calibri"/>
                <w:sz w:val="16"/>
              </w:rPr>
              <w:t>1.00</w:t>
            </w:r>
          </w:p>
        </w:tc>
        <w:tc>
          <w:tcPr>
            <w:tcW w:type="dxa" w:w="4320"/>
            <w:vAlign w:val="top"/>
            <w:tcMar>
              <w:top w:w="80" w:type="dxa"/>
              <w:start w:w="80" w:type="dxa"/>
              <w:bottom w:w="80" w:type="dxa"/>
              <w:end w:w="80" w:type="dxa"/>
            </w:tcMar>
          </w:tcPr>
          <w:p>
            <w:pPr>
              <w:spacing w:after="0"/>
              <w:jc w:val="left"/>
            </w:pPr>
            <w:r>
              <w:rPr>
                <w:rFonts w:ascii="Calibri" w:hAnsi="Calibri"/>
                <w:sz w:val="16"/>
              </w:rPr>
              <w:t>Directly actionable, causal, emergency-relevant, or operational</w:t>
            </w:r>
          </w:p>
        </w:tc>
        <w:tc>
          <w:tcPr>
            <w:tcW w:type="dxa" w:w="3744"/>
            <w:vAlign w:val="top"/>
            <w:tcMar>
              <w:top w:w="80" w:type="dxa"/>
              <w:start w:w="80" w:type="dxa"/>
              <w:bottom w:w="80" w:type="dxa"/>
              <w:end w:w="80" w:type="dxa"/>
            </w:tcMar>
          </w:tcPr>
          <w:p>
            <w:pPr>
              <w:spacing w:after="0"/>
              <w:jc w:val="left"/>
            </w:pPr>
            <w:r>
              <w:rPr>
                <w:rFonts w:ascii="Calibri" w:hAnsi="Calibri"/>
                <w:sz w:val="16"/>
              </w:rPr>
              <w:t>urgent request, missing person, rescue need</w:t>
            </w:r>
          </w:p>
        </w:tc>
      </w:tr>
    </w:tbl>
    <w:p>
      <w:pPr>
        <w:spacing w:after="240"/>
        <w:jc w:val="center"/>
      </w:pPr>
      <w:r>
        <w:rPr>
          <w:rFonts w:ascii="Calibri" w:hAnsi="Calibri"/>
          <w:b/>
        </w:rPr>
        <w:t xml:space="preserve">Table 6: </w:t>
      </w:r>
      <w:r>
        <w:rPr>
          <w:rFonts w:ascii="Calibri" w:hAnsi="Calibri"/>
        </w:rPr>
        <w:t>Proposed scoring anchors for Rel(s,c).</w:t>
      </w:r>
    </w:p>
    <w:p>
      <w:pPr>
        <w:spacing w:after="120"/>
        <w:jc w:val="both"/>
      </w:pPr>
      <w:r>
        <w:rPr>
          <w:rFonts w:ascii="Calibri" w:hAnsi="Calibri"/>
        </w:rPr>
        <w:t>The adjusted situational variables are:</w:t>
      </w:r>
    </w:p>
    <w:p>
      <w:pPr>
        <w:spacing w:after="120" w:before="40"/>
        <w:jc w:val="center"/>
      </w:pPr>
      <w:r>
        <w:rPr>
          <w:rFonts w:ascii="Calibri" w:hAnsi="Calibri"/>
          <w:b/>
        </w:rPr>
        <w:t>AD* = Rel × AD + (1 − Rel) × x0_AD</w:t>
      </w:r>
    </w:p>
    <w:p>
      <w:pPr>
        <w:spacing w:after="120" w:before="40"/>
        <w:jc w:val="center"/>
      </w:pPr>
      <w:r>
        <w:rPr>
          <w:rFonts w:ascii="Calibri" w:hAnsi="Calibri"/>
          <w:b/>
        </w:rPr>
        <w:t>Y* = Rel × Y + (1 − Rel) × x0_Y</w:t>
      </w:r>
    </w:p>
    <w:p>
      <w:pPr>
        <w:spacing w:after="120" w:before="40"/>
        <w:jc w:val="center"/>
      </w:pPr>
      <w:r>
        <w:rPr>
          <w:rFonts w:ascii="Calibri" w:hAnsi="Calibri"/>
          <w:b/>
        </w:rPr>
        <w:t>Z_eff* = Rel × Z_eff + (1 − Rel) × x0_Z</w:t>
      </w:r>
    </w:p>
    <w:p>
      <w:pPr>
        <w:spacing w:after="120"/>
        <w:jc w:val="both"/>
      </w:pPr>
      <w:r>
        <w:rPr>
          <w:rFonts w:ascii="Calibri" w:hAnsi="Calibri"/>
        </w:rPr>
        <w:t>The situational-context function then becomes:</w:t>
      </w:r>
    </w:p>
    <w:p>
      <w:pPr>
        <w:spacing w:after="120" w:before="40"/>
        <w:jc w:val="center"/>
      </w:pPr>
      <w:r>
        <w:rPr>
          <w:rFonts w:ascii="Calibri" w:hAnsi="Calibri"/>
          <w:b/>
        </w:rPr>
        <w:t>Sit(s,r) = AB^2.1 × AA^0.2 × (2Z_eff* + 3AD* + Y*) / 6</w:t>
      </w:r>
    </w:p>
    <w:p>
      <w:pPr>
        <w:spacing w:after="120"/>
        <w:jc w:val="both"/>
      </w:pPr>
      <w:r>
        <w:rPr>
          <w:rFonts w:ascii="Calibri" w:hAnsi="Calibri"/>
        </w:rPr>
        <w:t>This correction preserves the original role of broad stakes, urgency, and speaker stakes, but prevents them from entering the importance computation when the statement does not actually concern those stakes. It also explains the infrastructure under-scoring case: infrastructure reports should receive high Rel because the statement itself directly describes the humanitarian situation, even when the wording is sparse.</w:t>
      </w:r>
    </w:p>
    <w:p>
      <w:pPr>
        <w:pStyle w:val="Titre2"/>
      </w:pPr>
      <w:r>
        <w:rPr>
          <w:rFonts w:ascii="Calibri" w:hAnsi="Calibri"/>
        </w:rPr>
        <w:t>4.3  LIAR Half-True and Barely-True Compression</w:t>
      </w:r>
    </w:p>
    <w:p>
      <w:pPr>
        <w:spacing w:after="120"/>
        <w:jc w:val="both"/>
      </w:pPr>
      <w:r>
        <w:rPr>
          <w:rFonts w:ascii="Calibri" w:hAnsi="Calibri"/>
        </w:rPr>
        <w:t>The second documented failure is the LIAR half-true and barely-true compression. The model systematically under-scores ambiguous political claims. Barely-true statements have an expected mean of 0.350 but a model mean of 0.054, a gap of −0.296. Half-true statements have an expected mean of 0.500 but a model mean of 0.275, a gap of −0.225. All forty-six of the largest LIAR residuals are under-scores, and all are concentrated in barely-true and half-true cases.</w:t>
      </w:r>
    </w:p>
    <w:p>
      <w:pPr>
        <w:spacing w:after="120"/>
        <w:jc w:val="both"/>
      </w:pPr>
      <w:r>
        <w:rPr>
          <w:rFonts w:ascii="Calibri" w:hAnsi="Calibri"/>
        </w:rPr>
        <w:t>This is not treated as a simple calibration error. It is the predictable consequence of the framework's declared epistemic stance. T_abs is defined as the posterior of a highly unbiased and fairly skeptical expert. Such an expert defaults to the null hypothesis, requires falsifiable evidence before updating, and requires strong cumulative evidence before moving substantially from the prior. Under that standard, ambiguous evidence does not naturally produce a posterior near 0.35 or 0.50. It often produces a low posterior, especially when K, L, and M are weak, mixed, or only partially corroborating.</w:t>
      </w:r>
    </w:p>
    <w:p>
      <w:pPr>
        <w:spacing w:after="120"/>
        <w:jc w:val="both"/>
      </w:pPr>
      <w:r>
        <w:rPr>
          <w:rFonts w:ascii="Calibri" w:hAnsi="Calibri"/>
        </w:rPr>
        <w:t>The divergence is therefore partly principled. PolitiFact's middle categories are journalistic labels, not direct posterior probabilities. Half-true does not mean "50% probability that the statement is true." It means that the statement contains some accurate information but leaves out important context, creates a misleading impression, or requires major qualification. Barely-true similarly indicates a small factual basis embedded inside a substantially misleading claim. These labels are not equivalent to Bayesian truth-probability under a skeptical evidential standard.</w:t>
      </w:r>
    </w:p>
    <w:p>
      <w:pPr>
        <w:spacing w:after="120"/>
        <w:jc w:val="both"/>
      </w:pPr>
      <w:r>
        <w:rPr>
          <w:rFonts w:ascii="Calibri" w:hAnsi="Calibri"/>
        </w:rPr>
        <w:t>The framework therefore agrees strongly with PolitiFact at the extremes and diverges in the ambiguous middle. This is a theoretically meaningful result. The model and professional fact-checkers agree on clearly true, mostly true, false, and pants-fire claims. They diverge on the two categories where the external label is most dependent on journalistic interpretation of partial truth, missing context, and misleading implication.</w:t>
      </w:r>
    </w:p>
    <w:p>
      <w:pPr>
        <w:spacing w:after="120"/>
        <w:jc w:val="both"/>
      </w:pPr>
      <w:r>
        <w:rPr>
          <w:rFonts w:ascii="Calibri" w:hAnsi="Calibri"/>
        </w:rPr>
        <w:t>This failure should not be corrected by forcing T_abs to match PolitiFact's middle-category numerical anchors. Doing so would weaken the framework's stated epistemic stance. Instead, the result should be documented as a principled divergence between evidence-weighted skeptical posterior probability and journalistic fact-checking categories. Future work may introduce an additional output, distinct from T_abs, for journalistic category alignment or claim-quality classification.</w:t>
      </w:r>
    </w:p>
    <w:p>
      <w:pPr>
        <w:pStyle w:val="Titre2"/>
      </w:pPr>
      <w:r>
        <w:rPr>
          <w:rFonts w:ascii="Calibri" w:hAnsi="Calibri"/>
        </w:rPr>
        <w:t>4.4  CredEvent T_perc Moderate Correlation</w:t>
      </w:r>
    </w:p>
    <w:p>
      <w:pPr>
        <w:spacing w:after="120"/>
        <w:jc w:val="both"/>
      </w:pPr>
      <w:r>
        <w:rPr>
          <w:rFonts w:ascii="Calibri" w:hAnsi="Calibri"/>
        </w:rPr>
        <w:t>The CredEvent result remains unresolved. The correlation is moderate rather than strong, and the model scores are compressed near 1.0. The likely cause is construct mismatch. T_perc(s,r) is receiver-specific, while CredEvent provides crowd-aggregated credibility ratings. A crowd mean is not the same object as a perceived-truth posterior for a specified receiver.</w:t>
      </w:r>
    </w:p>
    <w:p>
      <w:pPr>
        <w:spacing w:after="120"/>
        <w:jc w:val="both"/>
      </w:pPr>
      <w:r>
        <w:rPr>
          <w:rFonts w:ascii="Calibri" w:hAnsi="Calibri"/>
        </w:rPr>
        <w:t>A second cause is dataset sparsity. CredEvent items often provide event terms and reason text rather than full statements with rich delivery context. As a result, several delivery variables default toward neutral values. This compresses the variance that T_perc would otherwise use to distinguish statements.</w:t>
      </w:r>
    </w:p>
    <w:p>
      <w:pPr>
        <w:spacing w:after="120"/>
        <w:jc w:val="both"/>
      </w:pPr>
      <w:r>
        <w:rPr>
          <w:rFonts w:ascii="Calibri" w:hAnsi="Calibri"/>
        </w:rPr>
        <w:t>A third cause is anchoring. T_perc begins from T_abs. If T_abs is high, weak delivery or uncertain receiver variables may not pull perceived truth far enough from the ceiling. Future work should test whether T_perc requires a population-level formulation for crowd datasets:</w:t>
      </w:r>
    </w:p>
    <w:p>
      <w:pPr>
        <w:spacing w:after="120" w:before="40"/>
        <w:jc w:val="center"/>
      </w:pPr>
      <w:r>
        <w:rPr>
          <w:rFonts w:ascii="Calibri" w:hAnsi="Calibri"/>
          <w:b/>
        </w:rPr>
        <w:t>T_perc,pop(s) = ∫ T_perc(s,r)dR(r)</w:t>
      </w:r>
    </w:p>
    <w:p>
      <w:pPr>
        <w:spacing w:after="120"/>
        <w:jc w:val="both"/>
      </w:pPr>
      <w:r>
        <w:rPr>
          <w:rFonts w:ascii="Calibri" w:hAnsi="Calibri"/>
        </w:rPr>
        <w:t>Such a score would average over a distribution of receiver profiles rather than imposing a single generic receiver.</w:t>
      </w:r>
    </w:p>
    <w:p>
      <w:pPr>
        <w:pStyle w:val="Titre1"/>
      </w:pPr>
      <w:r>
        <w:rPr>
          <w:rFonts w:ascii="Calibri" w:hAnsi="Calibri"/>
        </w:rPr>
        <w:t>5  Methodological Limitations</w:t>
      </w:r>
    </w:p>
    <w:p>
      <w:pPr>
        <w:pStyle w:val="Titre2"/>
      </w:pPr>
      <w:r>
        <w:rPr>
          <w:rFonts w:ascii="Calibri" w:hAnsi="Calibri"/>
        </w:rPr>
        <w:t>5.1  AI-Assisted Scoring</w:t>
      </w:r>
    </w:p>
    <w:p>
      <w:pPr>
        <w:spacing w:after="120"/>
        <w:jc w:val="both"/>
      </w:pPr>
      <w:r>
        <w:rPr>
          <w:rFonts w:ascii="Calibri" w:hAnsi="Calibri"/>
        </w:rPr>
        <w:t>The atomic variable assignments in this validation were generated through AI-assisted scoring. This must be disclosed because the framework's variables are not raw observables; they require interpretation. A language model can follow a rubric and assign plausible values, but it does not replace independent human scoring, primary-source verification, or inter-rater reliability testing.</w:t>
      </w:r>
    </w:p>
    <w:p>
      <w:pPr>
        <w:spacing w:after="120"/>
        <w:jc w:val="both"/>
      </w:pPr>
      <w:r>
        <w:rPr>
          <w:rFonts w:ascii="Calibri" w:hAnsi="Calibri"/>
        </w:rPr>
        <w:t>The limitation is not equally severe across all datasets. It is weakest for LIAR/PolitiFact because the evidence audit was grounded in fact-checking records. It is strongest for HumAID and CredEvent because these datasets require assumptions about receiver state, personal consequence, delivery context, actionability, and situational relevance.</w:t>
      </w:r>
    </w:p>
    <w:p>
      <w:pPr>
        <w:pStyle w:val="Titre2"/>
      </w:pPr>
      <w:r>
        <w:rPr>
          <w:rFonts w:ascii="Calibri" w:hAnsi="Calibri"/>
        </w:rPr>
        <w:t>5.2  Receiver Profile Sensitivity</w:t>
      </w:r>
    </w:p>
    <w:p>
      <w:pPr>
        <w:spacing w:after="120"/>
        <w:jc w:val="both"/>
      </w:pPr>
      <w:r>
        <w:rPr>
          <w:rFonts w:ascii="Calibri" w:hAnsi="Calibri"/>
        </w:rPr>
        <w:t>T_perc and I are receiver-dependent by construction. However, the validation datasets do not specify receiver profiles. HumAID tweets are addressed to broad social-media audiences, and CredEvent ratings aggregate multiple crowd raters. The validation therefore uses a generic receiver profile, which introduces uncontrolled variance.</w:t>
      </w:r>
    </w:p>
    <w:p>
      <w:pPr>
        <w:spacing w:after="120"/>
        <w:jc w:val="both"/>
      </w:pPr>
      <w:r>
        <w:rPr>
          <w:rFonts w:ascii="Calibri" w:hAnsi="Calibri"/>
        </w:rPr>
        <w:t>A statement that scores high for a directly affected receiver may score much lower for a distant observer. A statement that is highly important to a policymaker may not be important to a casual reader. Receiver sensitivity must therefore be quantified before claiming stable population-level importance or perceived-truth scores.</w:t>
      </w:r>
    </w:p>
    <w:p>
      <w:pPr>
        <w:spacing w:after="120"/>
        <w:jc w:val="both"/>
      </w:pPr>
      <w:r>
        <w:rPr>
          <w:rFonts w:ascii="Calibri" w:hAnsi="Calibri"/>
        </w:rPr>
        <w:t>A sequel validation should run the same statements across multiple receiver profiles: a generic public receiver, a directly affected receiver, an expert receiver, a skeptical receiver, an emotionally engaged receiver, and an institutional decision-maker. The variance across profiles should be reported rather than suppressed.</w:t>
      </w:r>
    </w:p>
    <w:p>
      <w:pPr>
        <w:spacing w:after="120" w:before="40"/>
        <w:jc w:val="center"/>
      </w:pPr>
      <w:r>
        <w:rPr>
          <w:rFonts w:ascii="Calibri" w:hAnsi="Calibri"/>
          <w:b/>
        </w:rPr>
        <w:t>Var_r(I(s,r))</w:t>
      </w:r>
    </w:p>
    <w:p>
      <w:pPr>
        <w:spacing w:after="120"/>
        <w:jc w:val="both"/>
      </w:pPr>
      <w:r>
        <w:rPr>
          <w:rFonts w:ascii="Calibri" w:hAnsi="Calibri"/>
        </w:rPr>
        <w:t>This would show which statements are robustly important across receivers and which are receiver-specific.</w:t>
      </w:r>
    </w:p>
    <w:p>
      <w:pPr>
        <w:pStyle w:val="Titre2"/>
      </w:pPr>
      <w:r>
        <w:rPr>
          <w:rFonts w:ascii="Calibri" w:hAnsi="Calibri"/>
        </w:rPr>
        <w:t>5.3  Target-Mapping Limits</w:t>
      </w:r>
    </w:p>
    <w:p>
      <w:pPr>
        <w:spacing w:after="120"/>
        <w:jc w:val="both"/>
      </w:pPr>
      <w:r>
        <w:rPr>
          <w:rFonts w:ascii="Calibri" w:hAnsi="Calibri"/>
        </w:rPr>
        <w:t>All external labels require mapping into [0,1]. These mappings are necessary for quantitative comparison but are not philosophically neutral. PolitiFact categories, crowd credibility ratings, and HumAID humanitarian categories are not native Bayesian probabilities. They are institutional or human judgment labels translated into a common numerical space.</w:t>
      </w:r>
    </w:p>
    <w:p>
      <w:pPr>
        <w:spacing w:after="120"/>
        <w:jc w:val="both"/>
      </w:pPr>
      <w:r>
        <w:rPr>
          <w:rFonts w:ascii="Calibri" w:hAnsi="Calibri"/>
        </w:rPr>
        <w:t>The validation therefore tests alignment, not identity. A high correlation indicates that the framework preserves an external ordering. A residual does not automatically mean the framework is wrong; it may mean the target label encodes a different construct. The LIAR middle-category compression is the clearest example.</w:t>
      </w:r>
    </w:p>
    <w:p>
      <w:pPr>
        <w:pStyle w:val="Titre1"/>
      </w:pPr>
      <w:r>
        <w:rPr>
          <w:rFonts w:ascii="Calibri" w:hAnsi="Calibri"/>
        </w:rPr>
        <w:t>6  Empirical Summary</w:t>
      </w:r>
    </w:p>
    <w:p>
      <w:pPr>
        <w:spacing w:after="120"/>
        <w:jc w:val="both"/>
      </w:pPr>
      <w:r>
        <w:rPr>
          <w:rFonts w:ascii="Calibri" w:hAnsi="Calibri"/>
        </w:rPr>
        <w:t>The validation supports the core truth-probability architecture but exposes an important weakness in the importance architecture.</w:t>
      </w:r>
    </w:p>
    <w:p>
      <w:pPr>
        <w:spacing w:after="120"/>
        <w:jc w:val="both"/>
      </w:pPr>
      <w:r>
        <w:rPr>
          <w:rFonts w:ascii="Calibri" w:hAnsi="Calibri"/>
        </w:rPr>
        <w:t>The strongest result is T_abs on LIAR/PolitiFact: Spearman ρ = 0.983 and AUC = 1.000 across 200 political statements. This indicates near-perfect rank alignment with professional fact-checking categories, especially at the true and false extremes.</w:t>
      </w:r>
    </w:p>
    <w:p>
      <w:pPr>
        <w:spacing w:after="120"/>
        <w:jc w:val="both"/>
      </w:pPr>
      <w:r>
        <w:rPr>
          <w:rFonts w:ascii="Calibri" w:hAnsi="Calibri"/>
        </w:rPr>
        <w:t>The weakest result is I on HumAID: Spearman ρ = 0.320 and MAE = 0.200. The error is not random. It is concentrated in not_humanitarian and sympathy_and_support tweets, where the model mistakes ambient crisis context for statement-specific humanitarian relevance. The proposed Rel gate directly addresses this failure.</w:t>
      </w:r>
    </w:p>
    <w:p>
      <w:pPr>
        <w:spacing w:after="120"/>
        <w:jc w:val="both"/>
      </w:pPr>
      <w:r>
        <w:rPr>
          <w:rFonts w:ascii="Calibri" w:hAnsi="Calibri"/>
        </w:rPr>
        <w:t>T_perc on CredEvent is moderate: Spearman ρ = 0.476 and Pearson r = 0.437. This suggests partial alignment with crowd credibility judgments, but also shows that a receiver-specific perceived-truth function cannot be assumed to match crowd-aggregated credibility without modelling the receiver population.</w:t>
      </w:r>
    </w:p>
    <w:p>
      <w:pPr>
        <w:spacing w:after="120"/>
        <w:jc w:val="both"/>
      </w:pPr>
      <w:r>
        <w:rPr>
          <w:rFonts w:ascii="Calibri" w:hAnsi="Calibri"/>
        </w:rPr>
        <w:t>Overall, the result is mixed but productive. The truth layer is substantially supported. The perceived-truth layer is partially supported but under-specified at the receiver-population level. The importance layer succeeds on directly actionable humanitarian statements but fails when contextual stakes are high and statement-specific relevance is low. This failure identifies a precise architectural repair rather than a general collapse of the framework.</w:t>
      </w:r>
    </w:p>
    <w:p>
      <w:pPr>
        <w:pStyle w:val="Titre1"/>
      </w:pPr>
      <w:r>
        <w:rPr>
          <w:rFonts w:ascii="Calibri" w:hAnsi="Calibri"/>
        </w:rPr>
        <w:t>7  Conclusion</w:t>
      </w:r>
    </w:p>
    <w:p>
      <w:pPr>
        <w:spacing w:after="120"/>
        <w:jc w:val="both"/>
      </w:pPr>
      <w:r>
        <w:rPr>
          <w:rFonts w:ascii="Calibri" w:hAnsi="Calibri"/>
        </w:rPr>
        <w:t>This paper has presented a preliminary empirical validation of the unified truth-probability and importance-scoring framework across three datasets and 600 scored items. The validation tested T_abs against LIAR/PolitiFact, T_perc against CredEvent TurkRatings, and I against HumAID.</w:t>
      </w:r>
    </w:p>
    <w:p>
      <w:pPr>
        <w:spacing w:after="120"/>
        <w:jc w:val="both"/>
      </w:pPr>
      <w:r>
        <w:rPr>
          <w:rFonts w:ascii="Calibri" w:hAnsi="Calibri"/>
        </w:rPr>
        <w:t>The main positive finding is that T_abs aligns extremely strongly with professional fact-checking labels. The framework achieves Spearman ρ = 0.983 and AUC = 1.000 on 200 political statements. This supports the architecture of evidence-weighted truth-probability and especially the inclusion of explicit corroboration, established-knowledge consistency, and empirical-evidence variables.</w:t>
      </w:r>
    </w:p>
    <w:p>
      <w:pPr>
        <w:spacing w:after="120"/>
        <w:jc w:val="both"/>
      </w:pPr>
      <w:r>
        <w:rPr>
          <w:rFonts w:ascii="Calibri" w:hAnsi="Calibri"/>
        </w:rPr>
        <w:t>The main negative finding is that I over-scores statements that are located inside high-stakes contexts but are not themselves relevant to those stakes. This is clearest in HumAID not_humanitarian items, where the model mean is 0.791 against an expected value of 0.080. The proposed Rel gate repairs this by distinguishing ambient context from statement-specific relevance.</w:t>
      </w:r>
    </w:p>
    <w:p>
      <w:pPr>
        <w:spacing w:after="120"/>
        <w:jc w:val="both"/>
      </w:pPr>
      <w:r>
        <w:rPr>
          <w:rFonts w:ascii="Calibri" w:hAnsi="Calibri"/>
        </w:rPr>
        <w:t>The second negative finding is the compression of barely-true and half-true PolitiFact statements. This is not treated as a defect to be calibrated away. It reflects a principled difference between skeptical Bayesian truth-probability and journalistic partial-truth categories.</w:t>
      </w:r>
    </w:p>
    <w:p>
      <w:pPr>
        <w:spacing w:after="120"/>
        <w:jc w:val="both"/>
      </w:pPr>
      <w:r>
        <w:rPr>
          <w:rFonts w:ascii="Calibri" w:hAnsi="Calibri"/>
        </w:rPr>
        <w:t>The validation should be read as a preliminary automated pass. It is strong enough to identify where the framework works, where it fails, and what should be fixed next. It is not yet a final human-replicated validation. The sequel study should implement the Rel correction, run receiver-sensitivity analysis, perform blind human rescoring of a subsample, and report inter-rater reliability.</w:t>
      </w:r>
    </w:p>
    <w:p>
      <w:pPr>
        <w:pStyle w:val="Titre1"/>
      </w:pPr>
      <w:r>
        <w:rPr>
          <w:rFonts w:ascii="Calibri" w:hAnsi="Calibri"/>
        </w:rPr>
        <w:t>Researcher's Note</w:t>
      </w:r>
    </w:p>
    <w:p>
      <w:pPr>
        <w:spacing w:after="120"/>
        <w:jc w:val="both"/>
      </w:pPr>
      <w:r>
        <w:rPr>
          <w:rFonts w:ascii="Calibri" w:hAnsi="Calibri"/>
        </w:rPr>
        <w:t>This research was conducted independently, without institutional affiliation or funding. The validation pass was performed with AI assistance following an explicit scoring rubric. Contact: m.amine.belachhab@gmail.com</w:t>
      </w:r>
    </w:p>
    <w:p>
      <w:pPr>
        <w:pStyle w:val="Titre1"/>
      </w:pPr>
      <w:r>
        <w:rPr>
          <w:rFonts w:ascii="Calibri" w:hAnsi="Calibri"/>
        </w:rPr>
        <w:t>Appendix A: Dataset Mapping Reference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160"/>
            <w:vAlign w:val="top"/>
            <w:tcMar>
              <w:top w:w="80" w:type="dxa"/>
              <w:start w:w="80" w:type="dxa"/>
              <w:bottom w:w="80" w:type="dxa"/>
              <w:end w:w="80" w:type="dxa"/>
            </w:tcMar>
            <w:shd w:fill="D9E2F3"/>
          </w:tcPr>
          <w:p>
            <w:pPr>
              <w:spacing w:after="0"/>
              <w:jc w:val="center"/>
            </w:pPr>
            <w:r>
              <w:rPr>
                <w:rFonts w:ascii="Calibri" w:hAnsi="Calibri"/>
                <w:b/>
                <w:sz w:val="16"/>
              </w:rPr>
              <w:t>Dataset</w:t>
            </w:r>
          </w:p>
        </w:tc>
        <w:tc>
          <w:tcPr>
            <w:tcW w:type="dxa" w:w="1296"/>
            <w:vAlign w:val="top"/>
            <w:tcMar>
              <w:top w:w="80" w:type="dxa"/>
              <w:start w:w="80" w:type="dxa"/>
              <w:bottom w:w="80" w:type="dxa"/>
              <w:end w:w="80" w:type="dxa"/>
            </w:tcMar>
            <w:shd w:fill="D9E2F3"/>
          </w:tcPr>
          <w:p>
            <w:pPr>
              <w:spacing w:after="0"/>
              <w:jc w:val="center"/>
            </w:pPr>
            <w:r>
              <w:rPr>
                <w:rFonts w:ascii="Calibri" w:hAnsi="Calibri"/>
                <w:b/>
                <w:sz w:val="16"/>
              </w:rPr>
              <w:t>Framework output</w:t>
            </w:r>
          </w:p>
        </w:tc>
        <w:tc>
          <w:tcPr>
            <w:tcW w:type="dxa" w:w="3888"/>
            <w:vAlign w:val="top"/>
            <w:tcMar>
              <w:top w:w="80" w:type="dxa"/>
              <w:start w:w="80" w:type="dxa"/>
              <w:bottom w:w="80" w:type="dxa"/>
              <w:end w:w="80" w:type="dxa"/>
            </w:tcMar>
            <w:shd w:fill="D9E2F3"/>
          </w:tcPr>
          <w:p>
            <w:pPr>
              <w:spacing w:after="0"/>
              <w:jc w:val="center"/>
            </w:pPr>
            <w:r>
              <w:rPr>
                <w:rFonts w:ascii="Calibri" w:hAnsi="Calibri"/>
                <w:b/>
                <w:sz w:val="16"/>
              </w:rPr>
              <w:t>Construct tested</w:t>
            </w:r>
          </w:p>
        </w:tc>
        <w:tc>
          <w:tcPr>
            <w:tcW w:type="dxa" w:w="3024"/>
            <w:vAlign w:val="top"/>
            <w:tcMar>
              <w:top w:w="80" w:type="dxa"/>
              <w:start w:w="80" w:type="dxa"/>
              <w:bottom w:w="80" w:type="dxa"/>
              <w:end w:w="80" w:type="dxa"/>
            </w:tcMar>
            <w:shd w:fill="D9E2F3"/>
          </w:tcPr>
          <w:p>
            <w:pPr>
              <w:spacing w:after="0"/>
              <w:jc w:val="center"/>
            </w:pPr>
            <w:r>
              <w:rPr>
                <w:rFonts w:ascii="Calibri" w:hAnsi="Calibri"/>
                <w:b/>
                <w:sz w:val="16"/>
              </w:rPr>
              <w:t>Main limitation</w:t>
            </w:r>
          </w:p>
        </w:tc>
      </w:tr>
      <w:tr>
        <w:tc>
          <w:tcPr>
            <w:tcW w:type="dxa" w:w="2160"/>
            <w:vAlign w:val="top"/>
            <w:tcMar>
              <w:top w:w="80" w:type="dxa"/>
              <w:start w:w="80" w:type="dxa"/>
              <w:bottom w:w="80" w:type="dxa"/>
              <w:end w:w="80" w:type="dxa"/>
            </w:tcMar>
          </w:tcPr>
          <w:p>
            <w:pPr>
              <w:spacing w:after="0"/>
              <w:jc w:val="left"/>
            </w:pPr>
            <w:r>
              <w:rPr>
                <w:rFonts w:ascii="Calibri" w:hAnsi="Calibri"/>
                <w:sz w:val="16"/>
              </w:rPr>
              <w:t>LIAR / PolitiFact</w:t>
            </w:r>
          </w:p>
        </w:tc>
        <w:tc>
          <w:tcPr>
            <w:tcW w:type="dxa" w:w="1296"/>
            <w:vAlign w:val="top"/>
            <w:tcMar>
              <w:top w:w="80" w:type="dxa"/>
              <w:start w:w="80" w:type="dxa"/>
              <w:bottom w:w="80" w:type="dxa"/>
              <w:end w:w="80" w:type="dxa"/>
            </w:tcMar>
          </w:tcPr>
          <w:p>
            <w:pPr>
              <w:spacing w:after="0"/>
              <w:jc w:val="left"/>
            </w:pPr>
            <w:r>
              <w:rPr>
                <w:rFonts w:ascii="Calibri" w:hAnsi="Calibri"/>
                <w:sz w:val="16"/>
              </w:rPr>
              <w:t>T_abs</w:t>
            </w:r>
          </w:p>
        </w:tc>
        <w:tc>
          <w:tcPr>
            <w:tcW w:type="dxa" w:w="3888"/>
            <w:vAlign w:val="top"/>
            <w:tcMar>
              <w:top w:w="80" w:type="dxa"/>
              <w:start w:w="80" w:type="dxa"/>
              <w:bottom w:w="80" w:type="dxa"/>
              <w:end w:w="80" w:type="dxa"/>
            </w:tcMar>
          </w:tcPr>
          <w:p>
            <w:pPr>
              <w:spacing w:after="0"/>
              <w:jc w:val="left"/>
            </w:pPr>
            <w:r>
              <w:rPr>
                <w:rFonts w:ascii="Calibri" w:hAnsi="Calibri"/>
                <w:sz w:val="16"/>
              </w:rPr>
              <w:t>Evidence-weighted truth-probability against professional fact-checking categories</w:t>
            </w:r>
          </w:p>
        </w:tc>
        <w:tc>
          <w:tcPr>
            <w:tcW w:type="dxa" w:w="3024"/>
            <w:vAlign w:val="top"/>
            <w:tcMar>
              <w:top w:w="80" w:type="dxa"/>
              <w:start w:w="80" w:type="dxa"/>
              <w:bottom w:w="80" w:type="dxa"/>
              <w:end w:w="80" w:type="dxa"/>
            </w:tcMar>
          </w:tcPr>
          <w:p>
            <w:pPr>
              <w:spacing w:after="0"/>
              <w:jc w:val="left"/>
            </w:pPr>
            <w:r>
              <w:rPr>
                <w:rFonts w:ascii="Calibri" w:hAnsi="Calibri"/>
                <w:sz w:val="16"/>
              </w:rPr>
              <w:t>Middle categories are journalistic labels, not literal posterior probabilities</w:t>
            </w:r>
          </w:p>
        </w:tc>
      </w:tr>
      <w:tr>
        <w:tc>
          <w:tcPr>
            <w:tcW w:type="dxa" w:w="2160"/>
            <w:vAlign w:val="top"/>
            <w:tcMar>
              <w:top w:w="80" w:type="dxa"/>
              <w:start w:w="80" w:type="dxa"/>
              <w:bottom w:w="80" w:type="dxa"/>
              <w:end w:w="80" w:type="dxa"/>
            </w:tcMar>
          </w:tcPr>
          <w:p>
            <w:pPr>
              <w:spacing w:after="0"/>
              <w:jc w:val="left"/>
            </w:pPr>
            <w:r>
              <w:rPr>
                <w:rFonts w:ascii="Calibri" w:hAnsi="Calibri"/>
                <w:sz w:val="16"/>
              </w:rPr>
              <w:t>CredEvent TurkRatings</w:t>
            </w:r>
          </w:p>
        </w:tc>
        <w:tc>
          <w:tcPr>
            <w:tcW w:type="dxa" w:w="1296"/>
            <w:vAlign w:val="top"/>
            <w:tcMar>
              <w:top w:w="80" w:type="dxa"/>
              <w:start w:w="80" w:type="dxa"/>
              <w:bottom w:w="80" w:type="dxa"/>
              <w:end w:w="80" w:type="dxa"/>
            </w:tcMar>
          </w:tcPr>
          <w:p>
            <w:pPr>
              <w:spacing w:after="0"/>
              <w:jc w:val="left"/>
            </w:pPr>
            <w:r>
              <w:rPr>
                <w:rFonts w:ascii="Calibri" w:hAnsi="Calibri"/>
                <w:sz w:val="16"/>
              </w:rPr>
              <w:t>T_perc</w:t>
            </w:r>
          </w:p>
        </w:tc>
        <w:tc>
          <w:tcPr>
            <w:tcW w:type="dxa" w:w="3888"/>
            <w:vAlign w:val="top"/>
            <w:tcMar>
              <w:top w:w="80" w:type="dxa"/>
              <w:start w:w="80" w:type="dxa"/>
              <w:bottom w:w="80" w:type="dxa"/>
              <w:end w:w="80" w:type="dxa"/>
            </w:tcMar>
          </w:tcPr>
          <w:p>
            <w:pPr>
              <w:spacing w:after="0"/>
              <w:jc w:val="left"/>
            </w:pPr>
            <w:r>
              <w:rPr>
                <w:rFonts w:ascii="Calibri" w:hAnsi="Calibri"/>
                <w:sz w:val="16"/>
              </w:rPr>
              <w:t>Perceived credibility against crowd ratings</w:t>
            </w:r>
          </w:p>
        </w:tc>
        <w:tc>
          <w:tcPr>
            <w:tcW w:type="dxa" w:w="3024"/>
            <w:vAlign w:val="top"/>
            <w:tcMar>
              <w:top w:w="80" w:type="dxa"/>
              <w:start w:w="80" w:type="dxa"/>
              <w:bottom w:w="80" w:type="dxa"/>
              <w:end w:w="80" w:type="dxa"/>
            </w:tcMar>
          </w:tcPr>
          <w:p>
            <w:pPr>
              <w:spacing w:after="0"/>
              <w:jc w:val="left"/>
            </w:pPr>
            <w:r>
              <w:rPr>
                <w:rFonts w:ascii="Calibri" w:hAnsi="Calibri"/>
                <w:sz w:val="16"/>
              </w:rPr>
              <w:t>Crowd mean does not specify a receiver profile</w:t>
            </w:r>
          </w:p>
        </w:tc>
      </w:tr>
      <w:tr>
        <w:tc>
          <w:tcPr>
            <w:tcW w:type="dxa" w:w="2160"/>
            <w:vAlign w:val="top"/>
            <w:tcMar>
              <w:top w:w="80" w:type="dxa"/>
              <w:start w:w="80" w:type="dxa"/>
              <w:bottom w:w="80" w:type="dxa"/>
              <w:end w:w="80" w:type="dxa"/>
            </w:tcMar>
          </w:tcPr>
          <w:p>
            <w:pPr>
              <w:spacing w:after="0"/>
              <w:jc w:val="left"/>
            </w:pPr>
            <w:r>
              <w:rPr>
                <w:rFonts w:ascii="Calibri" w:hAnsi="Calibri"/>
                <w:sz w:val="16"/>
              </w:rPr>
              <w:t>HumAID</w:t>
            </w:r>
          </w:p>
        </w:tc>
        <w:tc>
          <w:tcPr>
            <w:tcW w:type="dxa" w:w="1296"/>
            <w:vAlign w:val="top"/>
            <w:tcMar>
              <w:top w:w="80" w:type="dxa"/>
              <w:start w:w="80" w:type="dxa"/>
              <w:bottom w:w="80" w:type="dxa"/>
              <w:end w:w="80" w:type="dxa"/>
            </w:tcMar>
          </w:tcPr>
          <w:p>
            <w:pPr>
              <w:spacing w:after="0"/>
              <w:jc w:val="left"/>
            </w:pPr>
            <w:r>
              <w:rPr>
                <w:rFonts w:ascii="Calibri" w:hAnsi="Calibri"/>
                <w:sz w:val="16"/>
              </w:rPr>
              <w:t>I</w:t>
            </w:r>
          </w:p>
        </w:tc>
        <w:tc>
          <w:tcPr>
            <w:tcW w:type="dxa" w:w="3888"/>
            <w:vAlign w:val="top"/>
            <w:tcMar>
              <w:top w:w="80" w:type="dxa"/>
              <w:start w:w="80" w:type="dxa"/>
              <w:bottom w:w="80" w:type="dxa"/>
              <w:end w:w="80" w:type="dxa"/>
            </w:tcMar>
          </w:tcPr>
          <w:p>
            <w:pPr>
              <w:spacing w:after="0"/>
              <w:jc w:val="left"/>
            </w:pPr>
            <w:r>
              <w:rPr>
                <w:rFonts w:ascii="Calibri" w:hAnsi="Calibri"/>
                <w:sz w:val="16"/>
              </w:rPr>
              <w:t>Humanitarian importance against crisis-response categories</w:t>
            </w:r>
          </w:p>
        </w:tc>
        <w:tc>
          <w:tcPr>
            <w:tcW w:type="dxa" w:w="3024"/>
            <w:vAlign w:val="top"/>
            <w:tcMar>
              <w:top w:w="80" w:type="dxa"/>
              <w:start w:w="80" w:type="dxa"/>
              <w:bottom w:w="80" w:type="dxa"/>
              <w:end w:w="80" w:type="dxa"/>
            </w:tcMar>
          </w:tcPr>
          <w:p>
            <w:pPr>
              <w:spacing w:after="0"/>
              <w:jc w:val="left"/>
            </w:pPr>
            <w:r>
              <w:rPr>
                <w:rFonts w:ascii="Calibri" w:hAnsi="Calibri"/>
                <w:sz w:val="16"/>
              </w:rPr>
              <w:t>Ambient disaster context can differ from statement-specific relevance</w:t>
            </w:r>
          </w:p>
        </w:tc>
      </w:tr>
    </w:tbl>
    <w:p>
      <w:pPr>
        <w:spacing w:after="240"/>
        <w:jc w:val="center"/>
      </w:pPr>
      <w:r>
        <w:rPr>
          <w:rFonts w:ascii="Calibri" w:hAnsi="Calibri"/>
        </w:rPr>
        <w:t>Table A1: Dataset-to-framework mapping.</w:t>
      </w:r>
    </w:p>
    <w:p>
      <w:pPr>
        <w:pStyle w:val="Titre1"/>
      </w:pPr>
      <w:r>
        <w:rPr>
          <w:rFonts w:ascii="Calibri" w:hAnsi="Calibri"/>
        </w:rPr>
        <w:t>Appendix B: Notation Reference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2160"/>
            <w:vAlign w:val="top"/>
            <w:tcMar>
              <w:top w:w="80" w:type="dxa"/>
              <w:start w:w="80" w:type="dxa"/>
              <w:bottom w:w="80" w:type="dxa"/>
              <w:end w:w="80" w:type="dxa"/>
            </w:tcMar>
            <w:shd w:fill="D9E2F3"/>
          </w:tcPr>
          <w:p>
            <w:pPr>
              <w:spacing w:after="0"/>
              <w:jc w:val="center"/>
            </w:pPr>
            <w:r>
              <w:rPr>
                <w:rFonts w:ascii="Calibri" w:hAnsi="Calibri"/>
                <w:b/>
                <w:sz w:val="18"/>
              </w:rPr>
              <w:t>Symbol</w:t>
            </w:r>
          </w:p>
        </w:tc>
        <w:tc>
          <w:tcPr>
            <w:tcW w:type="dxa" w:w="7200"/>
            <w:vAlign w:val="top"/>
            <w:tcMar>
              <w:top w:w="80" w:type="dxa"/>
              <w:start w:w="80" w:type="dxa"/>
              <w:bottom w:w="80" w:type="dxa"/>
              <w:end w:w="80" w:type="dxa"/>
            </w:tcMar>
            <w:shd w:fill="D9E2F3"/>
          </w:tcPr>
          <w:p>
            <w:pPr>
              <w:spacing w:after="0"/>
              <w:jc w:val="center"/>
            </w:pPr>
            <w:r>
              <w:rPr>
                <w:rFonts w:ascii="Calibri" w:hAnsi="Calibri"/>
                <w:b/>
                <w:sz w:val="18"/>
              </w:rPr>
              <w:t>Meaning</w:t>
            </w:r>
          </w:p>
        </w:tc>
      </w:tr>
      <w:tr>
        <w:tc>
          <w:tcPr>
            <w:tcW w:type="dxa" w:w="2160"/>
            <w:vAlign w:val="top"/>
            <w:tcMar>
              <w:top w:w="80" w:type="dxa"/>
              <w:start w:w="80" w:type="dxa"/>
              <w:bottom w:w="80" w:type="dxa"/>
              <w:end w:w="80" w:type="dxa"/>
            </w:tcMar>
          </w:tcPr>
          <w:p>
            <w:pPr>
              <w:spacing w:after="0"/>
              <w:jc w:val="left"/>
            </w:pPr>
            <w:r>
              <w:rPr>
                <w:rFonts w:ascii="Calibri" w:hAnsi="Calibri"/>
                <w:sz w:val="18"/>
              </w:rPr>
              <w:t>T_abs(s)</w:t>
            </w:r>
          </w:p>
        </w:tc>
        <w:tc>
          <w:tcPr>
            <w:tcW w:type="dxa" w:w="7200"/>
            <w:vAlign w:val="top"/>
            <w:tcMar>
              <w:top w:w="80" w:type="dxa"/>
              <w:start w:w="80" w:type="dxa"/>
              <w:bottom w:w="80" w:type="dxa"/>
              <w:end w:w="80" w:type="dxa"/>
            </w:tcMar>
          </w:tcPr>
          <w:p>
            <w:pPr>
              <w:spacing w:after="0"/>
              <w:jc w:val="left"/>
            </w:pPr>
            <w:r>
              <w:rPr>
                <w:rFonts w:ascii="Calibri" w:hAnsi="Calibri"/>
                <w:sz w:val="18"/>
              </w:rPr>
              <w:t>Evidence-weighted truth-probability of statement s</w:t>
            </w:r>
          </w:p>
        </w:tc>
      </w:tr>
      <w:tr>
        <w:tc>
          <w:tcPr>
            <w:tcW w:type="dxa" w:w="2160"/>
            <w:vAlign w:val="top"/>
            <w:tcMar>
              <w:top w:w="80" w:type="dxa"/>
              <w:start w:w="80" w:type="dxa"/>
              <w:bottom w:w="80" w:type="dxa"/>
              <w:end w:w="80" w:type="dxa"/>
            </w:tcMar>
          </w:tcPr>
          <w:p>
            <w:pPr>
              <w:spacing w:after="0"/>
              <w:jc w:val="left"/>
            </w:pPr>
            <w:r>
              <w:rPr>
                <w:rFonts w:ascii="Calibri" w:hAnsi="Calibri"/>
                <w:sz w:val="18"/>
              </w:rPr>
              <w:t>T_perc(s,r)</w:t>
            </w:r>
          </w:p>
        </w:tc>
        <w:tc>
          <w:tcPr>
            <w:tcW w:type="dxa" w:w="7200"/>
            <w:vAlign w:val="top"/>
            <w:tcMar>
              <w:top w:w="80" w:type="dxa"/>
              <w:start w:w="80" w:type="dxa"/>
              <w:bottom w:w="80" w:type="dxa"/>
              <w:end w:w="80" w:type="dxa"/>
            </w:tcMar>
          </w:tcPr>
          <w:p>
            <w:pPr>
              <w:spacing w:after="0"/>
              <w:jc w:val="left"/>
            </w:pPr>
            <w:r>
              <w:rPr>
                <w:rFonts w:ascii="Calibri" w:hAnsi="Calibri"/>
                <w:sz w:val="18"/>
              </w:rPr>
              <w:t>Perceived truth-probability of statement s for receiver r</w:t>
            </w:r>
          </w:p>
        </w:tc>
      </w:tr>
      <w:tr>
        <w:tc>
          <w:tcPr>
            <w:tcW w:type="dxa" w:w="2160"/>
            <w:vAlign w:val="top"/>
            <w:tcMar>
              <w:top w:w="80" w:type="dxa"/>
              <w:start w:w="80" w:type="dxa"/>
              <w:bottom w:w="80" w:type="dxa"/>
              <w:end w:w="80" w:type="dxa"/>
            </w:tcMar>
          </w:tcPr>
          <w:p>
            <w:pPr>
              <w:spacing w:after="0"/>
              <w:jc w:val="left"/>
            </w:pPr>
            <w:r>
              <w:rPr>
                <w:rFonts w:ascii="Calibri" w:hAnsi="Calibri"/>
                <w:sz w:val="18"/>
              </w:rPr>
              <w:t>I(s,r)</w:t>
            </w:r>
          </w:p>
        </w:tc>
        <w:tc>
          <w:tcPr>
            <w:tcW w:type="dxa" w:w="7200"/>
            <w:vAlign w:val="top"/>
            <w:tcMar>
              <w:top w:w="80" w:type="dxa"/>
              <w:start w:w="80" w:type="dxa"/>
              <w:bottom w:w="80" w:type="dxa"/>
              <w:end w:w="80" w:type="dxa"/>
            </w:tcMar>
          </w:tcPr>
          <w:p>
            <w:pPr>
              <w:spacing w:after="0"/>
              <w:jc w:val="left"/>
            </w:pPr>
            <w:r>
              <w:rPr>
                <w:rFonts w:ascii="Calibri" w:hAnsi="Calibri"/>
                <w:sz w:val="18"/>
              </w:rPr>
              <w:t>Importance score of statement s for receiver r</w:t>
            </w:r>
          </w:p>
        </w:tc>
      </w:tr>
      <w:tr>
        <w:tc>
          <w:tcPr>
            <w:tcW w:type="dxa" w:w="2160"/>
            <w:vAlign w:val="top"/>
            <w:tcMar>
              <w:top w:w="80" w:type="dxa"/>
              <w:start w:w="80" w:type="dxa"/>
              <w:bottom w:w="80" w:type="dxa"/>
              <w:end w:w="80" w:type="dxa"/>
            </w:tcMar>
          </w:tcPr>
          <w:p>
            <w:pPr>
              <w:spacing w:after="0"/>
              <w:jc w:val="left"/>
            </w:pPr>
            <w:r>
              <w:rPr>
                <w:rFonts w:ascii="Calibri" w:hAnsi="Calibri"/>
                <w:sz w:val="18"/>
              </w:rPr>
              <w:t>AD</w:t>
            </w:r>
          </w:p>
        </w:tc>
        <w:tc>
          <w:tcPr>
            <w:tcW w:type="dxa" w:w="7200"/>
            <w:vAlign w:val="top"/>
            <w:tcMar>
              <w:top w:w="80" w:type="dxa"/>
              <w:start w:w="80" w:type="dxa"/>
              <w:bottom w:w="80" w:type="dxa"/>
              <w:end w:w="80" w:type="dxa"/>
            </w:tcMar>
          </w:tcPr>
          <w:p>
            <w:pPr>
              <w:spacing w:after="0"/>
              <w:jc w:val="left"/>
            </w:pPr>
            <w:r>
              <w:rPr>
                <w:rFonts w:ascii="Calibri" w:hAnsi="Calibri"/>
                <w:sz w:val="18"/>
              </w:rPr>
              <w:t>Broad stakes beyond the speaker</w:t>
            </w:r>
          </w:p>
        </w:tc>
      </w:tr>
      <w:tr>
        <w:tc>
          <w:tcPr>
            <w:tcW w:type="dxa" w:w="2160"/>
            <w:vAlign w:val="top"/>
            <w:tcMar>
              <w:top w:w="80" w:type="dxa"/>
              <w:start w:w="80" w:type="dxa"/>
              <w:bottom w:w="80" w:type="dxa"/>
              <w:end w:w="80" w:type="dxa"/>
            </w:tcMar>
          </w:tcPr>
          <w:p>
            <w:pPr>
              <w:spacing w:after="0"/>
              <w:jc w:val="left"/>
            </w:pPr>
            <w:r>
              <w:rPr>
                <w:rFonts w:ascii="Calibri" w:hAnsi="Calibri"/>
                <w:sz w:val="18"/>
              </w:rPr>
              <w:t>Y</w:t>
            </w:r>
          </w:p>
        </w:tc>
        <w:tc>
          <w:tcPr>
            <w:tcW w:type="dxa" w:w="7200"/>
            <w:vAlign w:val="top"/>
            <w:tcMar>
              <w:top w:w="80" w:type="dxa"/>
              <w:start w:w="80" w:type="dxa"/>
              <w:bottom w:w="80" w:type="dxa"/>
              <w:end w:w="80" w:type="dxa"/>
            </w:tcMar>
          </w:tcPr>
          <w:p>
            <w:pPr>
              <w:spacing w:after="0"/>
              <w:jc w:val="left"/>
            </w:pPr>
            <w:r>
              <w:rPr>
                <w:rFonts w:ascii="Calibri" w:hAnsi="Calibri"/>
                <w:sz w:val="18"/>
              </w:rPr>
              <w:t>General situational urgency or background charge</w:t>
            </w:r>
          </w:p>
        </w:tc>
      </w:tr>
      <w:tr>
        <w:tc>
          <w:tcPr>
            <w:tcW w:type="dxa" w:w="2160"/>
            <w:vAlign w:val="top"/>
            <w:tcMar>
              <w:top w:w="80" w:type="dxa"/>
              <w:start w:w="80" w:type="dxa"/>
              <w:bottom w:w="80" w:type="dxa"/>
              <w:end w:w="80" w:type="dxa"/>
            </w:tcMar>
          </w:tcPr>
          <w:p>
            <w:pPr>
              <w:spacing w:after="0"/>
              <w:jc w:val="left"/>
            </w:pPr>
            <w:r>
              <w:rPr>
                <w:rFonts w:ascii="Calibri" w:hAnsi="Calibri"/>
                <w:sz w:val="18"/>
              </w:rPr>
              <w:t>Z_eff</w:t>
            </w:r>
          </w:p>
        </w:tc>
        <w:tc>
          <w:tcPr>
            <w:tcW w:type="dxa" w:w="7200"/>
            <w:vAlign w:val="top"/>
            <w:tcMar>
              <w:top w:w="80" w:type="dxa"/>
              <w:start w:w="80" w:type="dxa"/>
              <w:bottom w:w="80" w:type="dxa"/>
              <w:end w:w="80" w:type="dxa"/>
            </w:tcMar>
          </w:tcPr>
          <w:p>
            <w:pPr>
              <w:spacing w:after="0"/>
              <w:jc w:val="left"/>
            </w:pPr>
            <w:r>
              <w:rPr>
                <w:rFonts w:ascii="Calibri" w:hAnsi="Calibri"/>
                <w:sz w:val="18"/>
              </w:rPr>
              <w:t>Bias-adjusted speaker stakes</w:t>
            </w:r>
          </w:p>
        </w:tc>
      </w:tr>
      <w:tr>
        <w:tc>
          <w:tcPr>
            <w:tcW w:type="dxa" w:w="2160"/>
            <w:vAlign w:val="top"/>
            <w:tcMar>
              <w:top w:w="80" w:type="dxa"/>
              <w:start w:w="80" w:type="dxa"/>
              <w:bottom w:w="80" w:type="dxa"/>
              <w:end w:w="80" w:type="dxa"/>
            </w:tcMar>
          </w:tcPr>
          <w:p>
            <w:pPr>
              <w:spacing w:after="0"/>
              <w:jc w:val="left"/>
            </w:pPr>
            <w:r>
              <w:rPr>
                <w:rFonts w:ascii="Calibri" w:hAnsi="Calibri"/>
                <w:sz w:val="18"/>
              </w:rPr>
              <w:t>Rel(s,c)</w:t>
            </w:r>
          </w:p>
        </w:tc>
        <w:tc>
          <w:tcPr>
            <w:tcW w:type="dxa" w:w="7200"/>
            <w:vAlign w:val="top"/>
            <w:tcMar>
              <w:top w:w="80" w:type="dxa"/>
              <w:start w:w="80" w:type="dxa"/>
              <w:bottom w:w="80" w:type="dxa"/>
              <w:end w:w="80" w:type="dxa"/>
            </w:tcMar>
          </w:tcPr>
          <w:p>
            <w:pPr>
              <w:spacing w:after="0"/>
              <w:jc w:val="left"/>
            </w:pPr>
            <w:r>
              <w:rPr>
                <w:rFonts w:ascii="Calibri" w:hAnsi="Calibri"/>
                <w:sz w:val="18"/>
              </w:rPr>
              <w:t>Statement-to-stakes relevance gate for statement s in context c</w:t>
            </w:r>
          </w:p>
        </w:tc>
      </w:tr>
      <w:tr>
        <w:tc>
          <w:tcPr>
            <w:tcW w:type="dxa" w:w="2160"/>
            <w:vAlign w:val="top"/>
            <w:tcMar>
              <w:top w:w="80" w:type="dxa"/>
              <w:start w:w="80" w:type="dxa"/>
              <w:bottom w:w="80" w:type="dxa"/>
              <w:end w:w="80" w:type="dxa"/>
            </w:tcMar>
          </w:tcPr>
          <w:p>
            <w:pPr>
              <w:spacing w:after="0"/>
              <w:jc w:val="left"/>
            </w:pPr>
            <w:r>
              <w:rPr>
                <w:rFonts w:ascii="Calibri" w:hAnsi="Calibri"/>
                <w:sz w:val="18"/>
              </w:rPr>
              <w:t>K, L, M</w:t>
            </w:r>
          </w:p>
        </w:tc>
        <w:tc>
          <w:tcPr>
            <w:tcW w:type="dxa" w:w="7200"/>
            <w:vAlign w:val="top"/>
            <w:tcMar>
              <w:top w:w="80" w:type="dxa"/>
              <w:start w:w="80" w:type="dxa"/>
              <w:bottom w:w="80" w:type="dxa"/>
              <w:end w:w="80" w:type="dxa"/>
            </w:tcMar>
          </w:tcPr>
          <w:p>
            <w:pPr>
              <w:spacing w:after="0"/>
              <w:jc w:val="left"/>
            </w:pPr>
            <w:r>
              <w:rPr>
                <w:rFonts w:ascii="Calibri" w:hAnsi="Calibri"/>
                <w:sz w:val="18"/>
              </w:rPr>
              <w:t>Independent corroboration, established-knowledge consistency, and physical/empirical evidence</w:t>
            </w:r>
          </w:p>
        </w:tc>
      </w:tr>
    </w:tbl>
    <w:p>
      <w:pPr>
        <w:spacing w:after="240"/>
        <w:jc w:val="center"/>
      </w:pPr>
      <w:r>
        <w:rPr>
          <w:rFonts w:ascii="Calibri" w:hAnsi="Calibri"/>
        </w:rPr>
        <w:t>Table A2: Notation used in the validation paper.</w:t>
      </w:r>
    </w:p>
    <w:sectPr w:rsidR="00D171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10E71"/>
    <w:multiLevelType w:val="hybridMultilevel"/>
    <w:tmpl w:val="65B8BD5E"/>
    <w:lvl w:ilvl="0" w:tplc="67AED6C2">
      <w:start w:val="1"/>
      <w:numFmt w:val="decimal"/>
      <w:lvlText w:val="%1."/>
      <w:lvlJc w:val="left"/>
      <w:pPr>
        <w:ind w:left="720" w:hanging="360"/>
      </w:pPr>
    </w:lvl>
    <w:lvl w:ilvl="1" w:tplc="7E38876C">
      <w:numFmt w:val="decimal"/>
      <w:lvlText w:val=""/>
      <w:lvlJc w:val="left"/>
    </w:lvl>
    <w:lvl w:ilvl="2" w:tplc="BAB2BD98">
      <w:numFmt w:val="decimal"/>
      <w:lvlText w:val=""/>
      <w:lvlJc w:val="left"/>
    </w:lvl>
    <w:lvl w:ilvl="3" w:tplc="1F3A7056">
      <w:numFmt w:val="decimal"/>
      <w:lvlText w:val=""/>
      <w:lvlJc w:val="left"/>
    </w:lvl>
    <w:lvl w:ilvl="4" w:tplc="0ED8C822">
      <w:numFmt w:val="decimal"/>
      <w:lvlText w:val=""/>
      <w:lvlJc w:val="left"/>
    </w:lvl>
    <w:lvl w:ilvl="5" w:tplc="729C4618">
      <w:numFmt w:val="decimal"/>
      <w:lvlText w:val=""/>
      <w:lvlJc w:val="left"/>
    </w:lvl>
    <w:lvl w:ilvl="6" w:tplc="5C56DD5C">
      <w:numFmt w:val="decimal"/>
      <w:lvlText w:val=""/>
      <w:lvlJc w:val="left"/>
    </w:lvl>
    <w:lvl w:ilvl="7" w:tplc="C2B4207C">
      <w:numFmt w:val="decimal"/>
      <w:lvlText w:val=""/>
      <w:lvlJc w:val="left"/>
    </w:lvl>
    <w:lvl w:ilvl="8" w:tplc="8F3A0D4E">
      <w:numFmt w:val="decimal"/>
      <w:lvlText w:val=""/>
      <w:lvlJc w:val="left"/>
    </w:lvl>
  </w:abstractNum>
  <w:abstractNum w:abstractNumId="1" w15:restartNumberingAfterBreak="0">
    <w:nsid w:val="66A47D74"/>
    <w:multiLevelType w:val="hybridMultilevel"/>
    <w:tmpl w:val="3BA0E97C"/>
    <w:lvl w:ilvl="0" w:tplc="FF9A50CC">
      <w:start w:val="1"/>
      <w:numFmt w:val="bullet"/>
      <w:lvlText w:val="•"/>
      <w:lvlJc w:val="left"/>
      <w:pPr>
        <w:ind w:left="720" w:hanging="360"/>
      </w:pPr>
    </w:lvl>
    <w:lvl w:ilvl="1" w:tplc="132AA418">
      <w:numFmt w:val="decimal"/>
      <w:lvlText w:val=""/>
      <w:lvlJc w:val="left"/>
    </w:lvl>
    <w:lvl w:ilvl="2" w:tplc="CEDC6B60">
      <w:numFmt w:val="decimal"/>
      <w:lvlText w:val=""/>
      <w:lvlJc w:val="left"/>
    </w:lvl>
    <w:lvl w:ilvl="3" w:tplc="B16865E4">
      <w:numFmt w:val="decimal"/>
      <w:lvlText w:val=""/>
      <w:lvlJc w:val="left"/>
    </w:lvl>
    <w:lvl w:ilvl="4" w:tplc="6576F3C6">
      <w:numFmt w:val="decimal"/>
      <w:lvlText w:val=""/>
      <w:lvlJc w:val="left"/>
    </w:lvl>
    <w:lvl w:ilvl="5" w:tplc="BB9AB8C4">
      <w:numFmt w:val="decimal"/>
      <w:lvlText w:val=""/>
      <w:lvlJc w:val="left"/>
    </w:lvl>
    <w:lvl w:ilvl="6" w:tplc="ADE26714">
      <w:numFmt w:val="decimal"/>
      <w:lvlText w:val=""/>
      <w:lvlJc w:val="left"/>
    </w:lvl>
    <w:lvl w:ilvl="7" w:tplc="C08079FC">
      <w:numFmt w:val="decimal"/>
      <w:lvlText w:val=""/>
      <w:lvlJc w:val="left"/>
    </w:lvl>
    <w:lvl w:ilvl="8" w:tplc="3F1210C0">
      <w:numFmt w:val="decimal"/>
      <w:lvlText w:val=""/>
      <w:lvlJc w:val="left"/>
    </w:lvl>
  </w:abstractNum>
  <w:abstractNum w:abstractNumId="2" w15:restartNumberingAfterBreak="0">
    <w:nsid w:val="731C50B7"/>
    <w:multiLevelType w:val="hybridMultilevel"/>
    <w:tmpl w:val="8730E508"/>
    <w:lvl w:ilvl="0" w:tplc="FE82453E">
      <w:start w:val="1"/>
      <w:numFmt w:val="bullet"/>
      <w:lvlText w:val="●"/>
      <w:lvlJc w:val="left"/>
      <w:pPr>
        <w:ind w:left="720" w:hanging="360"/>
      </w:pPr>
    </w:lvl>
    <w:lvl w:ilvl="1" w:tplc="D72C581E">
      <w:start w:val="1"/>
      <w:numFmt w:val="bullet"/>
      <w:lvlText w:val="○"/>
      <w:lvlJc w:val="left"/>
      <w:pPr>
        <w:ind w:left="1440" w:hanging="360"/>
      </w:pPr>
    </w:lvl>
    <w:lvl w:ilvl="2" w:tplc="D78E19F6">
      <w:start w:val="1"/>
      <w:numFmt w:val="bullet"/>
      <w:lvlText w:val="■"/>
      <w:lvlJc w:val="left"/>
      <w:pPr>
        <w:ind w:left="2160" w:hanging="360"/>
      </w:pPr>
    </w:lvl>
    <w:lvl w:ilvl="3" w:tplc="3872E388">
      <w:start w:val="1"/>
      <w:numFmt w:val="bullet"/>
      <w:lvlText w:val="●"/>
      <w:lvlJc w:val="left"/>
      <w:pPr>
        <w:ind w:left="2880" w:hanging="360"/>
      </w:pPr>
    </w:lvl>
    <w:lvl w:ilvl="4" w:tplc="5C2A484A">
      <w:start w:val="1"/>
      <w:numFmt w:val="bullet"/>
      <w:lvlText w:val="○"/>
      <w:lvlJc w:val="left"/>
      <w:pPr>
        <w:ind w:left="3600" w:hanging="360"/>
      </w:pPr>
    </w:lvl>
    <w:lvl w:ilvl="5" w:tplc="9586A6F4">
      <w:start w:val="1"/>
      <w:numFmt w:val="bullet"/>
      <w:lvlText w:val="■"/>
      <w:lvlJc w:val="left"/>
      <w:pPr>
        <w:ind w:left="4320" w:hanging="360"/>
      </w:pPr>
    </w:lvl>
    <w:lvl w:ilvl="6" w:tplc="58BA5254">
      <w:start w:val="1"/>
      <w:numFmt w:val="bullet"/>
      <w:lvlText w:val="●"/>
      <w:lvlJc w:val="left"/>
      <w:pPr>
        <w:ind w:left="5040" w:hanging="360"/>
      </w:pPr>
    </w:lvl>
    <w:lvl w:ilvl="7" w:tplc="C346C8C6">
      <w:start w:val="1"/>
      <w:numFmt w:val="bullet"/>
      <w:lvlText w:val="●"/>
      <w:lvlJc w:val="left"/>
      <w:pPr>
        <w:ind w:left="5760" w:hanging="360"/>
      </w:pPr>
    </w:lvl>
    <w:lvl w:ilvl="8" w:tplc="EDA2FEDC">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152"/>
    <w:rsid w:val="00154D9B"/>
    <w:rsid w:val="00335596"/>
    <w:rsid w:val="00D1715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69EE8"/>
  <w15:docId w15:val="{D5873CA1-D242-497A-AF55-3F050CF2D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pPr>
    <w:rPr>
      <w:rFonts w:ascii="Calibri" w:hAnsi="Calibri"/>
      <w:sz w:val="22"/>
    </w:rPr>
  </w:style>
  <w:style w:type="paragraph" w:styleId="Titre1">
    <w:name w:val="heading 1"/>
    <w:qFormat/>
    <w:pPr>
      <w:spacing w:before="360" w:after="120"/>
      <w:outlineLvl w:val="0"/>
    </w:pPr>
    <w:rPr>
      <w:b/>
      <w:bCs/>
      <w:color w:val="1F3864"/>
      <w:sz w:val="32"/>
      <w:szCs w:val="32"/>
    </w:rPr>
  </w:style>
  <w:style w:type="paragraph" w:styleId="Titre2">
    <w:name w:val="heading 2"/>
    <w:qFormat/>
    <w:pPr>
      <w:spacing w:before="240" w:after="80"/>
      <w:outlineLvl w:val="1"/>
    </w:pPr>
    <w:rPr>
      <w:b/>
      <w:bCs/>
      <w:color w:val="1F3864"/>
      <w:sz w:val="26"/>
      <w:szCs w:val="26"/>
    </w:rPr>
  </w:style>
  <w:style w:type="paragraph" w:styleId="Titre3">
    <w:name w:val="heading 3"/>
    <w:qFormat/>
    <w:pPr>
      <w:spacing w:before="180" w:after="60"/>
      <w:outlineLvl w:val="2"/>
    </w:pPr>
    <w:rPr>
      <w:b/>
      <w:bCs/>
      <w:color w:val="1F3864"/>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335596"/>
    <w:pPr>
      <w:spacing w:before="100" w:beforeAutospacing="1" w:after="100" w:afterAutospacing="1"/>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3355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6638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7115</Words>
  <Characters>40559</Characters>
  <Application>Microsoft Office Word</Application>
  <DocSecurity>0</DocSecurity>
  <Lines>337</Lines>
  <Paragraphs>95</Paragraphs>
  <ScaleCrop>false</ScaleCrop>
  <Company/>
  <LinksUpToDate>false</LinksUpToDate>
  <CharactersWithSpaces>47579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Amine Belachhab</dc:creator>
  <cp:lastModifiedBy>binfo</cp:lastModifiedBy>
  <cp:revision>4</cp:revision>
  <dcterms:created xsi:type="dcterms:W3CDTF">2026-06-19T17:33:00Z</dcterms:created>
  <dcterms:modified xsi:type="dcterms:W3CDTF">2026-06-21T15:55:00Z</dcterms:modified>
  <dc:title>Empirical Validation of the Unified Truth-Probability and Importance-Scoring Framework</dc:title>
  <dc:subject>Empirical validation of truth-probability and importance-scoring framework</dc:subject>
  <dc:description/>
  <cp:keywords>truth-probability; importance scoring; empirical validation; fact-checking; HumAID; CredEvent; LIAR</cp:keywords>
</cp:coreProperties>
</file>