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after="0"/>
        <w:jc w:val="center"/>
      </w:pPr>
      <w:r>
        <w:rPr>
          <w:rFonts w:ascii="Calibri" w:hAnsi="Calibri"/>
          <w:b/>
          <w:color w:val="1F3864"/>
          <w:sz w:val="38"/>
        </w:rPr>
        <w:t>A Preliminary Empirical Stress Test of the Unified</w:t>
      </w:r>
    </w:p>
    <w:p>
      <w:pPr>
        <w:spacing w:after="320"/>
        <w:jc w:val="center"/>
      </w:pPr>
      <w:r>
        <w:rPr>
          <w:rFonts w:ascii="Calibri" w:hAnsi="Calibri"/>
          <w:b/>
          <w:color w:val="1F3864"/>
          <w:sz w:val="38"/>
        </w:rPr>
        <w:t>Truth-Probability and Importance-Scoring Framework</w:t>
      </w:r>
    </w:p>
    <w:p>
      <w:pPr>
        <w:spacing w:after="60"/>
        <w:jc w:val="center"/>
      </w:pPr>
      <w:r>
        <w:rPr>
          <w:rFonts w:ascii="Calibri" w:hAnsi="Calibri"/>
          <w:b/>
          <w:i w:val="0"/>
          <w:sz w:val="24"/>
        </w:rPr>
        <w:t>Mohamed Amine Belachhab</w:t>
      </w:r>
    </w:p>
    <w:p>
      <w:pPr>
        <w:spacing w:after="60"/>
        <w:jc w:val="center"/>
      </w:pPr>
      <w:r>
        <w:rPr>
          <w:rFonts w:ascii="Calibri" w:hAnsi="Calibri"/>
          <w:b w:val="0"/>
          <w:i/>
        </w:rPr>
        <w:t>Independent Researcher, Fes, Morocco</w:t>
      </w:r>
    </w:p>
    <w:p>
      <w:pPr>
        <w:spacing w:after="60"/>
        <w:jc w:val="center"/>
      </w:pPr>
      <w:r>
        <w:rPr>
          <w:rFonts w:ascii="Calibri" w:hAnsi="Calibri"/>
          <w:b w:val="0"/>
          <w:i w:val="0"/>
        </w:rPr>
        <w:t>m.amine.belachhab@gmail.com</w:t>
      </w:r>
    </w:p>
    <w:p>
      <w:pPr>
        <w:spacing w:after="480"/>
        <w:jc w:val="center"/>
      </w:pPr>
      <w:r>
        <w:rPr>
          <w:rFonts w:ascii="Calibri" w:hAnsi="Calibri"/>
          <w:b w:val="0"/>
          <w:i/>
        </w:rPr>
        <w:t>Working Paper Version 1.0 — June 2026</w:t>
      </w:r>
    </w:p>
    <w:p>
      <w:pPr>
        <w:spacing w:after="120"/>
        <w:jc w:val="both"/>
      </w:pPr>
      <w:r>
        <w:rPr>
          <w:rFonts w:ascii="Calibri" w:hAnsi="Calibri"/>
          <w:b/>
        </w:rPr>
        <w:t>Abstract</w:t>
      </w:r>
      <w:r>
        <w:rPr>
          <w:rFonts w:ascii="Calibri" w:hAnsi="Calibri"/>
        </w:rPr>
      </w:r>
    </w:p>
    <w:p>
      <w:pPr>
        <w:spacing w:after="120"/>
        <w:jc w:val="both"/>
      </w:pPr>
      <w:r>
        <w:rPr>
          <w:rFonts w:ascii="Calibri" w:hAnsi="Calibri"/>
        </w:rPr>
        <w:t>This paper presents a preliminary, AI-assisted empirical stress test of a unified mathematical framework for assigning truth-probability, perceived truth, and importance scores to statements. The study tests three framework outputs against three external benchmark targets: T_abs(s) against LIAR/PolitiFact truth categories, T_perc(s,r) against CredEvent crowd credibility ratings, and I(s,r) against HumAID humanitarian-response categories. The study is diagnostic rather than final: it asks whether the framework produces plausible rankings under a fixed rubric, whether the scoring formulas are computationally reproducible, and where systematic failure modes appear. Across 600 scored items, T_abs shows very strong rank alignment with PolitiFact categories under the present evidence-audit scoring protocol (Spearman ρ = 0.983; AUC = 1.000). T_perc shows moderate alignment with CredEvent crowd credibility ratings (Spearman ρ = 0.476). I exposes a structural failure on HumAID: the model inflates importance when ambient crisis stakes are high even when the statement itself is not crisis-relevant. This failure motivates a statement-to-stakes relevance gate, Rel(s,c), as an architectural repair. Because the study was conducted by a solo independent researcher using AI-assisted scoring, without independent blind human raters or inter-rater reliability testing, the results should be interpreted as transparent pilot evidence: strong enough to identify alignment patterns and structural weaknesses, but pending independent replication.</w:t>
      </w:r>
    </w:p>
    <w:p>
      <w:pPr>
        <w:spacing w:after="120"/>
        <w:jc w:val="both"/>
      </w:pPr>
      <w:r>
        <w:rPr>
          <w:rFonts w:ascii="Calibri" w:hAnsi="Calibri"/>
          <w:b/>
        </w:rPr>
        <w:t>Keywords: truth-probability, importance scoring, preliminary empirical stress test, AI-assisted scoring, fact-checking, social-media credibility, humanitarian information, Bayesian epistemology</w:t>
      </w:r>
      <w:r>
        <w:rPr>
          <w:rFonts w:ascii="Calibri" w:hAnsi="Calibri"/>
          <w:i/>
        </w:rPr>
      </w:r>
    </w:p>
    <w:p>
      <w:pPr>
        <w:spacing w:after="120"/>
        <w:jc w:val="both"/>
      </w:pPr>
    </w:p>
    <w:p>
      <w:pPr>
        <w:pStyle w:val="Titre1"/>
      </w:pPr>
      <w:r>
        <w:rPr>
          <w:rFonts w:ascii="Calibri" w:hAnsi="Calibri"/>
        </w:rPr>
        <w:t>1  Introduction</w:t>
      </w:r>
    </w:p>
    <w:p>
      <w:pPr>
        <w:spacing w:after="120"/>
        <w:jc w:val="both"/>
      </w:pPr>
      <w:r>
        <w:rPr>
          <w:rFonts w:ascii="Calibri" w:hAnsi="Calibri"/>
        </w:rPr>
        <w:t>The underlying framework defines three outputs for evaluating statements: T_abs(s), an evidence-weighted truth-probability; T_perc(s,r), a receiver-dependent perceived truth-probability; and I(s,r), a receiver-dependent importance score. The theoretical paper establishes the architecture, variables, axioms, and Bayesian update functions. The present paper asks a more limited empirical question: when the scoring protocol is applied consistently to benchmark data, do the resulting scores behave in plausible and diagnostically informative ways?</w:t>
      </w:r>
    </w:p>
    <w:p>
      <w:pPr>
        <w:spacing w:after="120"/>
        <w:jc w:val="both"/>
      </w:pPr>
      <w:r>
        <w:rPr>
          <w:rFonts w:ascii="Calibri" w:hAnsi="Calibri"/>
        </w:rPr>
        <w:t>The purpose of this study is not to claim final external measurement validity. Several parameters remain empirical defaults, and the scoring pass was performed by a solo independent researcher through an AI-assisted rubric rather than by independent blind human raters. The purpose is diagnostic: to test computational reproducibility, examine rank alignment under the current scoring protocol, identify systematic error patterns, and motivate architectural repairs where the formulas fail.</w:t>
      </w:r>
    </w:p>
    <w:p>
      <w:pPr>
        <w:spacing w:after="120"/>
        <w:jc w:val="both"/>
      </w:pPr>
      <w:r>
        <w:rPr>
          <w:rFonts w:ascii="Calibri" w:hAnsi="Calibri"/>
        </w:rPr>
        <w:t>The result is mixed but useful. The truth-probability layer shows very strong evidence-audit alignment with professional fact-checking categories. The perceived-truth layer shows moderate alignment with crowd credibility judgments. The importance layer exposes a structural failure: the framework can confuse ambient contextual stakes with statement-specific relevance. This failure is not random noise; it identifies a precise missing gate in the importance computation.</w:t>
      </w:r>
    </w:p>
    <w:p>
      <w:pPr>
        <w:pStyle w:val="Titre1"/>
      </w:pPr>
      <w:r>
        <w:rPr>
          <w:rFonts w:ascii="Calibri" w:hAnsi="Calibri"/>
        </w:rPr>
        <w:t>2  Diagnostic Stress Test Design</w:t>
      </w:r>
    </w:p>
    <w:p>
      <w:pPr>
        <w:pStyle w:val="Titre2"/>
      </w:pPr>
      <w:r>
        <w:rPr>
          <w:rFonts w:ascii="Calibri" w:hAnsi="Calibri"/>
        </w:rPr>
        <w:t>2.1  Datasets and Target Outputs</w:t>
      </w:r>
    </w:p>
    <w:p>
      <w:pPr>
        <w:spacing w:after="120"/>
        <w:jc w:val="both"/>
      </w:pPr>
      <w:r>
        <w:rPr>
          <w:rFonts w:ascii="Calibri" w:hAnsi="Calibri"/>
        </w:rPr>
        <w:t>Three datasets were selected because each corresponds to one of the framework's three outputs. LIAR/PolitiFact tests evidence-weighted truth-probability. CredEvent TurkRatings tests perceived credibility. HumAID tests humanitarian importance. Each dataset therefore serves as a diagnostic target for one layer of the framework rather than as a final validation of the full model.</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2376"/>
            <w:vAlign w:val="top"/>
            <w:tcMar>
              <w:top w:w="80" w:type="dxa"/>
              <w:start w:w="80" w:type="dxa"/>
              <w:bottom w:w="80" w:type="dxa"/>
              <w:end w:w="80" w:type="dxa"/>
            </w:tcMar>
            <w:shd w:fill="D9E2F3"/>
          </w:tcPr>
          <w:p>
            <w:pPr>
              <w:spacing w:after="0"/>
              <w:jc w:val="center"/>
            </w:pPr>
            <w:r>
              <w:rPr>
                <w:rFonts w:ascii="Calibri" w:hAnsi="Calibri"/>
                <w:b/>
                <w:sz w:val="18"/>
              </w:rPr>
              <w:t>Dataset</w:t>
            </w:r>
          </w:p>
        </w:tc>
        <w:tc>
          <w:tcPr>
            <w:tcW w:type="dxa" w:w="1728"/>
            <w:vAlign w:val="top"/>
            <w:tcMar>
              <w:top w:w="80" w:type="dxa"/>
              <w:start w:w="80" w:type="dxa"/>
              <w:bottom w:w="80" w:type="dxa"/>
              <w:end w:w="80" w:type="dxa"/>
            </w:tcMar>
            <w:shd w:fill="D9E2F3"/>
          </w:tcPr>
          <w:p>
            <w:pPr>
              <w:spacing w:after="0"/>
              <w:jc w:val="center"/>
            </w:pPr>
            <w:r>
              <w:rPr>
                <w:rFonts w:ascii="Calibri" w:hAnsi="Calibri"/>
                <w:b/>
                <w:sz w:val="18"/>
              </w:rPr>
              <w:t>Tested output</w:t>
            </w:r>
          </w:p>
        </w:tc>
        <w:tc>
          <w:tcPr>
            <w:tcW w:type="dxa" w:w="4896"/>
            <w:vAlign w:val="top"/>
            <w:tcMar>
              <w:top w:w="80" w:type="dxa"/>
              <w:start w:w="80" w:type="dxa"/>
              <w:bottom w:w="80" w:type="dxa"/>
              <w:end w:w="80" w:type="dxa"/>
            </w:tcMar>
            <w:shd w:fill="D9E2F3"/>
          </w:tcPr>
          <w:p>
            <w:pPr>
              <w:spacing w:after="0"/>
              <w:jc w:val="center"/>
            </w:pPr>
            <w:r>
              <w:rPr>
                <w:rFonts w:ascii="Calibri" w:hAnsi="Calibri"/>
                <w:b/>
                <w:sz w:val="18"/>
              </w:rPr>
              <w:t>External target</w:t>
            </w:r>
          </w:p>
        </w:tc>
        <w:tc>
          <w:tcPr>
            <w:tcW w:type="dxa" w:w="648"/>
            <w:vAlign w:val="top"/>
            <w:tcMar>
              <w:top w:w="80" w:type="dxa"/>
              <w:start w:w="80" w:type="dxa"/>
              <w:bottom w:w="80" w:type="dxa"/>
              <w:end w:w="80" w:type="dxa"/>
            </w:tcMar>
            <w:shd w:fill="D9E2F3"/>
          </w:tcPr>
          <w:p>
            <w:pPr>
              <w:spacing w:after="0"/>
              <w:jc w:val="center"/>
            </w:pPr>
            <w:r>
              <w:rPr>
                <w:rFonts w:ascii="Calibri" w:hAnsi="Calibri"/>
                <w:b/>
                <w:sz w:val="18"/>
              </w:rPr>
              <w:t>n</w:t>
            </w:r>
          </w:p>
        </w:tc>
      </w:tr>
      <w:tr>
        <w:tc>
          <w:tcPr>
            <w:tcW w:type="dxa" w:w="2376"/>
            <w:vAlign w:val="top"/>
            <w:tcMar>
              <w:top w:w="80" w:type="dxa"/>
              <w:start w:w="80" w:type="dxa"/>
              <w:bottom w:w="80" w:type="dxa"/>
              <w:end w:w="80" w:type="dxa"/>
            </w:tcMar>
          </w:tcPr>
          <w:p>
            <w:pPr>
              <w:spacing w:after="0"/>
              <w:jc w:val="left"/>
            </w:pPr>
            <w:r>
              <w:rPr>
                <w:rFonts w:ascii="Calibri" w:hAnsi="Calibri"/>
                <w:sz w:val="18"/>
              </w:rPr>
              <w:t>LIAR / PolitiFact</w:t>
            </w:r>
          </w:p>
        </w:tc>
        <w:tc>
          <w:tcPr>
            <w:tcW w:type="dxa" w:w="1728"/>
            <w:vAlign w:val="top"/>
            <w:tcMar>
              <w:top w:w="80" w:type="dxa"/>
              <w:start w:w="80" w:type="dxa"/>
              <w:bottom w:w="80" w:type="dxa"/>
              <w:end w:w="80" w:type="dxa"/>
            </w:tcMar>
          </w:tcPr>
          <w:p>
            <w:pPr>
              <w:spacing w:after="0"/>
              <w:jc w:val="left"/>
            </w:pPr>
            <w:r>
              <w:rPr>
                <w:rFonts w:ascii="Calibri" w:hAnsi="Calibri"/>
                <w:sz w:val="18"/>
              </w:rPr>
              <w:t>T_abs(s)</w:t>
            </w:r>
          </w:p>
        </w:tc>
        <w:tc>
          <w:tcPr>
            <w:tcW w:type="dxa" w:w="4896"/>
            <w:vAlign w:val="top"/>
            <w:tcMar>
              <w:top w:w="80" w:type="dxa"/>
              <w:start w:w="80" w:type="dxa"/>
              <w:bottom w:w="80" w:type="dxa"/>
              <w:end w:w="80" w:type="dxa"/>
            </w:tcMar>
          </w:tcPr>
          <w:p>
            <w:pPr>
              <w:spacing w:after="0"/>
              <w:jc w:val="left"/>
            </w:pPr>
            <w:r>
              <w:rPr>
                <w:rFonts w:ascii="Calibri" w:hAnsi="Calibri"/>
                <w:sz w:val="18"/>
              </w:rPr>
              <w:t>PolitiFact truth category mapped to [0,1]</w:t>
            </w:r>
          </w:p>
        </w:tc>
        <w:tc>
          <w:tcPr>
            <w:tcW w:type="dxa" w:w="648"/>
            <w:vAlign w:val="top"/>
            <w:tcMar>
              <w:top w:w="80" w:type="dxa"/>
              <w:start w:w="80" w:type="dxa"/>
              <w:bottom w:w="80" w:type="dxa"/>
              <w:end w:w="80" w:type="dxa"/>
            </w:tcMar>
          </w:tcPr>
          <w:p>
            <w:pPr>
              <w:spacing w:after="0"/>
              <w:jc w:val="left"/>
            </w:pPr>
            <w:r>
              <w:rPr>
                <w:rFonts w:ascii="Calibri" w:hAnsi="Calibri"/>
                <w:sz w:val="18"/>
              </w:rPr>
              <w:t>200</w:t>
            </w:r>
          </w:p>
        </w:tc>
      </w:tr>
      <w:tr>
        <w:tc>
          <w:tcPr>
            <w:tcW w:type="dxa" w:w="2376"/>
            <w:vAlign w:val="top"/>
            <w:tcMar>
              <w:top w:w="80" w:type="dxa"/>
              <w:start w:w="80" w:type="dxa"/>
              <w:bottom w:w="80" w:type="dxa"/>
              <w:end w:w="80" w:type="dxa"/>
            </w:tcMar>
          </w:tcPr>
          <w:p>
            <w:pPr>
              <w:spacing w:after="0"/>
              <w:jc w:val="left"/>
            </w:pPr>
            <w:r>
              <w:rPr>
                <w:rFonts w:ascii="Calibri" w:hAnsi="Calibri"/>
                <w:sz w:val="18"/>
              </w:rPr>
              <w:t>CredEvent TurkRatings</w:t>
            </w:r>
          </w:p>
        </w:tc>
        <w:tc>
          <w:tcPr>
            <w:tcW w:type="dxa" w:w="1728"/>
            <w:vAlign w:val="top"/>
            <w:tcMar>
              <w:top w:w="80" w:type="dxa"/>
              <w:start w:w="80" w:type="dxa"/>
              <w:bottom w:w="80" w:type="dxa"/>
              <w:end w:w="80" w:type="dxa"/>
            </w:tcMar>
          </w:tcPr>
          <w:p>
            <w:pPr>
              <w:spacing w:after="0"/>
              <w:jc w:val="left"/>
            </w:pPr>
            <w:r>
              <w:rPr>
                <w:rFonts w:ascii="Calibri" w:hAnsi="Calibri"/>
                <w:sz w:val="18"/>
              </w:rPr>
              <w:t>T_perc(s,r)</w:t>
            </w:r>
          </w:p>
        </w:tc>
        <w:tc>
          <w:tcPr>
            <w:tcW w:type="dxa" w:w="4896"/>
            <w:vAlign w:val="top"/>
            <w:tcMar>
              <w:top w:w="80" w:type="dxa"/>
              <w:start w:w="80" w:type="dxa"/>
              <w:bottom w:w="80" w:type="dxa"/>
              <w:end w:w="80" w:type="dxa"/>
            </w:tcMar>
          </w:tcPr>
          <w:p>
            <w:pPr>
              <w:spacing w:after="0"/>
              <w:jc w:val="left"/>
            </w:pPr>
            <w:r>
              <w:rPr>
                <w:rFonts w:ascii="Calibri" w:hAnsi="Calibri"/>
                <w:sz w:val="18"/>
              </w:rPr>
              <w:t>Mean crowd credibility rating mapped to [0,1]</w:t>
            </w:r>
          </w:p>
        </w:tc>
        <w:tc>
          <w:tcPr>
            <w:tcW w:type="dxa" w:w="648"/>
            <w:vAlign w:val="top"/>
            <w:tcMar>
              <w:top w:w="80" w:type="dxa"/>
              <w:start w:w="80" w:type="dxa"/>
              <w:bottom w:w="80" w:type="dxa"/>
              <w:end w:w="80" w:type="dxa"/>
            </w:tcMar>
          </w:tcPr>
          <w:p>
            <w:pPr>
              <w:spacing w:after="0"/>
              <w:jc w:val="left"/>
            </w:pPr>
            <w:r>
              <w:rPr>
                <w:rFonts w:ascii="Calibri" w:hAnsi="Calibri"/>
                <w:sz w:val="18"/>
              </w:rPr>
              <w:t>200</w:t>
            </w:r>
          </w:p>
        </w:tc>
      </w:tr>
      <w:tr>
        <w:tc>
          <w:tcPr>
            <w:tcW w:type="dxa" w:w="2376"/>
            <w:vAlign w:val="top"/>
            <w:tcMar>
              <w:top w:w="80" w:type="dxa"/>
              <w:start w:w="80" w:type="dxa"/>
              <w:bottom w:w="80" w:type="dxa"/>
              <w:end w:w="80" w:type="dxa"/>
            </w:tcMar>
          </w:tcPr>
          <w:p>
            <w:pPr>
              <w:spacing w:after="0"/>
              <w:jc w:val="left"/>
            </w:pPr>
            <w:r>
              <w:rPr>
                <w:rFonts w:ascii="Calibri" w:hAnsi="Calibri"/>
                <w:sz w:val="18"/>
              </w:rPr>
              <w:t>HumAID</w:t>
            </w:r>
          </w:p>
        </w:tc>
        <w:tc>
          <w:tcPr>
            <w:tcW w:type="dxa" w:w="1728"/>
            <w:vAlign w:val="top"/>
            <w:tcMar>
              <w:top w:w="80" w:type="dxa"/>
              <w:start w:w="80" w:type="dxa"/>
              <w:bottom w:w="80" w:type="dxa"/>
              <w:end w:w="80" w:type="dxa"/>
            </w:tcMar>
          </w:tcPr>
          <w:p>
            <w:pPr>
              <w:spacing w:after="0"/>
              <w:jc w:val="left"/>
            </w:pPr>
            <w:r>
              <w:rPr>
                <w:rFonts w:ascii="Calibri" w:hAnsi="Calibri"/>
                <w:sz w:val="18"/>
              </w:rPr>
              <w:t>I(s,r)</w:t>
            </w:r>
          </w:p>
        </w:tc>
        <w:tc>
          <w:tcPr>
            <w:tcW w:type="dxa" w:w="4896"/>
            <w:vAlign w:val="top"/>
            <w:tcMar>
              <w:top w:w="80" w:type="dxa"/>
              <w:start w:w="80" w:type="dxa"/>
              <w:bottom w:w="80" w:type="dxa"/>
              <w:end w:w="80" w:type="dxa"/>
            </w:tcMar>
          </w:tcPr>
          <w:p>
            <w:pPr>
              <w:spacing w:after="0"/>
              <w:jc w:val="left"/>
            </w:pPr>
            <w:r>
              <w:rPr>
                <w:rFonts w:ascii="Calibri" w:hAnsi="Calibri"/>
                <w:sz w:val="18"/>
              </w:rPr>
              <w:t>Humanitarian-importance category target</w:t>
            </w:r>
          </w:p>
        </w:tc>
        <w:tc>
          <w:tcPr>
            <w:tcW w:type="dxa" w:w="648"/>
            <w:vAlign w:val="top"/>
            <w:tcMar>
              <w:top w:w="80" w:type="dxa"/>
              <w:start w:w="80" w:type="dxa"/>
              <w:bottom w:w="80" w:type="dxa"/>
              <w:end w:w="80" w:type="dxa"/>
            </w:tcMar>
          </w:tcPr>
          <w:p>
            <w:pPr>
              <w:spacing w:after="0"/>
              <w:jc w:val="left"/>
            </w:pPr>
            <w:r>
              <w:rPr>
                <w:rFonts w:ascii="Calibri" w:hAnsi="Calibri"/>
                <w:sz w:val="18"/>
              </w:rPr>
              <w:t>200</w:t>
            </w:r>
          </w:p>
        </w:tc>
      </w:tr>
    </w:tbl>
    <w:p>
      <w:pPr>
        <w:spacing w:after="240"/>
        <w:jc w:val="center"/>
      </w:pPr>
      <w:r>
        <w:rPr>
          <w:rFonts w:ascii="Calibri" w:hAnsi="Calibri"/>
          <w:b/>
        </w:rPr>
        <w:t>Table 1: Empirical stress-test datasets and target outputs.</w:t>
      </w:r>
      <w:r>
        <w:rPr>
          <w:rFonts w:ascii="Calibri" w:hAnsi="Calibri"/>
        </w:rPr>
      </w:r>
    </w:p>
    <w:p>
      <w:pPr>
        <w:spacing w:after="120"/>
        <w:jc w:val="both"/>
      </w:pPr>
      <w:r>
        <w:rPr>
          <w:rFonts w:ascii="Calibri" w:hAnsi="Calibri"/>
        </w:rPr>
        <w:t>The LIAR/PolitiFact subset uses a continuous mapping of PolitiFact labels onto [0,1]: pants-fire = 0.00, false = 0.15, barely-true = 0.35, half-true = 0.50, mostly-true = 0.75, and true = 1.00. This mapping does not assume that the journalistic labels are literal posterior probabilities. It is used as an external ordinal benchmark for whether T_abs preserves the professional fact-checking order.</w:t>
      </w:r>
    </w:p>
    <w:p>
      <w:pPr>
        <w:spacing w:after="120"/>
        <w:jc w:val="both"/>
      </w:pPr>
      <w:r>
        <w:rPr>
          <w:rFonts w:ascii="Calibri" w:hAnsi="Calibri"/>
        </w:rPr>
        <w:t>The CredEvent TurkRatings subset uses mean crowd credibility ratings transformed onto [0,1]. This target is not identical to T_perc(s,r), because the framework defines perceived truth for a specified receiver, whereas CredEvent aggregates ratings across many implicit receivers. This mismatch is treated as a limitation rather than hidden in the analysis.</w:t>
      </w:r>
    </w:p>
    <w:p>
      <w:pPr>
        <w:spacing w:after="120"/>
        <w:jc w:val="both"/>
      </w:pPr>
      <w:r>
        <w:rPr>
          <w:rFonts w:ascii="Calibri" w:hAnsi="Calibri"/>
        </w:rPr>
        <w:t>The HumAID subset uses humanitarian-response categories mapped onto target importance values. Categories involving urgent needs, missing people, injuries, evacuation, infrastructure damage, caution, donation, and general relevance receive high to moderate targets. not_humanitarian receives a low target. This dataset is the most direct test of whether I(s,r) can distinguish actual humanitarian importance from mere disaster-adjacent content.</w:t>
      </w:r>
    </w:p>
    <w:p>
      <w:pPr>
        <w:pStyle w:val="Titre2"/>
      </w:pPr>
      <w:r>
        <w:rPr>
          <w:rFonts w:ascii="Calibri" w:hAnsi="Calibri"/>
        </w:rPr>
        <w:t>2.2  AI-Assisted Scoring Methodology</w:t>
      </w:r>
    </w:p>
    <w:p>
      <w:pPr>
        <w:spacing w:after="120"/>
        <w:jc w:val="both"/>
      </w:pPr>
      <w:r>
        <w:rPr>
          <w:rFonts w:ascii="Calibri" w:hAnsi="Calibri"/>
        </w:rPr>
        <w:t>Each item was scored by assigning atomic variables from the framework's six clusters. The scoring pass followed a fixed human-aligned rubric. Non-neutral variable assignments required textual, contextual, source-level, or evidence-level justification. The aim was not to tune scores case-by-case, but to test whether a declared scoring protocol produces reproducible and interpretable outputs.</w:t>
      </w:r>
    </w:p>
    <w:p>
      <w:pPr>
        <w:spacing w:after="120"/>
        <w:jc w:val="both"/>
      </w:pPr>
      <w:r>
        <w:rPr>
          <w:rFonts w:ascii="Calibri" w:hAnsi="Calibri"/>
        </w:rPr>
        <w:t>Atomic variable assignments were generated through an AI-assisted scoring pass using ChatGPT 5.5 Thinking following the rubric protocol. The study was conducted by a solo independent researcher without a paid rater panel, independent blind human raters, or inter-rater reliability testing. This is a methodological limitation, but it also makes the study transparent as an internally reproducible rubric-based pass rather than an opaque judgment exercise.</w:t>
      </w:r>
    </w:p>
    <w:p>
      <w:pPr>
        <w:spacing w:after="120"/>
        <w:jc w:val="both"/>
      </w:pPr>
      <w:r>
        <w:rPr>
          <w:rFonts w:ascii="Calibri" w:hAnsi="Calibri"/>
        </w:rPr>
        <w:t>For LIAR/PolitiFact, the truth-layer variables K, L, and M were assigned through an evidence-audit procedure grounded in fact-checking records. This means the LIAR result should be interpreted specifically as evidence-audit rank alignment under the present scoring protocol, not as a pure out-of-sample predictive validation. For HumAID and CredEvent, scoring required more contextual inference because receiver properties, delivery signals, and full situational context are not directly supplied by the datasets.</w:t>
      </w:r>
    </w:p>
    <w:p>
      <w:pPr>
        <w:spacing w:after="120"/>
        <w:jc w:val="both"/>
      </w:pPr>
      <w:r>
        <w:rPr>
          <w:rFonts w:ascii="Calibri" w:hAnsi="Calibri"/>
        </w:rPr>
        <w:t>The primary metric is Spearman rank correlation, because the framework is designed first to preserve correct ordering across statements. Pearson correlation, mean absolute error (MAE), and binary AUC where applicable are reported as secondary diagnostics. These metrics establish internal reproducibility and rubric-based alignment under this scoring protocol. They do not, by themselves, establish final external measurement validity.</w:t>
      </w:r>
    </w:p>
    <w:p>
      <w:pPr>
        <w:pStyle w:val="Titre1"/>
      </w:pPr>
      <w:r>
        <w:rPr>
          <w:rFonts w:ascii="Calibri" w:hAnsi="Calibri"/>
        </w:rPr>
        <w:t>3  What Held Up Under the Protocol</w:t>
      </w:r>
    </w:p>
    <w:p>
      <w:pPr>
        <w:pStyle w:val="Titre2"/>
      </w:pPr>
      <w:r>
        <w:rPr>
          <w:rFonts w:ascii="Calibri" w:hAnsi="Calibri"/>
        </w:rPr>
        <w:t>3.1  Headline Finding: Evidence-Audit Alignment with PolitiFact</w:t>
      </w:r>
    </w:p>
    <w:p>
      <w:pPr>
        <w:spacing w:after="120"/>
        <w:jc w:val="both"/>
      </w:pPr>
      <w:r>
        <w:rPr>
          <w:rFonts w:ascii="Calibri" w:hAnsi="Calibri"/>
        </w:rPr>
        <w:t>The strongest result is the alignment between T_abs(s) and PolitiFact truth categories under the present evidence-audit scoring protocol. Across 200 political statements, the framework obtains Spearman ρ = 0.983, Pearson r = 0.935, MAE = 0.136, and binary AUC = 1.000.</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40"/>
        <w:gridCol w:w="1040"/>
        <w:gridCol w:w="1040"/>
        <w:gridCol w:w="1040"/>
        <w:gridCol w:w="1040"/>
        <w:gridCol w:w="1040"/>
        <w:gridCol w:w="1040"/>
        <w:gridCol w:w="1040"/>
        <w:gridCol w:w="1040"/>
      </w:tblGrid>
      <w:tr>
        <w:tc>
          <w:tcPr>
            <w:tcW w:type="dxa" w:w="2088"/>
            <w:vAlign w:val="top"/>
            <w:tcMar>
              <w:top w:w="80" w:type="dxa"/>
              <w:start w:w="80" w:type="dxa"/>
              <w:bottom w:w="80" w:type="dxa"/>
              <w:end w:w="80" w:type="dxa"/>
            </w:tcMar>
            <w:shd w:fill="D9E2F3"/>
          </w:tcPr>
          <w:p>
            <w:pPr>
              <w:spacing w:after="0"/>
              <w:jc w:val="center"/>
            </w:pPr>
            <w:r>
              <w:rPr>
                <w:rFonts w:ascii="Calibri" w:hAnsi="Calibri"/>
                <w:b/>
                <w:sz w:val="16"/>
              </w:rPr>
              <w:t>Dataset</w:t>
            </w:r>
          </w:p>
        </w:tc>
        <w:tc>
          <w:tcPr>
            <w:tcW w:type="dxa" w:w="1080"/>
            <w:vAlign w:val="top"/>
            <w:tcMar>
              <w:top w:w="80" w:type="dxa"/>
              <w:start w:w="80" w:type="dxa"/>
              <w:bottom w:w="80" w:type="dxa"/>
              <w:end w:w="80" w:type="dxa"/>
            </w:tcMar>
            <w:shd w:fill="D9E2F3"/>
          </w:tcPr>
          <w:p>
            <w:pPr>
              <w:spacing w:after="0"/>
              <w:jc w:val="center"/>
            </w:pPr>
            <w:r>
              <w:rPr>
                <w:rFonts w:ascii="Calibri" w:hAnsi="Calibri"/>
                <w:b/>
                <w:sz w:val="16"/>
              </w:rPr>
              <w:t>Output</w:t>
            </w:r>
          </w:p>
        </w:tc>
        <w:tc>
          <w:tcPr>
            <w:tcW w:type="dxa" w:w="648"/>
            <w:vAlign w:val="top"/>
            <w:tcMar>
              <w:top w:w="80" w:type="dxa"/>
              <w:start w:w="80" w:type="dxa"/>
              <w:bottom w:w="80" w:type="dxa"/>
              <w:end w:w="80" w:type="dxa"/>
            </w:tcMar>
            <w:shd w:fill="D9E2F3"/>
          </w:tcPr>
          <w:p>
            <w:pPr>
              <w:spacing w:after="0"/>
              <w:jc w:val="center"/>
            </w:pPr>
            <w:r>
              <w:rPr>
                <w:rFonts w:ascii="Calibri" w:hAnsi="Calibri"/>
                <w:b/>
                <w:sz w:val="16"/>
              </w:rPr>
              <w:t>n</w:t>
            </w:r>
          </w:p>
        </w:tc>
        <w:tc>
          <w:tcPr>
            <w:tcW w:type="dxa" w:w="1224"/>
            <w:vAlign w:val="top"/>
            <w:tcMar>
              <w:top w:w="80" w:type="dxa"/>
              <w:start w:w="80" w:type="dxa"/>
              <w:bottom w:w="80" w:type="dxa"/>
              <w:end w:w="80" w:type="dxa"/>
            </w:tcMar>
            <w:shd w:fill="D9E2F3"/>
          </w:tcPr>
          <w:p>
            <w:pPr>
              <w:spacing w:after="0"/>
              <w:jc w:val="center"/>
            </w:pPr>
            <w:r>
              <w:rPr>
                <w:rFonts w:ascii="Calibri" w:hAnsi="Calibri"/>
                <w:b/>
                <w:sz w:val="16"/>
              </w:rPr>
              <w:t>Expected mean</w:t>
            </w:r>
          </w:p>
        </w:tc>
        <w:tc>
          <w:tcPr>
            <w:tcW w:type="dxa" w:w="1152"/>
            <w:vAlign w:val="top"/>
            <w:tcMar>
              <w:top w:w="80" w:type="dxa"/>
              <w:start w:w="80" w:type="dxa"/>
              <w:bottom w:w="80" w:type="dxa"/>
              <w:end w:w="80" w:type="dxa"/>
            </w:tcMar>
            <w:shd w:fill="D9E2F3"/>
          </w:tcPr>
          <w:p>
            <w:pPr>
              <w:spacing w:after="0"/>
              <w:jc w:val="center"/>
            </w:pPr>
            <w:r>
              <w:rPr>
                <w:rFonts w:ascii="Calibri" w:hAnsi="Calibri"/>
                <w:b/>
                <w:sz w:val="16"/>
              </w:rPr>
              <w:t>Model mean</w:t>
            </w:r>
          </w:p>
        </w:tc>
        <w:tc>
          <w:tcPr>
            <w:tcW w:type="dxa" w:w="1080"/>
            <w:vAlign w:val="top"/>
            <w:tcMar>
              <w:top w:w="80" w:type="dxa"/>
              <w:start w:w="80" w:type="dxa"/>
              <w:bottom w:w="80" w:type="dxa"/>
              <w:end w:w="80" w:type="dxa"/>
            </w:tcMar>
            <w:shd w:fill="D9E2F3"/>
          </w:tcPr>
          <w:p>
            <w:pPr>
              <w:spacing w:after="0"/>
              <w:jc w:val="center"/>
            </w:pPr>
            <w:r>
              <w:rPr>
                <w:rFonts w:ascii="Calibri" w:hAnsi="Calibri"/>
                <w:b/>
                <w:sz w:val="16"/>
              </w:rPr>
              <w:t>Spearman</w:t>
            </w:r>
          </w:p>
        </w:tc>
        <w:tc>
          <w:tcPr>
            <w:tcW w:type="dxa" w:w="1080"/>
            <w:vAlign w:val="top"/>
            <w:tcMar>
              <w:top w:w="80" w:type="dxa"/>
              <w:start w:w="80" w:type="dxa"/>
              <w:bottom w:w="80" w:type="dxa"/>
              <w:end w:w="80" w:type="dxa"/>
            </w:tcMar>
            <w:shd w:fill="D9E2F3"/>
          </w:tcPr>
          <w:p>
            <w:pPr>
              <w:spacing w:after="0"/>
              <w:jc w:val="center"/>
            </w:pPr>
            <w:r>
              <w:rPr>
                <w:rFonts w:ascii="Calibri" w:hAnsi="Calibri"/>
                <w:b/>
                <w:sz w:val="16"/>
              </w:rPr>
              <w:t>Pearson</w:t>
            </w:r>
          </w:p>
        </w:tc>
        <w:tc>
          <w:tcPr>
            <w:tcW w:type="dxa" w:w="792"/>
            <w:vAlign w:val="top"/>
            <w:tcMar>
              <w:top w:w="80" w:type="dxa"/>
              <w:start w:w="80" w:type="dxa"/>
              <w:bottom w:w="80" w:type="dxa"/>
              <w:end w:w="80" w:type="dxa"/>
            </w:tcMar>
            <w:shd w:fill="D9E2F3"/>
          </w:tcPr>
          <w:p>
            <w:pPr>
              <w:spacing w:after="0"/>
              <w:jc w:val="center"/>
            </w:pPr>
            <w:r>
              <w:rPr>
                <w:rFonts w:ascii="Calibri" w:hAnsi="Calibri"/>
                <w:b/>
                <w:sz w:val="16"/>
              </w:rPr>
              <w:t>MAE</w:t>
            </w:r>
          </w:p>
        </w:tc>
        <w:tc>
          <w:tcPr>
            <w:tcW w:type="dxa" w:w="792"/>
            <w:vAlign w:val="top"/>
            <w:tcMar>
              <w:top w:w="80" w:type="dxa"/>
              <w:start w:w="80" w:type="dxa"/>
              <w:bottom w:w="80" w:type="dxa"/>
              <w:end w:w="80" w:type="dxa"/>
            </w:tcMar>
            <w:shd w:fill="D9E2F3"/>
          </w:tcPr>
          <w:p>
            <w:pPr>
              <w:spacing w:after="0"/>
              <w:jc w:val="center"/>
            </w:pPr>
            <w:r>
              <w:rPr>
                <w:rFonts w:ascii="Calibri" w:hAnsi="Calibri"/>
                <w:b/>
                <w:sz w:val="16"/>
              </w:rPr>
              <w:t>AUC</w:t>
            </w:r>
          </w:p>
        </w:tc>
      </w:tr>
      <w:tr>
        <w:tc>
          <w:tcPr>
            <w:tcW w:type="dxa" w:w="2088"/>
            <w:vAlign w:val="top"/>
            <w:tcMar>
              <w:top w:w="80" w:type="dxa"/>
              <w:start w:w="80" w:type="dxa"/>
              <w:bottom w:w="80" w:type="dxa"/>
              <w:end w:w="80" w:type="dxa"/>
            </w:tcMar>
          </w:tcPr>
          <w:p>
            <w:pPr>
              <w:spacing w:after="0"/>
              <w:jc w:val="left"/>
            </w:pPr>
            <w:r>
              <w:rPr>
                <w:rFonts w:ascii="Calibri" w:hAnsi="Calibri"/>
                <w:sz w:val="16"/>
              </w:rPr>
              <w:t>LIAR / PolitiFact</w:t>
            </w:r>
          </w:p>
        </w:tc>
        <w:tc>
          <w:tcPr>
            <w:tcW w:type="dxa" w:w="1080"/>
            <w:vAlign w:val="top"/>
            <w:tcMar>
              <w:top w:w="80" w:type="dxa"/>
              <w:start w:w="80" w:type="dxa"/>
              <w:bottom w:w="80" w:type="dxa"/>
              <w:end w:w="80" w:type="dxa"/>
            </w:tcMar>
          </w:tcPr>
          <w:p>
            <w:pPr>
              <w:spacing w:after="0"/>
              <w:jc w:val="left"/>
            </w:pPr>
            <w:r>
              <w:rPr>
                <w:rFonts w:ascii="Calibri" w:hAnsi="Calibri"/>
                <w:sz w:val="16"/>
              </w:rPr>
              <w:t>T_abs</w:t>
            </w:r>
          </w:p>
        </w:tc>
        <w:tc>
          <w:tcPr>
            <w:tcW w:type="dxa" w:w="648"/>
            <w:vAlign w:val="top"/>
            <w:tcMar>
              <w:top w:w="80" w:type="dxa"/>
              <w:start w:w="80" w:type="dxa"/>
              <w:bottom w:w="80" w:type="dxa"/>
              <w:end w:w="80" w:type="dxa"/>
            </w:tcMar>
          </w:tcPr>
          <w:p>
            <w:pPr>
              <w:spacing w:after="0"/>
              <w:jc w:val="left"/>
            </w:pPr>
            <w:r>
              <w:rPr>
                <w:rFonts w:ascii="Calibri" w:hAnsi="Calibri"/>
                <w:sz w:val="16"/>
              </w:rPr>
              <w:t>200</w:t>
            </w:r>
          </w:p>
        </w:tc>
        <w:tc>
          <w:tcPr>
            <w:tcW w:type="dxa" w:w="1224"/>
            <w:vAlign w:val="top"/>
            <w:tcMar>
              <w:top w:w="80" w:type="dxa"/>
              <w:start w:w="80" w:type="dxa"/>
              <w:bottom w:w="80" w:type="dxa"/>
              <w:end w:w="80" w:type="dxa"/>
            </w:tcMar>
          </w:tcPr>
          <w:p>
            <w:pPr>
              <w:spacing w:after="0"/>
              <w:jc w:val="left"/>
            </w:pPr>
            <w:r>
              <w:rPr>
                <w:rFonts w:ascii="Calibri" w:hAnsi="Calibri"/>
                <w:sz w:val="16"/>
              </w:rPr>
              <w:t>0.448</w:t>
            </w:r>
          </w:p>
        </w:tc>
        <w:tc>
          <w:tcPr>
            <w:tcW w:type="dxa" w:w="1152"/>
            <w:vAlign w:val="top"/>
            <w:tcMar>
              <w:top w:w="80" w:type="dxa"/>
              <w:start w:w="80" w:type="dxa"/>
              <w:bottom w:w="80" w:type="dxa"/>
              <w:end w:w="80" w:type="dxa"/>
            </w:tcMar>
          </w:tcPr>
          <w:p>
            <w:pPr>
              <w:spacing w:after="0"/>
              <w:jc w:val="left"/>
            </w:pPr>
            <w:r>
              <w:rPr>
                <w:rFonts w:ascii="Calibri" w:hAnsi="Calibri"/>
                <w:sz w:val="16"/>
              </w:rPr>
              <w:t>0.353</w:t>
            </w:r>
          </w:p>
        </w:tc>
        <w:tc>
          <w:tcPr>
            <w:tcW w:type="dxa" w:w="1080"/>
            <w:vAlign w:val="top"/>
            <w:tcMar>
              <w:top w:w="80" w:type="dxa"/>
              <w:start w:w="80" w:type="dxa"/>
              <w:bottom w:w="80" w:type="dxa"/>
              <w:end w:w="80" w:type="dxa"/>
            </w:tcMar>
          </w:tcPr>
          <w:p>
            <w:pPr>
              <w:spacing w:after="0"/>
              <w:jc w:val="left"/>
            </w:pPr>
            <w:r>
              <w:rPr>
                <w:rFonts w:ascii="Calibri" w:hAnsi="Calibri"/>
                <w:sz w:val="16"/>
              </w:rPr>
              <w:t>0.983</w:t>
            </w:r>
          </w:p>
        </w:tc>
        <w:tc>
          <w:tcPr>
            <w:tcW w:type="dxa" w:w="1080"/>
            <w:vAlign w:val="top"/>
            <w:tcMar>
              <w:top w:w="80" w:type="dxa"/>
              <w:start w:w="80" w:type="dxa"/>
              <w:bottom w:w="80" w:type="dxa"/>
              <w:end w:w="80" w:type="dxa"/>
            </w:tcMar>
          </w:tcPr>
          <w:p>
            <w:pPr>
              <w:spacing w:after="0"/>
              <w:jc w:val="left"/>
            </w:pPr>
            <w:r>
              <w:rPr>
                <w:rFonts w:ascii="Calibri" w:hAnsi="Calibri"/>
                <w:sz w:val="16"/>
              </w:rPr>
              <w:t>0.935</w:t>
            </w:r>
          </w:p>
        </w:tc>
        <w:tc>
          <w:tcPr>
            <w:tcW w:type="dxa" w:w="792"/>
            <w:vAlign w:val="top"/>
            <w:tcMar>
              <w:top w:w="80" w:type="dxa"/>
              <w:start w:w="80" w:type="dxa"/>
              <w:bottom w:w="80" w:type="dxa"/>
              <w:end w:w="80" w:type="dxa"/>
            </w:tcMar>
          </w:tcPr>
          <w:p>
            <w:pPr>
              <w:spacing w:after="0"/>
              <w:jc w:val="left"/>
            </w:pPr>
            <w:r>
              <w:rPr>
                <w:rFonts w:ascii="Calibri" w:hAnsi="Calibri"/>
                <w:sz w:val="16"/>
              </w:rPr>
              <w:t>0.136</w:t>
            </w:r>
          </w:p>
        </w:tc>
        <w:tc>
          <w:tcPr>
            <w:tcW w:type="dxa" w:w="792"/>
            <w:vAlign w:val="top"/>
            <w:tcMar>
              <w:top w:w="80" w:type="dxa"/>
              <w:start w:w="80" w:type="dxa"/>
              <w:bottom w:w="80" w:type="dxa"/>
              <w:end w:w="80" w:type="dxa"/>
            </w:tcMar>
          </w:tcPr>
          <w:p>
            <w:pPr>
              <w:spacing w:after="0"/>
              <w:jc w:val="left"/>
            </w:pPr>
            <w:r>
              <w:rPr>
                <w:rFonts w:ascii="Calibri" w:hAnsi="Calibri"/>
                <w:sz w:val="16"/>
              </w:rPr>
              <w:t>1.000</w:t>
            </w:r>
          </w:p>
        </w:tc>
      </w:tr>
      <w:tr>
        <w:tc>
          <w:tcPr>
            <w:tcW w:type="dxa" w:w="2088"/>
            <w:vAlign w:val="top"/>
            <w:tcMar>
              <w:top w:w="80" w:type="dxa"/>
              <w:start w:w="80" w:type="dxa"/>
              <w:bottom w:w="80" w:type="dxa"/>
              <w:end w:w="80" w:type="dxa"/>
            </w:tcMar>
          </w:tcPr>
          <w:p>
            <w:pPr>
              <w:spacing w:after="0"/>
              <w:jc w:val="left"/>
            </w:pPr>
            <w:r>
              <w:rPr>
                <w:rFonts w:ascii="Calibri" w:hAnsi="Calibri"/>
                <w:sz w:val="16"/>
              </w:rPr>
              <w:t>CredEvent TurkRatings</w:t>
            </w:r>
          </w:p>
        </w:tc>
        <w:tc>
          <w:tcPr>
            <w:tcW w:type="dxa" w:w="1080"/>
            <w:vAlign w:val="top"/>
            <w:tcMar>
              <w:top w:w="80" w:type="dxa"/>
              <w:start w:w="80" w:type="dxa"/>
              <w:bottom w:w="80" w:type="dxa"/>
              <w:end w:w="80" w:type="dxa"/>
            </w:tcMar>
          </w:tcPr>
          <w:p>
            <w:pPr>
              <w:spacing w:after="0"/>
              <w:jc w:val="left"/>
            </w:pPr>
            <w:r>
              <w:rPr>
                <w:rFonts w:ascii="Calibri" w:hAnsi="Calibri"/>
                <w:sz w:val="16"/>
              </w:rPr>
              <w:t>T_perc</w:t>
            </w:r>
          </w:p>
        </w:tc>
        <w:tc>
          <w:tcPr>
            <w:tcW w:type="dxa" w:w="648"/>
            <w:vAlign w:val="top"/>
            <w:tcMar>
              <w:top w:w="80" w:type="dxa"/>
              <w:start w:w="80" w:type="dxa"/>
              <w:bottom w:w="80" w:type="dxa"/>
              <w:end w:w="80" w:type="dxa"/>
            </w:tcMar>
          </w:tcPr>
          <w:p>
            <w:pPr>
              <w:spacing w:after="0"/>
              <w:jc w:val="left"/>
            </w:pPr>
            <w:r>
              <w:rPr>
                <w:rFonts w:ascii="Calibri" w:hAnsi="Calibri"/>
                <w:sz w:val="16"/>
              </w:rPr>
              <w:t>200</w:t>
            </w:r>
          </w:p>
        </w:tc>
        <w:tc>
          <w:tcPr>
            <w:tcW w:type="dxa" w:w="1224"/>
            <w:vAlign w:val="top"/>
            <w:tcMar>
              <w:top w:w="80" w:type="dxa"/>
              <w:start w:w="80" w:type="dxa"/>
              <w:bottom w:w="80" w:type="dxa"/>
              <w:end w:w="80" w:type="dxa"/>
            </w:tcMar>
          </w:tcPr>
          <w:p>
            <w:pPr>
              <w:spacing w:after="0"/>
              <w:jc w:val="left"/>
            </w:pPr>
            <w:r>
              <w:rPr>
                <w:rFonts w:ascii="Calibri" w:hAnsi="Calibri"/>
                <w:sz w:val="16"/>
              </w:rPr>
              <w:t>0.931</w:t>
            </w:r>
          </w:p>
        </w:tc>
        <w:tc>
          <w:tcPr>
            <w:tcW w:type="dxa" w:w="1152"/>
            <w:vAlign w:val="top"/>
            <w:tcMar>
              <w:top w:w="80" w:type="dxa"/>
              <w:start w:w="80" w:type="dxa"/>
              <w:bottom w:w="80" w:type="dxa"/>
              <w:end w:w="80" w:type="dxa"/>
            </w:tcMar>
          </w:tcPr>
          <w:p>
            <w:pPr>
              <w:spacing w:after="0"/>
              <w:jc w:val="left"/>
            </w:pPr>
            <w:r>
              <w:rPr>
                <w:rFonts w:ascii="Calibri" w:hAnsi="Calibri"/>
                <w:sz w:val="16"/>
              </w:rPr>
              <w:t>0.991</w:t>
            </w:r>
          </w:p>
        </w:tc>
        <w:tc>
          <w:tcPr>
            <w:tcW w:type="dxa" w:w="1080"/>
            <w:vAlign w:val="top"/>
            <w:tcMar>
              <w:top w:w="80" w:type="dxa"/>
              <w:start w:w="80" w:type="dxa"/>
              <w:bottom w:w="80" w:type="dxa"/>
              <w:end w:w="80" w:type="dxa"/>
            </w:tcMar>
          </w:tcPr>
          <w:p>
            <w:pPr>
              <w:spacing w:after="0"/>
              <w:jc w:val="left"/>
            </w:pPr>
            <w:r>
              <w:rPr>
                <w:rFonts w:ascii="Calibri" w:hAnsi="Calibri"/>
                <w:sz w:val="16"/>
              </w:rPr>
              <w:t>0.476</w:t>
            </w:r>
          </w:p>
        </w:tc>
        <w:tc>
          <w:tcPr>
            <w:tcW w:type="dxa" w:w="1080"/>
            <w:vAlign w:val="top"/>
            <w:tcMar>
              <w:top w:w="80" w:type="dxa"/>
              <w:start w:w="80" w:type="dxa"/>
              <w:bottom w:w="80" w:type="dxa"/>
              <w:end w:w="80" w:type="dxa"/>
            </w:tcMar>
          </w:tcPr>
          <w:p>
            <w:pPr>
              <w:spacing w:after="0"/>
              <w:jc w:val="left"/>
            </w:pPr>
            <w:r>
              <w:rPr>
                <w:rFonts w:ascii="Calibri" w:hAnsi="Calibri"/>
                <w:sz w:val="16"/>
              </w:rPr>
              <w:t>0.437</w:t>
            </w:r>
          </w:p>
        </w:tc>
        <w:tc>
          <w:tcPr>
            <w:tcW w:type="dxa" w:w="792"/>
            <w:vAlign w:val="top"/>
            <w:tcMar>
              <w:top w:w="80" w:type="dxa"/>
              <w:start w:w="80" w:type="dxa"/>
              <w:bottom w:w="80" w:type="dxa"/>
              <w:end w:w="80" w:type="dxa"/>
            </w:tcMar>
          </w:tcPr>
          <w:p>
            <w:pPr>
              <w:spacing w:after="0"/>
              <w:jc w:val="left"/>
            </w:pPr>
            <w:r>
              <w:rPr>
                <w:rFonts w:ascii="Calibri" w:hAnsi="Calibri"/>
                <w:sz w:val="16"/>
              </w:rPr>
              <w:t>0.060</w:t>
            </w:r>
          </w:p>
        </w:tc>
        <w:tc>
          <w:tcPr>
            <w:tcW w:type="dxa" w:w="792"/>
            <w:vAlign w:val="top"/>
            <w:tcMar>
              <w:top w:w="80" w:type="dxa"/>
              <w:start w:w="80" w:type="dxa"/>
              <w:bottom w:w="80" w:type="dxa"/>
              <w:end w:w="80" w:type="dxa"/>
            </w:tcMar>
          </w:tcPr>
          <w:p>
            <w:pPr>
              <w:spacing w:after="0"/>
              <w:jc w:val="left"/>
            </w:pPr>
            <w:r>
              <w:rPr>
                <w:rFonts w:ascii="Calibri" w:hAnsi="Calibri"/>
                <w:sz w:val="16"/>
              </w:rPr>
              <w:t>—</w:t>
            </w:r>
          </w:p>
        </w:tc>
      </w:tr>
      <w:tr>
        <w:tc>
          <w:tcPr>
            <w:tcW w:type="dxa" w:w="2088"/>
            <w:vAlign w:val="top"/>
            <w:tcMar>
              <w:top w:w="80" w:type="dxa"/>
              <w:start w:w="80" w:type="dxa"/>
              <w:bottom w:w="80" w:type="dxa"/>
              <w:end w:w="80" w:type="dxa"/>
            </w:tcMar>
          </w:tcPr>
          <w:p>
            <w:pPr>
              <w:spacing w:after="0"/>
              <w:jc w:val="left"/>
            </w:pPr>
            <w:r>
              <w:rPr>
                <w:rFonts w:ascii="Calibri" w:hAnsi="Calibri"/>
                <w:sz w:val="16"/>
              </w:rPr>
              <w:t>HumAID</w:t>
            </w:r>
          </w:p>
        </w:tc>
        <w:tc>
          <w:tcPr>
            <w:tcW w:type="dxa" w:w="1080"/>
            <w:vAlign w:val="top"/>
            <w:tcMar>
              <w:top w:w="80" w:type="dxa"/>
              <w:start w:w="80" w:type="dxa"/>
              <w:bottom w:w="80" w:type="dxa"/>
              <w:end w:w="80" w:type="dxa"/>
            </w:tcMar>
          </w:tcPr>
          <w:p>
            <w:pPr>
              <w:spacing w:after="0"/>
              <w:jc w:val="left"/>
            </w:pPr>
            <w:r>
              <w:rPr>
                <w:rFonts w:ascii="Calibri" w:hAnsi="Calibri"/>
                <w:sz w:val="16"/>
              </w:rPr>
              <w:t>I</w:t>
            </w:r>
          </w:p>
        </w:tc>
        <w:tc>
          <w:tcPr>
            <w:tcW w:type="dxa" w:w="648"/>
            <w:vAlign w:val="top"/>
            <w:tcMar>
              <w:top w:w="80" w:type="dxa"/>
              <w:start w:w="80" w:type="dxa"/>
              <w:bottom w:w="80" w:type="dxa"/>
              <w:end w:w="80" w:type="dxa"/>
            </w:tcMar>
          </w:tcPr>
          <w:p>
            <w:pPr>
              <w:spacing w:after="0"/>
              <w:jc w:val="left"/>
            </w:pPr>
            <w:r>
              <w:rPr>
                <w:rFonts w:ascii="Calibri" w:hAnsi="Calibri"/>
                <w:sz w:val="16"/>
              </w:rPr>
              <w:t>200</w:t>
            </w:r>
          </w:p>
        </w:tc>
        <w:tc>
          <w:tcPr>
            <w:tcW w:type="dxa" w:w="1224"/>
            <w:vAlign w:val="top"/>
            <w:tcMar>
              <w:top w:w="80" w:type="dxa"/>
              <w:start w:w="80" w:type="dxa"/>
              <w:bottom w:w="80" w:type="dxa"/>
              <w:end w:w="80" w:type="dxa"/>
            </w:tcMar>
          </w:tcPr>
          <w:p>
            <w:pPr>
              <w:spacing w:after="0"/>
              <w:jc w:val="left"/>
            </w:pPr>
            <w:r>
              <w:rPr>
                <w:rFonts w:ascii="Calibri" w:hAnsi="Calibri"/>
                <w:sz w:val="16"/>
              </w:rPr>
              <w:t>0.744</w:t>
            </w:r>
          </w:p>
        </w:tc>
        <w:tc>
          <w:tcPr>
            <w:tcW w:type="dxa" w:w="1152"/>
            <w:vAlign w:val="top"/>
            <w:tcMar>
              <w:top w:w="80" w:type="dxa"/>
              <w:start w:w="80" w:type="dxa"/>
              <w:bottom w:w="80" w:type="dxa"/>
              <w:end w:w="80" w:type="dxa"/>
            </w:tcMar>
          </w:tcPr>
          <w:p>
            <w:pPr>
              <w:spacing w:after="0"/>
              <w:jc w:val="left"/>
            </w:pPr>
            <w:r>
              <w:rPr>
                <w:rFonts w:ascii="Calibri" w:hAnsi="Calibri"/>
                <w:sz w:val="16"/>
              </w:rPr>
              <w:t>0.837</w:t>
            </w:r>
          </w:p>
        </w:tc>
        <w:tc>
          <w:tcPr>
            <w:tcW w:type="dxa" w:w="1080"/>
            <w:vAlign w:val="top"/>
            <w:tcMar>
              <w:top w:w="80" w:type="dxa"/>
              <w:start w:w="80" w:type="dxa"/>
              <w:bottom w:w="80" w:type="dxa"/>
              <w:end w:w="80" w:type="dxa"/>
            </w:tcMar>
          </w:tcPr>
          <w:p>
            <w:pPr>
              <w:spacing w:after="0"/>
              <w:jc w:val="left"/>
            </w:pPr>
            <w:r>
              <w:rPr>
                <w:rFonts w:ascii="Calibri" w:hAnsi="Calibri"/>
                <w:sz w:val="16"/>
              </w:rPr>
              <w:t>0.320</w:t>
            </w:r>
          </w:p>
        </w:tc>
        <w:tc>
          <w:tcPr>
            <w:tcW w:type="dxa" w:w="1080"/>
            <w:vAlign w:val="top"/>
            <w:tcMar>
              <w:top w:w="80" w:type="dxa"/>
              <w:start w:w="80" w:type="dxa"/>
              <w:bottom w:w="80" w:type="dxa"/>
              <w:end w:w="80" w:type="dxa"/>
            </w:tcMar>
          </w:tcPr>
          <w:p>
            <w:pPr>
              <w:spacing w:after="0"/>
              <w:jc w:val="left"/>
            </w:pPr>
            <w:r>
              <w:rPr>
                <w:rFonts w:ascii="Calibri" w:hAnsi="Calibri"/>
                <w:sz w:val="16"/>
              </w:rPr>
              <w:t>0.277</w:t>
            </w:r>
          </w:p>
        </w:tc>
        <w:tc>
          <w:tcPr>
            <w:tcW w:type="dxa" w:w="792"/>
            <w:vAlign w:val="top"/>
            <w:tcMar>
              <w:top w:w="80" w:type="dxa"/>
              <w:start w:w="80" w:type="dxa"/>
              <w:bottom w:w="80" w:type="dxa"/>
              <w:end w:w="80" w:type="dxa"/>
            </w:tcMar>
          </w:tcPr>
          <w:p>
            <w:pPr>
              <w:spacing w:after="0"/>
              <w:jc w:val="left"/>
            </w:pPr>
            <w:r>
              <w:rPr>
                <w:rFonts w:ascii="Calibri" w:hAnsi="Calibri"/>
                <w:sz w:val="16"/>
              </w:rPr>
              <w:t>0.200</w:t>
            </w:r>
          </w:p>
        </w:tc>
        <w:tc>
          <w:tcPr>
            <w:tcW w:type="dxa" w:w="792"/>
            <w:vAlign w:val="top"/>
            <w:tcMar>
              <w:top w:w="80" w:type="dxa"/>
              <w:start w:w="80" w:type="dxa"/>
              <w:bottom w:w="80" w:type="dxa"/>
              <w:end w:w="80" w:type="dxa"/>
            </w:tcMar>
          </w:tcPr>
          <w:p>
            <w:pPr>
              <w:spacing w:after="0"/>
              <w:jc w:val="left"/>
            </w:pPr>
            <w:r>
              <w:rPr>
                <w:rFonts w:ascii="Calibri" w:hAnsi="Calibri"/>
                <w:sz w:val="16"/>
              </w:rPr>
              <w:t>0.679</w:t>
            </w:r>
          </w:p>
        </w:tc>
      </w:tr>
    </w:tbl>
    <w:p>
      <w:pPr>
        <w:spacing w:after="240"/>
        <w:jc w:val="center"/>
      </w:pPr>
      <w:r>
        <w:rPr>
          <w:rFonts w:ascii="Calibri" w:hAnsi="Calibri"/>
          <w:b/>
        </w:rPr>
        <w:t>Table 2: Stress-test metrics by dataset.</w:t>
      </w:r>
      <w:r>
        <w:rPr>
          <w:rFonts w:ascii="Calibri" w:hAnsi="Calibri"/>
        </w:rPr>
      </w:r>
    </w:p>
    <w:p>
      <w:pPr>
        <w:spacing w:after="120"/>
        <w:jc w:val="both"/>
      </w:pPr>
      <w:r>
        <w:rPr>
          <w:rFonts w:ascii="Calibri" w:hAnsi="Calibri"/>
        </w:rPr>
        <w:t>The LIAR result suggests that the truth-probability architecture captures a large portion of the ordering used by professional fact-checkers when the framework's evidence variables are scored from the fact-checking record. The model is not merely separating true from false cases. It preserves most of the ordinal structure across the six PolitiFact categories.</w:t>
      </w:r>
    </w:p>
    <w:p>
      <w:pPr>
        <w:spacing w:after="120"/>
        <w:jc w:val="both"/>
      </w:pPr>
      <w:r>
        <w:rPr>
          <w:rFonts w:ascii="Calibri" w:hAnsi="Calibri"/>
        </w:rPr>
        <w:t>This provides preliminary empirical support for the framework's decision to compute T_abs from source credibility, statement properties, independent corroboration, established-knowledge consistency, and physical or empirical evidence. The result should be read as strong evidence-audit alignment, not as a completed external validation of the measurement construct.</w:t>
      </w:r>
    </w:p>
    <w:p>
      <w:pPr>
        <w:pStyle w:val="Titre2"/>
        <w:pageBreakBefore/>
      </w:pPr>
      <w:r>
        <w:rPr>
          <w:rFonts w:ascii="Calibri" w:hAnsi="Calibri"/>
        </w:rPr>
        <w:t>3.2  Performance at the Truth Extremes</w:t>
      </w:r>
    </w:p>
    <w:p>
      <w:pPr>
        <w:spacing w:after="120"/>
        <w:jc w:val="both"/>
      </w:pPr>
      <w:r>
        <w:rPr>
          <w:rFonts w:ascii="Calibri" w:hAnsi="Calibri"/>
        </w:rPr>
        <w:t>The framework shows its strongest behavior at the truth extremes. Statements labelled true by PolitiFact have a mean model score of 0.968 against an expected value of 1.000. Statements labelled pants-fire have a mean model score of 0.005 against an expected value of 0.000. This indicates that the present scoring protocol separates the clearest true and false cases very sharply.</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72"/>
        <w:gridCol w:w="1872"/>
        <w:gridCol w:w="1872"/>
        <w:gridCol w:w="1872"/>
        <w:gridCol w:w="1872"/>
      </w:tblGrid>
      <w:tr>
        <w:tc>
          <w:tcPr>
            <w:tcW w:type="dxa" w:w="3168"/>
            <w:vAlign w:val="top"/>
            <w:tcMar>
              <w:top w:w="80" w:type="dxa"/>
              <w:start w:w="80" w:type="dxa"/>
              <w:bottom w:w="80" w:type="dxa"/>
              <w:end w:w="80" w:type="dxa"/>
            </w:tcMar>
            <w:shd w:fill="D9E2F3"/>
          </w:tcPr>
          <w:p>
            <w:pPr>
              <w:spacing w:after="0"/>
              <w:jc w:val="center"/>
            </w:pPr>
            <w:r>
              <w:rPr>
                <w:rFonts w:ascii="Calibri" w:hAnsi="Calibri"/>
                <w:b/>
                <w:sz w:val="18"/>
              </w:rPr>
              <w:t>PolitiFact category</w:t>
            </w:r>
          </w:p>
        </w:tc>
        <w:tc>
          <w:tcPr>
            <w:tcW w:type="dxa" w:w="864"/>
            <w:vAlign w:val="top"/>
            <w:tcMar>
              <w:top w:w="80" w:type="dxa"/>
              <w:start w:w="80" w:type="dxa"/>
              <w:bottom w:w="80" w:type="dxa"/>
              <w:end w:w="80" w:type="dxa"/>
            </w:tcMar>
            <w:shd w:fill="D9E2F3"/>
          </w:tcPr>
          <w:p>
            <w:pPr>
              <w:spacing w:after="0"/>
              <w:jc w:val="center"/>
            </w:pPr>
            <w:r>
              <w:rPr>
                <w:rFonts w:ascii="Calibri" w:hAnsi="Calibri"/>
                <w:b/>
                <w:sz w:val="18"/>
              </w:rPr>
              <w:t>n</w:t>
            </w:r>
          </w:p>
        </w:tc>
        <w:tc>
          <w:tcPr>
            <w:tcW w:type="dxa" w:w="1728"/>
            <w:vAlign w:val="top"/>
            <w:tcMar>
              <w:top w:w="80" w:type="dxa"/>
              <w:start w:w="80" w:type="dxa"/>
              <w:bottom w:w="80" w:type="dxa"/>
              <w:end w:w="80" w:type="dxa"/>
            </w:tcMar>
            <w:shd w:fill="D9E2F3"/>
          </w:tcPr>
          <w:p>
            <w:pPr>
              <w:spacing w:after="0"/>
              <w:jc w:val="center"/>
            </w:pPr>
            <w:r>
              <w:rPr>
                <w:rFonts w:ascii="Calibri" w:hAnsi="Calibri"/>
                <w:b/>
                <w:sz w:val="18"/>
              </w:rPr>
              <w:t>Expected mean</w:t>
            </w:r>
          </w:p>
        </w:tc>
        <w:tc>
          <w:tcPr>
            <w:tcW w:type="dxa" w:w="1728"/>
            <w:vAlign w:val="top"/>
            <w:tcMar>
              <w:top w:w="80" w:type="dxa"/>
              <w:start w:w="80" w:type="dxa"/>
              <w:bottom w:w="80" w:type="dxa"/>
              <w:end w:w="80" w:type="dxa"/>
            </w:tcMar>
            <w:shd w:fill="D9E2F3"/>
          </w:tcPr>
          <w:p>
            <w:pPr>
              <w:spacing w:after="0"/>
              <w:jc w:val="center"/>
            </w:pPr>
            <w:r>
              <w:rPr>
                <w:rFonts w:ascii="Calibri" w:hAnsi="Calibri"/>
                <w:b/>
                <w:sz w:val="18"/>
              </w:rPr>
              <w:t>Model mean</w:t>
            </w:r>
          </w:p>
        </w:tc>
        <w:tc>
          <w:tcPr>
            <w:tcW w:type="dxa" w:w="1152"/>
            <w:vAlign w:val="top"/>
            <w:tcMar>
              <w:top w:w="80" w:type="dxa"/>
              <w:start w:w="80" w:type="dxa"/>
              <w:bottom w:w="80" w:type="dxa"/>
              <w:end w:w="80" w:type="dxa"/>
            </w:tcMar>
            <w:shd w:fill="D9E2F3"/>
          </w:tcPr>
          <w:p>
            <w:pPr>
              <w:spacing w:after="0"/>
              <w:jc w:val="center"/>
            </w:pPr>
            <w:r>
              <w:rPr>
                <w:rFonts w:ascii="Calibri" w:hAnsi="Calibri"/>
                <w:b/>
                <w:sz w:val="18"/>
              </w:rPr>
              <w:t>Gap</w:t>
            </w:r>
          </w:p>
        </w:tc>
      </w:tr>
      <w:tr>
        <w:tc>
          <w:tcPr>
            <w:tcW w:type="dxa" w:w="3168"/>
            <w:vAlign w:val="top"/>
            <w:tcMar>
              <w:top w:w="80" w:type="dxa"/>
              <w:start w:w="80" w:type="dxa"/>
              <w:bottom w:w="80" w:type="dxa"/>
              <w:end w:w="80" w:type="dxa"/>
            </w:tcMar>
          </w:tcPr>
          <w:p>
            <w:pPr>
              <w:spacing w:after="0"/>
              <w:jc w:val="left"/>
            </w:pPr>
            <w:r>
              <w:rPr>
                <w:rFonts w:ascii="Calibri" w:hAnsi="Calibri"/>
                <w:sz w:val="18"/>
              </w:rPr>
              <w:t>pants-fire</w:t>
            </w:r>
          </w:p>
        </w:tc>
        <w:tc>
          <w:tcPr>
            <w:tcW w:type="dxa" w:w="864"/>
            <w:vAlign w:val="top"/>
            <w:tcMar>
              <w:top w:w="80" w:type="dxa"/>
              <w:start w:w="80" w:type="dxa"/>
              <w:bottom w:w="80" w:type="dxa"/>
              <w:end w:w="80" w:type="dxa"/>
            </w:tcMar>
          </w:tcPr>
          <w:p>
            <w:pPr>
              <w:spacing w:after="0"/>
              <w:jc w:val="left"/>
            </w:pPr>
            <w:r>
              <w:rPr>
                <w:rFonts w:ascii="Calibri" w:hAnsi="Calibri"/>
                <w:sz w:val="18"/>
              </w:rPr>
              <w:t>34</w:t>
            </w:r>
          </w:p>
        </w:tc>
        <w:tc>
          <w:tcPr>
            <w:tcW w:type="dxa" w:w="1728"/>
            <w:vAlign w:val="top"/>
            <w:tcMar>
              <w:top w:w="80" w:type="dxa"/>
              <w:start w:w="80" w:type="dxa"/>
              <w:bottom w:w="80" w:type="dxa"/>
              <w:end w:w="80" w:type="dxa"/>
            </w:tcMar>
          </w:tcPr>
          <w:p>
            <w:pPr>
              <w:spacing w:after="0"/>
              <w:jc w:val="left"/>
            </w:pPr>
            <w:r>
              <w:rPr>
                <w:rFonts w:ascii="Calibri" w:hAnsi="Calibri"/>
                <w:sz w:val="18"/>
              </w:rPr>
              <w:t>0.000</w:t>
            </w:r>
          </w:p>
        </w:tc>
        <w:tc>
          <w:tcPr>
            <w:tcW w:type="dxa" w:w="1728"/>
            <w:vAlign w:val="top"/>
            <w:tcMar>
              <w:top w:w="80" w:type="dxa"/>
              <w:start w:w="80" w:type="dxa"/>
              <w:bottom w:w="80" w:type="dxa"/>
              <w:end w:w="80" w:type="dxa"/>
            </w:tcMar>
          </w:tcPr>
          <w:p>
            <w:pPr>
              <w:spacing w:after="0"/>
              <w:jc w:val="left"/>
            </w:pPr>
            <w:r>
              <w:rPr>
                <w:rFonts w:ascii="Calibri" w:hAnsi="Calibri"/>
                <w:sz w:val="18"/>
              </w:rPr>
              <w:t>0.005</w:t>
            </w:r>
          </w:p>
        </w:tc>
        <w:tc>
          <w:tcPr>
            <w:tcW w:type="dxa" w:w="1152"/>
            <w:vAlign w:val="top"/>
            <w:tcMar>
              <w:top w:w="80" w:type="dxa"/>
              <w:start w:w="80" w:type="dxa"/>
              <w:bottom w:w="80" w:type="dxa"/>
              <w:end w:w="80" w:type="dxa"/>
            </w:tcMar>
          </w:tcPr>
          <w:p>
            <w:pPr>
              <w:spacing w:after="0"/>
              <w:jc w:val="left"/>
            </w:pPr>
            <w:r>
              <w:rPr>
                <w:rFonts w:ascii="Calibri" w:hAnsi="Calibri"/>
                <w:sz w:val="18"/>
              </w:rPr>
              <w:t>+0.005</w:t>
            </w:r>
          </w:p>
        </w:tc>
      </w:tr>
      <w:tr>
        <w:tc>
          <w:tcPr>
            <w:tcW w:type="dxa" w:w="3168"/>
            <w:vAlign w:val="top"/>
            <w:tcMar>
              <w:top w:w="80" w:type="dxa"/>
              <w:start w:w="80" w:type="dxa"/>
              <w:bottom w:w="80" w:type="dxa"/>
              <w:end w:w="80" w:type="dxa"/>
            </w:tcMar>
          </w:tcPr>
          <w:p>
            <w:pPr>
              <w:spacing w:after="0"/>
              <w:jc w:val="left"/>
            </w:pPr>
            <w:r>
              <w:rPr>
                <w:rFonts w:ascii="Calibri" w:hAnsi="Calibri"/>
                <w:sz w:val="18"/>
              </w:rPr>
              <w:t>false</w:t>
            </w:r>
          </w:p>
        </w:tc>
        <w:tc>
          <w:tcPr>
            <w:tcW w:type="dxa" w:w="864"/>
            <w:vAlign w:val="top"/>
            <w:tcMar>
              <w:top w:w="80" w:type="dxa"/>
              <w:start w:w="80" w:type="dxa"/>
              <w:bottom w:w="80" w:type="dxa"/>
              <w:end w:w="80" w:type="dxa"/>
            </w:tcMar>
          </w:tcPr>
          <w:p>
            <w:pPr>
              <w:spacing w:after="0"/>
              <w:jc w:val="left"/>
            </w:pPr>
            <w:r>
              <w:rPr>
                <w:rFonts w:ascii="Calibri" w:hAnsi="Calibri"/>
                <w:sz w:val="18"/>
              </w:rPr>
              <w:t>34</w:t>
            </w:r>
          </w:p>
        </w:tc>
        <w:tc>
          <w:tcPr>
            <w:tcW w:type="dxa" w:w="1728"/>
            <w:vAlign w:val="top"/>
            <w:tcMar>
              <w:top w:w="80" w:type="dxa"/>
              <w:start w:w="80" w:type="dxa"/>
              <w:bottom w:w="80" w:type="dxa"/>
              <w:end w:w="80" w:type="dxa"/>
            </w:tcMar>
          </w:tcPr>
          <w:p>
            <w:pPr>
              <w:spacing w:after="0"/>
              <w:jc w:val="left"/>
            </w:pPr>
            <w:r>
              <w:rPr>
                <w:rFonts w:ascii="Calibri" w:hAnsi="Calibri"/>
                <w:sz w:val="18"/>
              </w:rPr>
              <w:t>0.150</w:t>
            </w:r>
          </w:p>
        </w:tc>
        <w:tc>
          <w:tcPr>
            <w:tcW w:type="dxa" w:w="1728"/>
            <w:vAlign w:val="top"/>
            <w:tcMar>
              <w:top w:w="80" w:type="dxa"/>
              <w:start w:w="80" w:type="dxa"/>
              <w:bottom w:w="80" w:type="dxa"/>
              <w:end w:w="80" w:type="dxa"/>
            </w:tcMar>
          </w:tcPr>
          <w:p>
            <w:pPr>
              <w:spacing w:after="0"/>
              <w:jc w:val="left"/>
            </w:pPr>
            <w:r>
              <w:rPr>
                <w:rFonts w:ascii="Calibri" w:hAnsi="Calibri"/>
                <w:sz w:val="18"/>
              </w:rPr>
              <w:t>0.019</w:t>
            </w:r>
          </w:p>
        </w:tc>
        <w:tc>
          <w:tcPr>
            <w:tcW w:type="dxa" w:w="1152"/>
            <w:vAlign w:val="top"/>
            <w:tcMar>
              <w:top w:w="80" w:type="dxa"/>
              <w:start w:w="80" w:type="dxa"/>
              <w:bottom w:w="80" w:type="dxa"/>
              <w:end w:w="80" w:type="dxa"/>
            </w:tcMar>
          </w:tcPr>
          <w:p>
            <w:pPr>
              <w:spacing w:after="0"/>
              <w:jc w:val="left"/>
            </w:pPr>
            <w:r>
              <w:rPr>
                <w:rFonts w:ascii="Calibri" w:hAnsi="Calibri"/>
                <w:sz w:val="18"/>
              </w:rPr>
              <w:t>−0.131</w:t>
            </w:r>
          </w:p>
        </w:tc>
      </w:tr>
      <w:tr>
        <w:tc>
          <w:tcPr>
            <w:tcW w:type="dxa" w:w="3168"/>
            <w:vAlign w:val="top"/>
            <w:tcMar>
              <w:top w:w="80" w:type="dxa"/>
              <w:start w:w="80" w:type="dxa"/>
              <w:bottom w:w="80" w:type="dxa"/>
              <w:end w:w="80" w:type="dxa"/>
            </w:tcMar>
          </w:tcPr>
          <w:p>
            <w:pPr>
              <w:spacing w:after="0"/>
              <w:jc w:val="left"/>
            </w:pPr>
            <w:r>
              <w:rPr>
                <w:rFonts w:ascii="Calibri" w:hAnsi="Calibri"/>
                <w:sz w:val="18"/>
              </w:rPr>
              <w:t>barely-true</w:t>
            </w:r>
          </w:p>
        </w:tc>
        <w:tc>
          <w:tcPr>
            <w:tcW w:type="dxa" w:w="864"/>
            <w:vAlign w:val="top"/>
            <w:tcMar>
              <w:top w:w="80" w:type="dxa"/>
              <w:start w:w="80" w:type="dxa"/>
              <w:bottom w:w="80" w:type="dxa"/>
              <w:end w:w="80" w:type="dxa"/>
            </w:tcMar>
          </w:tcPr>
          <w:p>
            <w:pPr>
              <w:spacing w:after="0"/>
              <w:jc w:val="left"/>
            </w:pPr>
            <w:r>
              <w:rPr>
                <w:rFonts w:ascii="Calibri" w:hAnsi="Calibri"/>
                <w:sz w:val="18"/>
              </w:rPr>
              <w:t>34</w:t>
            </w:r>
          </w:p>
        </w:tc>
        <w:tc>
          <w:tcPr>
            <w:tcW w:type="dxa" w:w="1728"/>
            <w:vAlign w:val="top"/>
            <w:tcMar>
              <w:top w:w="80" w:type="dxa"/>
              <w:start w:w="80" w:type="dxa"/>
              <w:bottom w:w="80" w:type="dxa"/>
              <w:end w:w="80" w:type="dxa"/>
            </w:tcMar>
          </w:tcPr>
          <w:p>
            <w:pPr>
              <w:spacing w:after="0"/>
              <w:jc w:val="left"/>
            </w:pPr>
            <w:r>
              <w:rPr>
                <w:rFonts w:ascii="Calibri" w:hAnsi="Calibri"/>
                <w:sz w:val="18"/>
              </w:rPr>
              <w:t>0.350</w:t>
            </w:r>
          </w:p>
        </w:tc>
        <w:tc>
          <w:tcPr>
            <w:tcW w:type="dxa" w:w="1728"/>
            <w:vAlign w:val="top"/>
            <w:tcMar>
              <w:top w:w="80" w:type="dxa"/>
              <w:start w:w="80" w:type="dxa"/>
              <w:bottom w:w="80" w:type="dxa"/>
              <w:end w:w="80" w:type="dxa"/>
            </w:tcMar>
          </w:tcPr>
          <w:p>
            <w:pPr>
              <w:spacing w:after="0"/>
              <w:jc w:val="left"/>
            </w:pPr>
            <w:r>
              <w:rPr>
                <w:rFonts w:ascii="Calibri" w:hAnsi="Calibri"/>
                <w:sz w:val="18"/>
              </w:rPr>
              <w:t>0.054</w:t>
            </w:r>
          </w:p>
        </w:tc>
        <w:tc>
          <w:tcPr>
            <w:tcW w:type="dxa" w:w="1152"/>
            <w:vAlign w:val="top"/>
            <w:tcMar>
              <w:top w:w="80" w:type="dxa"/>
              <w:start w:w="80" w:type="dxa"/>
              <w:bottom w:w="80" w:type="dxa"/>
              <w:end w:w="80" w:type="dxa"/>
            </w:tcMar>
          </w:tcPr>
          <w:p>
            <w:pPr>
              <w:spacing w:after="0"/>
              <w:jc w:val="left"/>
            </w:pPr>
            <w:r>
              <w:rPr>
                <w:rFonts w:ascii="Calibri" w:hAnsi="Calibri"/>
                <w:sz w:val="18"/>
              </w:rPr>
              <w:t>−0.296</w:t>
            </w:r>
          </w:p>
        </w:tc>
      </w:tr>
      <w:tr>
        <w:tc>
          <w:tcPr>
            <w:tcW w:type="dxa" w:w="3168"/>
            <w:vAlign w:val="top"/>
            <w:tcMar>
              <w:top w:w="80" w:type="dxa"/>
              <w:start w:w="80" w:type="dxa"/>
              <w:bottom w:w="80" w:type="dxa"/>
              <w:end w:w="80" w:type="dxa"/>
            </w:tcMar>
          </w:tcPr>
          <w:p>
            <w:pPr>
              <w:spacing w:after="0"/>
              <w:jc w:val="left"/>
            </w:pPr>
            <w:r>
              <w:rPr>
                <w:rFonts w:ascii="Calibri" w:hAnsi="Calibri"/>
                <w:sz w:val="18"/>
              </w:rPr>
              <w:t>half-true</w:t>
            </w:r>
          </w:p>
        </w:tc>
        <w:tc>
          <w:tcPr>
            <w:tcW w:type="dxa" w:w="864"/>
            <w:vAlign w:val="top"/>
            <w:tcMar>
              <w:top w:w="80" w:type="dxa"/>
              <w:start w:w="80" w:type="dxa"/>
              <w:bottom w:w="80" w:type="dxa"/>
              <w:end w:w="80" w:type="dxa"/>
            </w:tcMar>
          </w:tcPr>
          <w:p>
            <w:pPr>
              <w:spacing w:after="0"/>
              <w:jc w:val="left"/>
            </w:pPr>
            <w:r>
              <w:rPr>
                <w:rFonts w:ascii="Calibri" w:hAnsi="Calibri"/>
                <w:sz w:val="18"/>
              </w:rPr>
              <w:t>34</w:t>
            </w:r>
          </w:p>
        </w:tc>
        <w:tc>
          <w:tcPr>
            <w:tcW w:type="dxa" w:w="1728"/>
            <w:vAlign w:val="top"/>
            <w:tcMar>
              <w:top w:w="80" w:type="dxa"/>
              <w:start w:w="80" w:type="dxa"/>
              <w:bottom w:w="80" w:type="dxa"/>
              <w:end w:w="80" w:type="dxa"/>
            </w:tcMar>
          </w:tcPr>
          <w:p>
            <w:pPr>
              <w:spacing w:after="0"/>
              <w:jc w:val="left"/>
            </w:pPr>
            <w:r>
              <w:rPr>
                <w:rFonts w:ascii="Calibri" w:hAnsi="Calibri"/>
                <w:sz w:val="18"/>
              </w:rPr>
              <w:t>0.500</w:t>
            </w:r>
          </w:p>
        </w:tc>
        <w:tc>
          <w:tcPr>
            <w:tcW w:type="dxa" w:w="1728"/>
            <w:vAlign w:val="top"/>
            <w:tcMar>
              <w:top w:w="80" w:type="dxa"/>
              <w:start w:w="80" w:type="dxa"/>
              <w:bottom w:w="80" w:type="dxa"/>
              <w:end w:w="80" w:type="dxa"/>
            </w:tcMar>
          </w:tcPr>
          <w:p>
            <w:pPr>
              <w:spacing w:after="0"/>
              <w:jc w:val="left"/>
            </w:pPr>
            <w:r>
              <w:rPr>
                <w:rFonts w:ascii="Calibri" w:hAnsi="Calibri"/>
                <w:sz w:val="18"/>
              </w:rPr>
              <w:t>0.275</w:t>
            </w:r>
          </w:p>
        </w:tc>
        <w:tc>
          <w:tcPr>
            <w:tcW w:type="dxa" w:w="1152"/>
            <w:vAlign w:val="top"/>
            <w:tcMar>
              <w:top w:w="80" w:type="dxa"/>
              <w:start w:w="80" w:type="dxa"/>
              <w:bottom w:w="80" w:type="dxa"/>
              <w:end w:w="80" w:type="dxa"/>
            </w:tcMar>
          </w:tcPr>
          <w:p>
            <w:pPr>
              <w:spacing w:after="0"/>
              <w:jc w:val="left"/>
            </w:pPr>
            <w:r>
              <w:rPr>
                <w:rFonts w:ascii="Calibri" w:hAnsi="Calibri"/>
                <w:sz w:val="18"/>
              </w:rPr>
              <w:t>−0.225</w:t>
            </w:r>
          </w:p>
        </w:tc>
      </w:tr>
      <w:tr>
        <w:tc>
          <w:tcPr>
            <w:tcW w:type="dxa" w:w="3168"/>
            <w:vAlign w:val="top"/>
            <w:tcMar>
              <w:top w:w="80" w:type="dxa"/>
              <w:start w:w="80" w:type="dxa"/>
              <w:bottom w:w="80" w:type="dxa"/>
              <w:end w:w="80" w:type="dxa"/>
            </w:tcMar>
          </w:tcPr>
          <w:p>
            <w:pPr>
              <w:spacing w:after="0"/>
              <w:jc w:val="left"/>
            </w:pPr>
            <w:r>
              <w:rPr>
                <w:rFonts w:ascii="Calibri" w:hAnsi="Calibri"/>
                <w:sz w:val="18"/>
              </w:rPr>
              <w:t>mostly-true</w:t>
            </w:r>
          </w:p>
        </w:tc>
        <w:tc>
          <w:tcPr>
            <w:tcW w:type="dxa" w:w="864"/>
            <w:vAlign w:val="top"/>
            <w:tcMar>
              <w:top w:w="80" w:type="dxa"/>
              <w:start w:w="80" w:type="dxa"/>
              <w:bottom w:w="80" w:type="dxa"/>
              <w:end w:w="80" w:type="dxa"/>
            </w:tcMar>
          </w:tcPr>
          <w:p>
            <w:pPr>
              <w:spacing w:after="0"/>
              <w:jc w:val="left"/>
            </w:pPr>
            <w:r>
              <w:rPr>
                <w:rFonts w:ascii="Calibri" w:hAnsi="Calibri"/>
                <w:sz w:val="18"/>
              </w:rPr>
              <w:t>34</w:t>
            </w:r>
          </w:p>
        </w:tc>
        <w:tc>
          <w:tcPr>
            <w:tcW w:type="dxa" w:w="1728"/>
            <w:vAlign w:val="top"/>
            <w:tcMar>
              <w:top w:w="80" w:type="dxa"/>
              <w:start w:w="80" w:type="dxa"/>
              <w:bottom w:w="80" w:type="dxa"/>
              <w:end w:w="80" w:type="dxa"/>
            </w:tcMar>
          </w:tcPr>
          <w:p>
            <w:pPr>
              <w:spacing w:after="0"/>
              <w:jc w:val="left"/>
            </w:pPr>
            <w:r>
              <w:rPr>
                <w:rFonts w:ascii="Calibri" w:hAnsi="Calibri"/>
                <w:sz w:val="18"/>
              </w:rPr>
              <w:t>0.750</w:t>
            </w:r>
          </w:p>
        </w:tc>
        <w:tc>
          <w:tcPr>
            <w:tcW w:type="dxa" w:w="1728"/>
            <w:vAlign w:val="top"/>
            <w:tcMar>
              <w:top w:w="80" w:type="dxa"/>
              <w:start w:w="80" w:type="dxa"/>
              <w:bottom w:w="80" w:type="dxa"/>
              <w:end w:w="80" w:type="dxa"/>
            </w:tcMar>
          </w:tcPr>
          <w:p>
            <w:pPr>
              <w:spacing w:after="0"/>
              <w:jc w:val="left"/>
            </w:pPr>
            <w:r>
              <w:rPr>
                <w:rFonts w:ascii="Calibri" w:hAnsi="Calibri"/>
                <w:sz w:val="18"/>
              </w:rPr>
              <w:t>0.867</w:t>
            </w:r>
          </w:p>
        </w:tc>
        <w:tc>
          <w:tcPr>
            <w:tcW w:type="dxa" w:w="1152"/>
            <w:vAlign w:val="top"/>
            <w:tcMar>
              <w:top w:w="80" w:type="dxa"/>
              <w:start w:w="80" w:type="dxa"/>
              <w:bottom w:w="80" w:type="dxa"/>
              <w:end w:w="80" w:type="dxa"/>
            </w:tcMar>
          </w:tcPr>
          <w:p>
            <w:pPr>
              <w:spacing w:after="0"/>
              <w:jc w:val="left"/>
            </w:pPr>
            <w:r>
              <w:rPr>
                <w:rFonts w:ascii="Calibri" w:hAnsi="Calibri"/>
                <w:sz w:val="18"/>
              </w:rPr>
              <w:t>+0.117</w:t>
            </w:r>
          </w:p>
        </w:tc>
      </w:tr>
      <w:tr>
        <w:tc>
          <w:tcPr>
            <w:tcW w:type="dxa" w:w="3168"/>
            <w:vAlign w:val="top"/>
            <w:tcMar>
              <w:top w:w="80" w:type="dxa"/>
              <w:start w:w="80" w:type="dxa"/>
              <w:bottom w:w="80" w:type="dxa"/>
              <w:end w:w="80" w:type="dxa"/>
            </w:tcMar>
          </w:tcPr>
          <w:p>
            <w:pPr>
              <w:spacing w:after="0"/>
              <w:jc w:val="left"/>
            </w:pPr>
            <w:r>
              <w:rPr>
                <w:rFonts w:ascii="Calibri" w:hAnsi="Calibri"/>
                <w:sz w:val="18"/>
              </w:rPr>
              <w:t>true</w:t>
            </w:r>
          </w:p>
        </w:tc>
        <w:tc>
          <w:tcPr>
            <w:tcW w:type="dxa" w:w="864"/>
            <w:vAlign w:val="top"/>
            <w:tcMar>
              <w:top w:w="80" w:type="dxa"/>
              <w:start w:w="80" w:type="dxa"/>
              <w:bottom w:w="80" w:type="dxa"/>
              <w:end w:w="80" w:type="dxa"/>
            </w:tcMar>
          </w:tcPr>
          <w:p>
            <w:pPr>
              <w:spacing w:after="0"/>
              <w:jc w:val="left"/>
            </w:pPr>
            <w:r>
              <w:rPr>
                <w:rFonts w:ascii="Calibri" w:hAnsi="Calibri"/>
                <w:sz w:val="18"/>
              </w:rPr>
              <w:t>30</w:t>
            </w:r>
          </w:p>
        </w:tc>
        <w:tc>
          <w:tcPr>
            <w:tcW w:type="dxa" w:w="1728"/>
            <w:vAlign w:val="top"/>
            <w:tcMar>
              <w:top w:w="80" w:type="dxa"/>
              <w:start w:w="80" w:type="dxa"/>
              <w:bottom w:w="80" w:type="dxa"/>
              <w:end w:w="80" w:type="dxa"/>
            </w:tcMar>
          </w:tcPr>
          <w:p>
            <w:pPr>
              <w:spacing w:after="0"/>
              <w:jc w:val="left"/>
            </w:pPr>
            <w:r>
              <w:rPr>
                <w:rFonts w:ascii="Calibri" w:hAnsi="Calibri"/>
                <w:sz w:val="18"/>
              </w:rPr>
              <w:t>1.000</w:t>
            </w:r>
          </w:p>
        </w:tc>
        <w:tc>
          <w:tcPr>
            <w:tcW w:type="dxa" w:w="1728"/>
            <w:vAlign w:val="top"/>
            <w:tcMar>
              <w:top w:w="80" w:type="dxa"/>
              <w:start w:w="80" w:type="dxa"/>
              <w:bottom w:w="80" w:type="dxa"/>
              <w:end w:w="80" w:type="dxa"/>
            </w:tcMar>
          </w:tcPr>
          <w:p>
            <w:pPr>
              <w:spacing w:after="0"/>
              <w:jc w:val="left"/>
            </w:pPr>
            <w:r>
              <w:rPr>
                <w:rFonts w:ascii="Calibri" w:hAnsi="Calibri"/>
                <w:sz w:val="18"/>
              </w:rPr>
              <w:t>0.968</w:t>
            </w:r>
          </w:p>
        </w:tc>
        <w:tc>
          <w:tcPr>
            <w:tcW w:type="dxa" w:w="1152"/>
            <w:vAlign w:val="top"/>
            <w:tcMar>
              <w:top w:w="80" w:type="dxa"/>
              <w:start w:w="80" w:type="dxa"/>
              <w:bottom w:w="80" w:type="dxa"/>
              <w:end w:w="80" w:type="dxa"/>
            </w:tcMar>
          </w:tcPr>
          <w:p>
            <w:pPr>
              <w:spacing w:after="0"/>
              <w:jc w:val="left"/>
            </w:pPr>
            <w:r>
              <w:rPr>
                <w:rFonts w:ascii="Calibri" w:hAnsi="Calibri"/>
                <w:sz w:val="18"/>
              </w:rPr>
              <w:t>−0.032</w:t>
            </w:r>
          </w:p>
        </w:tc>
      </w:tr>
    </w:tbl>
    <w:p>
      <w:pPr>
        <w:spacing w:after="240"/>
        <w:jc w:val="center"/>
      </w:pPr>
      <w:r>
        <w:rPr>
          <w:rFonts w:ascii="Calibri" w:hAnsi="Calibri"/>
          <w:b/>
        </w:rPr>
        <w:t xml:space="preserve">Table 3: </w:t>
      </w:r>
      <w:r>
        <w:rPr>
          <w:rFonts w:ascii="Calibri" w:hAnsi="Calibri"/>
        </w:rPr>
        <w:t>LIAR / PolitiFact category means.</w:t>
      </w:r>
    </w:p>
    <w:p>
      <w:pPr>
        <w:spacing w:after="120"/>
        <w:jc w:val="both"/>
      </w:pPr>
      <w:r>
        <w:rPr>
          <w:rFonts w:ascii="Calibri" w:hAnsi="Calibri"/>
        </w:rPr>
        <w:t>The high AUC follows from this strong separation. Under the binary collapse used in this stress test, the scoring protocol separates the externally true side from the externally false side. This is an important diagnostic result, but it should not be over-read as a claim that the model has final predictive validity independent of the evidence-audit procedure.</w:t>
      </w:r>
    </w:p>
    <w:p>
      <w:pPr>
        <w:pStyle w:val="Titre2"/>
      </w:pPr>
      <w:r>
        <w:rPr>
          <w:rFonts w:ascii="Calibri" w:hAnsi="Calibri"/>
        </w:rPr>
        <w:t>3.3  Partial Success in HumAID High-Action Categories</w:t>
      </w:r>
    </w:p>
    <w:p>
      <w:pPr>
        <w:spacing w:after="120"/>
        <w:jc w:val="both"/>
      </w:pPr>
      <w:r>
        <w:rPr>
          <w:rFonts w:ascii="Calibri" w:hAnsi="Calibri"/>
        </w:rPr>
        <w:t>The HumAID result is weak overall, but not uniformly weak. The framework assigns high importance to categories where the statement itself usually contains direct human-impact or action-relevant content. Requests or urgent needs, missing or found people, displaced people and evacuations, and caution and advice all score near their intended high-importance targets.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72"/>
        <w:gridCol w:w="1872"/>
        <w:gridCol w:w="1872"/>
        <w:gridCol w:w="1872"/>
        <w:gridCol w:w="1872"/>
      </w:tblGrid>
      <w:tr>
        <w:tc>
          <w:tcPr>
            <w:tcW w:type="dxa" w:w="3816"/>
            <w:vAlign w:val="top"/>
            <w:tcMar>
              <w:top w:w="80" w:type="dxa"/>
              <w:start w:w="80" w:type="dxa"/>
              <w:bottom w:w="80" w:type="dxa"/>
              <w:end w:w="80" w:type="dxa"/>
            </w:tcMar>
            <w:shd w:fill="D9E2F3"/>
          </w:tcPr>
          <w:p>
            <w:pPr>
              <w:spacing w:after="0"/>
              <w:jc w:val="center"/>
            </w:pPr>
            <w:r>
              <w:rPr>
                <w:rFonts w:ascii="Calibri" w:hAnsi="Calibri"/>
                <w:b/>
                <w:sz w:val="18"/>
              </w:rPr>
              <w:t>HumAID category</w:t>
            </w:r>
          </w:p>
        </w:tc>
        <w:tc>
          <w:tcPr>
            <w:tcW w:type="dxa" w:w="792"/>
            <w:vAlign w:val="top"/>
            <w:tcMar>
              <w:top w:w="80" w:type="dxa"/>
              <w:start w:w="80" w:type="dxa"/>
              <w:bottom w:w="80" w:type="dxa"/>
              <w:end w:w="80" w:type="dxa"/>
            </w:tcMar>
            <w:shd w:fill="D9E2F3"/>
          </w:tcPr>
          <w:p>
            <w:pPr>
              <w:spacing w:after="0"/>
              <w:jc w:val="center"/>
            </w:pPr>
            <w:r>
              <w:rPr>
                <w:rFonts w:ascii="Calibri" w:hAnsi="Calibri"/>
                <w:b/>
                <w:sz w:val="18"/>
              </w:rPr>
              <w:t>n</w:t>
            </w:r>
          </w:p>
        </w:tc>
        <w:tc>
          <w:tcPr>
            <w:tcW w:type="dxa" w:w="1584"/>
            <w:vAlign w:val="top"/>
            <w:tcMar>
              <w:top w:w="80" w:type="dxa"/>
              <w:start w:w="80" w:type="dxa"/>
              <w:bottom w:w="80" w:type="dxa"/>
              <w:end w:w="80" w:type="dxa"/>
            </w:tcMar>
            <w:shd w:fill="D9E2F3"/>
          </w:tcPr>
          <w:p>
            <w:pPr>
              <w:spacing w:after="0"/>
              <w:jc w:val="center"/>
            </w:pPr>
            <w:r>
              <w:rPr>
                <w:rFonts w:ascii="Calibri" w:hAnsi="Calibri"/>
                <w:b/>
                <w:sz w:val="18"/>
              </w:rPr>
              <w:t>Expected mean</w:t>
            </w:r>
          </w:p>
        </w:tc>
        <w:tc>
          <w:tcPr>
            <w:tcW w:type="dxa" w:w="1584"/>
            <w:vAlign w:val="top"/>
            <w:tcMar>
              <w:top w:w="80" w:type="dxa"/>
              <w:start w:w="80" w:type="dxa"/>
              <w:bottom w:w="80" w:type="dxa"/>
              <w:end w:w="80" w:type="dxa"/>
            </w:tcMar>
            <w:shd w:fill="D9E2F3"/>
          </w:tcPr>
          <w:p>
            <w:pPr>
              <w:spacing w:after="0"/>
              <w:jc w:val="center"/>
            </w:pPr>
            <w:r>
              <w:rPr>
                <w:rFonts w:ascii="Calibri" w:hAnsi="Calibri"/>
                <w:b/>
                <w:sz w:val="18"/>
              </w:rPr>
              <w:t>Model mean</w:t>
            </w:r>
          </w:p>
        </w:tc>
        <w:tc>
          <w:tcPr>
            <w:tcW w:type="dxa" w:w="1007"/>
            <w:vAlign w:val="top"/>
            <w:tcMar>
              <w:top w:w="80" w:type="dxa"/>
              <w:start w:w="80" w:type="dxa"/>
              <w:bottom w:w="80" w:type="dxa"/>
              <w:end w:w="80" w:type="dxa"/>
            </w:tcMar>
            <w:shd w:fill="D9E2F3"/>
          </w:tcPr>
          <w:p>
            <w:pPr>
              <w:spacing w:after="0"/>
              <w:jc w:val="center"/>
            </w:pPr>
            <w:r>
              <w:rPr>
                <w:rFonts w:ascii="Calibri" w:hAnsi="Calibri"/>
                <w:b/>
                <w:sz w:val="18"/>
              </w:rPr>
              <w:t>Gap</w:t>
            </w:r>
          </w:p>
        </w:tc>
      </w:tr>
      <w:tr>
        <w:tc>
          <w:tcPr>
            <w:tcW w:type="dxa" w:w="3816"/>
            <w:vAlign w:val="top"/>
            <w:tcMar>
              <w:top w:w="80" w:type="dxa"/>
              <w:start w:w="80" w:type="dxa"/>
              <w:bottom w:w="80" w:type="dxa"/>
              <w:end w:w="80" w:type="dxa"/>
            </w:tcMar>
          </w:tcPr>
          <w:p>
            <w:r>
              <w:rPr>
                <w:sz w:val="16"/>
              </w:rPr>
              <w:t>requests or urgent needs</w:t>
            </w:r>
          </w:p>
        </w:tc>
        <w:tc>
          <w:tcPr>
            <w:tcW w:type="dxa" w:w="792"/>
            <w:vAlign w:val="top"/>
            <w:tcMar>
              <w:top w:w="80" w:type="dxa"/>
              <w:start w:w="80" w:type="dxa"/>
              <w:bottom w:w="80" w:type="dxa"/>
              <w:end w:w="80" w:type="dxa"/>
            </w:tcMar>
          </w:tcPr>
          <w:p>
            <w:pPr>
              <w:spacing w:after="0"/>
              <w:jc w:val="left"/>
            </w:pPr>
            <w:r>
              <w:rPr>
                <w:rFonts w:ascii="Calibri" w:hAnsi="Calibri"/>
                <w:sz w:val="18"/>
              </w:rPr>
              <w:t>20</w:t>
            </w:r>
          </w:p>
        </w:tc>
        <w:tc>
          <w:tcPr>
            <w:tcW w:type="dxa" w:w="1584"/>
            <w:vAlign w:val="top"/>
            <w:tcMar>
              <w:top w:w="80" w:type="dxa"/>
              <w:start w:w="80" w:type="dxa"/>
              <w:bottom w:w="80" w:type="dxa"/>
              <w:end w:w="80" w:type="dxa"/>
            </w:tcMar>
          </w:tcPr>
          <w:p>
            <w:pPr>
              <w:spacing w:after="0"/>
              <w:jc w:val="left"/>
            </w:pPr>
            <w:r>
              <w:rPr>
                <w:rFonts w:ascii="Calibri" w:hAnsi="Calibri"/>
                <w:sz w:val="18"/>
              </w:rPr>
              <w:t>1.000</w:t>
            </w:r>
          </w:p>
        </w:tc>
        <w:tc>
          <w:tcPr>
            <w:tcW w:type="dxa" w:w="1584"/>
            <w:vAlign w:val="top"/>
            <w:tcMar>
              <w:top w:w="80" w:type="dxa"/>
              <w:start w:w="80" w:type="dxa"/>
              <w:bottom w:w="80" w:type="dxa"/>
              <w:end w:w="80" w:type="dxa"/>
            </w:tcMar>
          </w:tcPr>
          <w:p>
            <w:pPr>
              <w:spacing w:after="0"/>
              <w:jc w:val="left"/>
            </w:pPr>
            <w:r>
              <w:rPr>
                <w:rFonts w:ascii="Calibri" w:hAnsi="Calibri"/>
                <w:sz w:val="18"/>
              </w:rPr>
              <w:t>0.947</w:t>
            </w:r>
          </w:p>
        </w:tc>
        <w:tc>
          <w:tcPr>
            <w:tcW w:type="dxa" w:w="1007"/>
            <w:vAlign w:val="top"/>
            <w:tcMar>
              <w:top w:w="80" w:type="dxa"/>
              <w:start w:w="80" w:type="dxa"/>
              <w:bottom w:w="80" w:type="dxa"/>
              <w:end w:w="80" w:type="dxa"/>
            </w:tcMar>
          </w:tcPr>
          <w:p>
            <w:pPr>
              <w:spacing w:after="0"/>
              <w:jc w:val="left"/>
            </w:pPr>
            <w:r>
              <w:rPr>
                <w:rFonts w:ascii="Calibri" w:hAnsi="Calibri"/>
                <w:sz w:val="18"/>
              </w:rPr>
              <w:t>−0.053</w:t>
            </w:r>
          </w:p>
        </w:tc>
      </w:tr>
      <w:tr>
        <w:tc>
          <w:tcPr>
            <w:tcW w:type="dxa" w:w="3816"/>
            <w:vAlign w:val="top"/>
            <w:tcMar>
              <w:top w:w="80" w:type="dxa"/>
              <w:start w:w="80" w:type="dxa"/>
              <w:bottom w:w="80" w:type="dxa"/>
              <w:end w:w="80" w:type="dxa"/>
            </w:tcMar>
          </w:tcPr>
          <w:p>
            <w:r>
              <w:rPr>
                <w:sz w:val="16"/>
              </w:rPr>
              <w:t>missing or found people</w:t>
            </w:r>
          </w:p>
        </w:tc>
        <w:tc>
          <w:tcPr>
            <w:tcW w:type="dxa" w:w="792"/>
            <w:vAlign w:val="top"/>
            <w:tcMar>
              <w:top w:w="80" w:type="dxa"/>
              <w:start w:w="80" w:type="dxa"/>
              <w:bottom w:w="80" w:type="dxa"/>
              <w:end w:w="80" w:type="dxa"/>
            </w:tcMar>
          </w:tcPr>
          <w:p>
            <w:pPr>
              <w:spacing w:after="0"/>
              <w:jc w:val="left"/>
            </w:pPr>
            <w:r>
              <w:rPr>
                <w:rFonts w:ascii="Calibri" w:hAnsi="Calibri"/>
                <w:sz w:val="18"/>
              </w:rPr>
              <w:t>20</w:t>
            </w:r>
          </w:p>
        </w:tc>
        <w:tc>
          <w:tcPr>
            <w:tcW w:type="dxa" w:w="1584"/>
            <w:vAlign w:val="top"/>
            <w:tcMar>
              <w:top w:w="80" w:type="dxa"/>
              <w:start w:w="80" w:type="dxa"/>
              <w:bottom w:w="80" w:type="dxa"/>
              <w:end w:w="80" w:type="dxa"/>
            </w:tcMar>
          </w:tcPr>
          <w:p>
            <w:pPr>
              <w:spacing w:after="0"/>
              <w:jc w:val="left"/>
            </w:pPr>
            <w:r>
              <w:rPr>
                <w:rFonts w:ascii="Calibri" w:hAnsi="Calibri"/>
                <w:sz w:val="18"/>
              </w:rPr>
              <w:t>0.950</w:t>
            </w:r>
          </w:p>
        </w:tc>
        <w:tc>
          <w:tcPr>
            <w:tcW w:type="dxa" w:w="1584"/>
            <w:vAlign w:val="top"/>
            <w:tcMar>
              <w:top w:w="80" w:type="dxa"/>
              <w:start w:w="80" w:type="dxa"/>
              <w:bottom w:w="80" w:type="dxa"/>
              <w:end w:w="80" w:type="dxa"/>
            </w:tcMar>
          </w:tcPr>
          <w:p>
            <w:pPr>
              <w:spacing w:after="0"/>
              <w:jc w:val="left"/>
            </w:pPr>
            <w:r>
              <w:rPr>
                <w:rFonts w:ascii="Calibri" w:hAnsi="Calibri"/>
                <w:sz w:val="18"/>
              </w:rPr>
              <w:t>0.944</w:t>
            </w:r>
          </w:p>
        </w:tc>
        <w:tc>
          <w:tcPr>
            <w:tcW w:type="dxa" w:w="1007"/>
            <w:vAlign w:val="top"/>
            <w:tcMar>
              <w:top w:w="80" w:type="dxa"/>
              <w:start w:w="80" w:type="dxa"/>
              <w:bottom w:w="80" w:type="dxa"/>
              <w:end w:w="80" w:type="dxa"/>
            </w:tcMar>
          </w:tcPr>
          <w:p>
            <w:pPr>
              <w:spacing w:after="0"/>
              <w:jc w:val="left"/>
            </w:pPr>
            <w:r>
              <w:rPr>
                <w:rFonts w:ascii="Calibri" w:hAnsi="Calibri"/>
                <w:sz w:val="18"/>
              </w:rPr>
              <w:t>−0.006</w:t>
            </w:r>
          </w:p>
        </w:tc>
      </w:tr>
      <w:tr>
        <w:tc>
          <w:tcPr>
            <w:tcW w:type="dxa" w:w="3816"/>
            <w:vAlign w:val="top"/>
            <w:tcMar>
              <w:top w:w="80" w:type="dxa"/>
              <w:start w:w="80" w:type="dxa"/>
              <w:bottom w:w="80" w:type="dxa"/>
              <w:end w:w="80" w:type="dxa"/>
            </w:tcMar>
          </w:tcPr>
          <w:p>
            <w:r>
              <w:rPr>
                <w:sz w:val="16"/>
              </w:rPr>
              <w:t>displaced people and evacuations</w:t>
            </w:r>
          </w:p>
        </w:tc>
        <w:tc>
          <w:tcPr>
            <w:tcW w:type="dxa" w:w="792"/>
            <w:vAlign w:val="top"/>
            <w:tcMar>
              <w:top w:w="80" w:type="dxa"/>
              <w:start w:w="80" w:type="dxa"/>
              <w:bottom w:w="80" w:type="dxa"/>
              <w:end w:w="80" w:type="dxa"/>
            </w:tcMar>
          </w:tcPr>
          <w:p>
            <w:pPr>
              <w:spacing w:after="0"/>
              <w:jc w:val="left"/>
            </w:pPr>
            <w:r>
              <w:rPr>
                <w:rFonts w:ascii="Calibri" w:hAnsi="Calibri"/>
                <w:sz w:val="18"/>
              </w:rPr>
              <w:t>20</w:t>
            </w:r>
          </w:p>
        </w:tc>
        <w:tc>
          <w:tcPr>
            <w:tcW w:type="dxa" w:w="1584"/>
            <w:vAlign w:val="top"/>
            <w:tcMar>
              <w:top w:w="80" w:type="dxa"/>
              <w:start w:w="80" w:type="dxa"/>
              <w:bottom w:w="80" w:type="dxa"/>
              <w:end w:w="80" w:type="dxa"/>
            </w:tcMar>
          </w:tcPr>
          <w:p>
            <w:pPr>
              <w:spacing w:after="0"/>
              <w:jc w:val="left"/>
            </w:pPr>
            <w:r>
              <w:rPr>
                <w:rFonts w:ascii="Calibri" w:hAnsi="Calibri"/>
                <w:sz w:val="18"/>
              </w:rPr>
              <w:t>0.900</w:t>
            </w:r>
          </w:p>
        </w:tc>
        <w:tc>
          <w:tcPr>
            <w:tcW w:type="dxa" w:w="1584"/>
            <w:vAlign w:val="top"/>
            <w:tcMar>
              <w:top w:w="80" w:type="dxa"/>
              <w:start w:w="80" w:type="dxa"/>
              <w:bottom w:w="80" w:type="dxa"/>
              <w:end w:w="80" w:type="dxa"/>
            </w:tcMar>
          </w:tcPr>
          <w:p>
            <w:pPr>
              <w:spacing w:after="0"/>
              <w:jc w:val="left"/>
            </w:pPr>
            <w:r>
              <w:rPr>
                <w:rFonts w:ascii="Calibri" w:hAnsi="Calibri"/>
                <w:sz w:val="18"/>
              </w:rPr>
              <w:t>0.916</w:t>
            </w:r>
          </w:p>
        </w:tc>
        <w:tc>
          <w:tcPr>
            <w:tcW w:type="dxa" w:w="1007"/>
            <w:vAlign w:val="top"/>
            <w:tcMar>
              <w:top w:w="80" w:type="dxa"/>
              <w:start w:w="80" w:type="dxa"/>
              <w:bottom w:w="80" w:type="dxa"/>
              <w:end w:w="80" w:type="dxa"/>
            </w:tcMar>
          </w:tcPr>
          <w:p>
            <w:pPr>
              <w:spacing w:after="0"/>
              <w:jc w:val="left"/>
            </w:pPr>
            <w:r>
              <w:rPr>
                <w:rFonts w:ascii="Calibri" w:hAnsi="Calibri"/>
                <w:sz w:val="18"/>
              </w:rPr>
              <w:t>+0.016</w:t>
            </w:r>
          </w:p>
        </w:tc>
      </w:tr>
      <w:tr>
        <w:tc>
          <w:tcPr>
            <w:tcW w:type="dxa" w:w="3816"/>
            <w:vAlign w:val="top"/>
            <w:tcMar>
              <w:top w:w="80" w:type="dxa"/>
              <w:start w:w="80" w:type="dxa"/>
              <w:bottom w:w="80" w:type="dxa"/>
              <w:end w:w="80" w:type="dxa"/>
            </w:tcMar>
          </w:tcPr>
          <w:p>
            <w:r>
              <w:rPr>
                <w:sz w:val="16"/>
              </w:rPr>
              <w:t>caution and advice</w:t>
            </w:r>
          </w:p>
        </w:tc>
        <w:tc>
          <w:tcPr>
            <w:tcW w:type="dxa" w:w="792"/>
            <w:vAlign w:val="top"/>
            <w:tcMar>
              <w:top w:w="80" w:type="dxa"/>
              <w:start w:w="80" w:type="dxa"/>
              <w:bottom w:w="80" w:type="dxa"/>
              <w:end w:w="80" w:type="dxa"/>
            </w:tcMar>
          </w:tcPr>
          <w:p>
            <w:pPr>
              <w:spacing w:after="0"/>
              <w:jc w:val="left"/>
            </w:pPr>
            <w:r>
              <w:rPr>
                <w:rFonts w:ascii="Calibri" w:hAnsi="Calibri"/>
                <w:sz w:val="18"/>
              </w:rPr>
              <w:t>20</w:t>
            </w:r>
          </w:p>
        </w:tc>
        <w:tc>
          <w:tcPr>
            <w:tcW w:type="dxa" w:w="1584"/>
            <w:vAlign w:val="top"/>
            <w:tcMar>
              <w:top w:w="80" w:type="dxa"/>
              <w:start w:w="80" w:type="dxa"/>
              <w:bottom w:w="80" w:type="dxa"/>
              <w:end w:w="80" w:type="dxa"/>
            </w:tcMar>
          </w:tcPr>
          <w:p>
            <w:pPr>
              <w:spacing w:after="0"/>
              <w:jc w:val="left"/>
            </w:pPr>
            <w:r>
              <w:rPr>
                <w:rFonts w:ascii="Calibri" w:hAnsi="Calibri"/>
                <w:sz w:val="18"/>
              </w:rPr>
              <w:t>0.850</w:t>
            </w:r>
          </w:p>
        </w:tc>
        <w:tc>
          <w:tcPr>
            <w:tcW w:type="dxa" w:w="1584"/>
            <w:vAlign w:val="top"/>
            <w:tcMar>
              <w:top w:w="80" w:type="dxa"/>
              <w:start w:w="80" w:type="dxa"/>
              <w:bottom w:w="80" w:type="dxa"/>
              <w:end w:w="80" w:type="dxa"/>
            </w:tcMar>
          </w:tcPr>
          <w:p>
            <w:pPr>
              <w:spacing w:after="0"/>
              <w:jc w:val="left"/>
            </w:pPr>
            <w:r>
              <w:rPr>
                <w:rFonts w:ascii="Calibri" w:hAnsi="Calibri"/>
                <w:sz w:val="18"/>
              </w:rPr>
              <w:t>0.818</w:t>
            </w:r>
          </w:p>
        </w:tc>
        <w:tc>
          <w:tcPr>
            <w:tcW w:type="dxa" w:w="1007"/>
            <w:vAlign w:val="top"/>
            <w:tcMar>
              <w:top w:w="80" w:type="dxa"/>
              <w:start w:w="80" w:type="dxa"/>
              <w:bottom w:w="80" w:type="dxa"/>
              <w:end w:w="80" w:type="dxa"/>
            </w:tcMar>
          </w:tcPr>
          <w:p>
            <w:pPr>
              <w:spacing w:after="0"/>
              <w:jc w:val="left"/>
            </w:pPr>
            <w:r>
              <w:rPr>
                <w:rFonts w:ascii="Calibri" w:hAnsi="Calibri"/>
                <w:sz w:val="18"/>
              </w:rPr>
              <w:t>−0.032</w:t>
            </w:r>
          </w:p>
        </w:tc>
      </w:tr>
    </w:tbl>
    <w:p>
      <w:pPr>
        <w:spacing w:after="240"/>
        <w:jc w:val="center"/>
      </w:pPr>
      <w:r>
        <w:rPr>
          <w:rFonts w:ascii="Calibri" w:hAnsi="Calibri"/>
          <w:b/>
        </w:rPr>
        <w:t>Table 4: HumAID categories where the importance engine behaves plausibly.</w:t>
      </w:r>
      <w:r>
        <w:rPr>
          <w:rFonts w:ascii="Calibri" w:hAnsi="Calibri"/>
        </w:rPr>
      </w:r>
    </w:p>
    <w:p>
      <w:pPr>
        <w:spacing w:after="120"/>
        <w:jc w:val="both"/>
      </w:pPr>
      <w:r>
        <w:rPr>
          <w:rFonts w:ascii="Calibri" w:hAnsi="Calibri"/>
        </w:rPr>
        <w:t>This pattern is important because it shows that the importance architecture does not fail globally. It behaves plausibly when the statement itself carries the stakes. The failure appears when the surrounding context carries the stakes but the statement does not.</w:t>
      </w:r>
    </w:p>
    <w:p>
      <w:pPr>
        <w:pStyle w:val="Titre2"/>
      </w:pPr>
      <w:r>
        <w:rPr>
          <w:rFonts w:ascii="Calibri" w:hAnsi="Calibri"/>
        </w:rPr>
        <w:t>3.4  CredEvent: Moderate Rubric-Based Alignment</w:t>
      </w:r>
    </w:p>
    <w:p>
      <w:pPr>
        <w:spacing w:after="120"/>
        <w:jc w:val="both"/>
      </w:pPr>
      <w:r>
        <w:rPr>
          <w:rFonts w:ascii="Calibri" w:hAnsi="Calibri"/>
        </w:rPr>
        <w:t>The CredEvent result is intermediate. T_perc obtains Spearman ρ = 0.476 and Pearson r = 0.437 against crowd credibility ratings, with MAE = 0.060. This is not strong enough to claim close alignment with crowd perception, but it is consistent with the framework capturing some component of perceived credibility under the current receiver assumptions.</w:t>
      </w:r>
    </w:p>
    <w:p>
      <w:pPr>
        <w:spacing w:after="120"/>
        <w:jc w:val="both"/>
      </w:pPr>
      <w:r>
        <w:rPr>
          <w:rFonts w:ascii="Calibri" w:hAnsi="Calibri"/>
        </w:rPr>
        <w:t>The model mean is 0.991 against an expected mean of 0.931, indicating compression near the upper ceiling. Several causes are likely: T_perc is anchored to T_abs, the dataset provides crowd-level rather than individual receiver ratings, and the available event-level text does not always contain enough delivery information to score S, T, and U with high variance.</w:t>
      </w:r>
    </w:p>
    <w:p>
      <w:pPr>
        <w:pStyle w:val="Titre1"/>
      </w:pPr>
      <w:r>
        <w:rPr>
          <w:rFonts w:ascii="Calibri" w:hAnsi="Calibri"/>
        </w:rPr>
        <w:t>4  What Failed and Why</w:t>
      </w:r>
    </w:p>
    <w:p>
      <w:pPr>
        <w:pStyle w:val="Titre2"/>
      </w:pPr>
      <w:r>
        <w:rPr>
          <w:rFonts w:ascii="Calibri" w:hAnsi="Calibri"/>
        </w:rPr>
        <w:t>4.1  HumAID Importance Failure: Ambient Stakes vs Statement Relevance</w:t>
      </w:r>
    </w:p>
    <w:p>
      <w:pPr>
        <w:spacing w:after="120"/>
        <w:jc w:val="both"/>
      </w:pPr>
      <w:r>
        <w:rPr>
          <w:rFonts w:ascii="Calibri" w:hAnsi="Calibri"/>
        </w:rPr>
        <w:t>The main failure is structural and concerns the HumAID importance task. The framework systematically over-scores not_humanitarian tweets. The expected mean for not_humanitarian items is 0.080, but the model mean is 0.791, a gap of +0.711. This is the largest systematic error in the stress test.</w:t>
      </w:r>
    </w:p>
    <w:p>
      <w:pPr>
        <w:spacing w:after="120"/>
        <w:jc w:val="both"/>
      </w:pPr>
      <w:r>
        <w:rPr>
          <w:rFonts w:ascii="Calibri" w:hAnsi="Calibri"/>
        </w:rPr>
        <w:t>The worst case is a birthday and food post made during Hurricane Harvey: "Some great chef food made at home. Happy bday to Yuval, Vivi, and Lauren." The expected score is 0.080, but the model assigns I = 0.914. The model is not detecting that the statement is unrelated to the humanitarian stakes of the event.</w:t>
      </w:r>
    </w:p>
    <w:p>
      <w:pPr>
        <w:spacing w:after="120"/>
        <w:jc w:val="both"/>
      </w:pPr>
      <w:r>
        <w:rPr>
          <w:rFonts w:ascii="Calibri" w:hAnsi="Calibri"/>
        </w:rPr>
        <w:t>This reveals a missing distinction in the current importance architecture. The framework distinguishes truth from importance, but it does not yet distinguish ambient contextual stakes from statement-specific relevance to those stakes. In disaster datasets, AD, Y, and Z_eff can become high simply because the post is temporally or socially located inside a crisis. But a statement made during a disaster is not necessarily a disaster-relevant statement.</w:t>
      </w:r>
    </w:p>
    <w:p>
      <w:pPr>
        <w:spacing w:after="120"/>
        <w:jc w:val="both"/>
      </w:pPr>
      <w:r>
        <w:rPr>
          <w:rFonts w:ascii="Calibri" w:hAnsi="Calibri"/>
        </w:rPr>
        <w:t>The same failure appears in weaker form for sympathy_and_support. These tweets have an expected mean of 0.380 but a model mean of 0.750, a gap of +0.370. Sympathy statements are emotionally meaningful, but they are usually not operationally informative. The framework currently treats emotional salience and broad stakes as sufficient for importance, even when actionability is low.</w:t>
      </w:r>
    </w:p>
    <w:p>
      <w:pPr>
        <w:spacing w:after="120"/>
        <w:jc w:val="both"/>
      </w:pPr>
      <w:r>
        <w:rPr>
          <w:rFonts w:ascii="Calibri" w:hAnsi="Calibri"/>
        </w:rPr>
        <w:t>The opposite error appears for infrastructure_and_utility_damage. These items have an expected mean of 0.880 but a model mean of 0.701, a gap of −0.179. Bare factual reports such as a total blackout or infrastructure collapse are highly relevant to humanitarian response, but they may lack strong delivery, action-guidance specificity, or direct personal consequence for the generic receiver. The framework therefore penalizes sparse factual reporting even when the statement is operationally important.</w:t>
      </w:r>
    </w:p>
    <w:p>
      <w:r>
        <w:br w:type="page"/>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60"/>
        <w:gridCol w:w="1560"/>
        <w:gridCol w:w="1560"/>
        <w:gridCol w:w="1560"/>
        <w:gridCol w:w="1560"/>
        <w:gridCol w:w="1560"/>
      </w:tblGrid>
      <w:tr>
        <w:tc>
          <w:tcPr>
            <w:tcW w:type="dxa" w:w="2376"/>
            <w:vAlign w:val="top"/>
            <w:tcMar>
              <w:top w:w="80" w:type="dxa"/>
              <w:start w:w="80" w:type="dxa"/>
              <w:bottom w:w="80" w:type="dxa"/>
              <w:end w:w="80" w:type="dxa"/>
            </w:tcMar>
            <w:shd w:fill="D9E2F3"/>
          </w:tcPr>
          <w:p>
            <w:pPr>
              <w:spacing w:after="0"/>
              <w:jc w:val="center"/>
            </w:pPr>
            <w:r>
              <w:rPr>
                <w:rFonts w:ascii="Calibri" w:hAnsi="Calibri"/>
                <w:b/>
                <w:sz w:val="16"/>
              </w:rPr>
              <w:t>HumAID failure category</w:t>
            </w:r>
          </w:p>
        </w:tc>
        <w:tc>
          <w:tcPr>
            <w:tcW w:type="dxa" w:w="503"/>
            <w:vAlign w:val="top"/>
            <w:tcMar>
              <w:top w:w="80" w:type="dxa"/>
              <w:start w:w="80" w:type="dxa"/>
              <w:bottom w:w="80" w:type="dxa"/>
              <w:end w:w="80" w:type="dxa"/>
            </w:tcMar>
            <w:shd w:fill="D9E2F3"/>
          </w:tcPr>
          <w:p>
            <w:pPr>
              <w:spacing w:after="0"/>
              <w:jc w:val="center"/>
            </w:pPr>
            <w:r>
              <w:rPr>
                <w:rFonts w:ascii="Calibri" w:hAnsi="Calibri"/>
                <w:b/>
                <w:sz w:val="16"/>
              </w:rPr>
              <w:t>n</w:t>
            </w:r>
          </w:p>
        </w:tc>
        <w:tc>
          <w:tcPr>
            <w:tcW w:type="dxa" w:w="1152"/>
            <w:vAlign w:val="top"/>
            <w:tcMar>
              <w:top w:w="80" w:type="dxa"/>
              <w:start w:w="80" w:type="dxa"/>
              <w:bottom w:w="80" w:type="dxa"/>
              <w:end w:w="80" w:type="dxa"/>
            </w:tcMar>
            <w:shd w:fill="D9E2F3"/>
          </w:tcPr>
          <w:p>
            <w:pPr>
              <w:spacing w:after="0"/>
              <w:jc w:val="center"/>
            </w:pPr>
            <w:r>
              <w:rPr>
                <w:rFonts w:ascii="Calibri" w:hAnsi="Calibri"/>
                <w:b/>
                <w:sz w:val="16"/>
              </w:rPr>
              <w:t>Expected mean</w:t>
            </w:r>
          </w:p>
        </w:tc>
        <w:tc>
          <w:tcPr>
            <w:tcW w:type="dxa" w:w="1152"/>
            <w:vAlign w:val="top"/>
            <w:tcMar>
              <w:top w:w="80" w:type="dxa"/>
              <w:start w:w="80" w:type="dxa"/>
              <w:bottom w:w="80" w:type="dxa"/>
              <w:end w:w="80" w:type="dxa"/>
            </w:tcMar>
            <w:shd w:fill="D9E2F3"/>
          </w:tcPr>
          <w:p>
            <w:pPr>
              <w:spacing w:after="0"/>
              <w:jc w:val="center"/>
            </w:pPr>
            <w:r>
              <w:rPr>
                <w:rFonts w:ascii="Calibri" w:hAnsi="Calibri"/>
                <w:b/>
                <w:sz w:val="16"/>
              </w:rPr>
              <w:t>Model mean</w:t>
            </w:r>
          </w:p>
        </w:tc>
        <w:tc>
          <w:tcPr>
            <w:tcW w:type="dxa" w:w="720"/>
            <w:vAlign w:val="top"/>
            <w:tcMar>
              <w:top w:w="80" w:type="dxa"/>
              <w:start w:w="80" w:type="dxa"/>
              <w:bottom w:w="80" w:type="dxa"/>
              <w:end w:w="80" w:type="dxa"/>
            </w:tcMar>
            <w:shd w:fill="D9E2F3"/>
          </w:tcPr>
          <w:p>
            <w:pPr>
              <w:spacing w:after="0"/>
              <w:jc w:val="center"/>
            </w:pPr>
            <w:r>
              <w:rPr>
                <w:rFonts w:ascii="Calibri" w:hAnsi="Calibri"/>
                <w:b/>
                <w:sz w:val="16"/>
              </w:rPr>
              <w:t>Gap</w:t>
            </w:r>
          </w:p>
        </w:tc>
        <w:tc>
          <w:tcPr>
            <w:tcW w:type="dxa" w:w="3744"/>
            <w:vAlign w:val="top"/>
            <w:tcMar>
              <w:top w:w="80" w:type="dxa"/>
              <w:start w:w="80" w:type="dxa"/>
              <w:bottom w:w="80" w:type="dxa"/>
              <w:end w:w="80" w:type="dxa"/>
            </w:tcMar>
            <w:shd w:fill="D9E2F3"/>
          </w:tcPr>
          <w:p>
            <w:pPr>
              <w:spacing w:after="0"/>
              <w:jc w:val="center"/>
            </w:pPr>
            <w:r>
              <w:rPr>
                <w:rFonts w:ascii="Calibri" w:hAnsi="Calibri"/>
                <w:b/>
                <w:sz w:val="16"/>
              </w:rPr>
              <w:t>Diagnosis</w:t>
            </w:r>
          </w:p>
        </w:tc>
      </w:tr>
      <w:tr>
        <w:tc>
          <w:tcPr>
            <w:tcW w:type="dxa" w:w="2376"/>
            <w:vAlign w:val="top"/>
            <w:tcMar>
              <w:top w:w="80" w:type="dxa"/>
              <w:start w:w="80" w:type="dxa"/>
              <w:bottom w:w="80" w:type="dxa"/>
              <w:end w:w="80" w:type="dxa"/>
            </w:tcMar>
          </w:tcPr>
          <w:p>
            <w:r>
              <w:rPr>
                <w:sz w:val="16"/>
              </w:rPr>
              <w:t>not humanitarian</w:t>
            </w:r>
          </w:p>
        </w:tc>
        <w:tc>
          <w:tcPr>
            <w:tcW w:type="dxa" w:w="503"/>
            <w:vAlign w:val="top"/>
            <w:tcMar>
              <w:top w:w="80" w:type="dxa"/>
              <w:start w:w="80" w:type="dxa"/>
              <w:bottom w:w="80" w:type="dxa"/>
              <w:end w:w="80" w:type="dxa"/>
            </w:tcMar>
          </w:tcPr>
          <w:p>
            <w:pPr>
              <w:spacing w:after="0"/>
              <w:jc w:val="left"/>
            </w:pPr>
            <w:r>
              <w:rPr>
                <w:rFonts w:ascii="Calibri" w:hAnsi="Calibri"/>
                <w:sz w:val="16"/>
              </w:rPr>
              <w:t>20</w:t>
            </w:r>
          </w:p>
        </w:tc>
        <w:tc>
          <w:tcPr>
            <w:tcW w:type="dxa" w:w="1152"/>
            <w:vAlign w:val="top"/>
            <w:tcMar>
              <w:top w:w="80" w:type="dxa"/>
              <w:start w:w="80" w:type="dxa"/>
              <w:bottom w:w="80" w:type="dxa"/>
              <w:end w:w="80" w:type="dxa"/>
            </w:tcMar>
          </w:tcPr>
          <w:p>
            <w:pPr>
              <w:spacing w:after="0"/>
              <w:jc w:val="left"/>
            </w:pPr>
            <w:r>
              <w:rPr>
                <w:rFonts w:ascii="Calibri" w:hAnsi="Calibri"/>
                <w:sz w:val="16"/>
              </w:rPr>
              <w:t>0.080</w:t>
            </w:r>
          </w:p>
        </w:tc>
        <w:tc>
          <w:tcPr>
            <w:tcW w:type="dxa" w:w="1152"/>
            <w:vAlign w:val="top"/>
            <w:tcMar>
              <w:top w:w="80" w:type="dxa"/>
              <w:start w:w="80" w:type="dxa"/>
              <w:bottom w:w="80" w:type="dxa"/>
              <w:end w:w="80" w:type="dxa"/>
            </w:tcMar>
          </w:tcPr>
          <w:p>
            <w:pPr>
              <w:spacing w:after="0"/>
              <w:jc w:val="left"/>
            </w:pPr>
            <w:r>
              <w:rPr>
                <w:rFonts w:ascii="Calibri" w:hAnsi="Calibri"/>
                <w:sz w:val="16"/>
              </w:rPr>
              <w:t>0.791</w:t>
            </w:r>
          </w:p>
        </w:tc>
        <w:tc>
          <w:tcPr>
            <w:tcW w:type="dxa" w:w="720"/>
            <w:vAlign w:val="top"/>
            <w:tcMar>
              <w:top w:w="80" w:type="dxa"/>
              <w:start w:w="80" w:type="dxa"/>
              <w:bottom w:w="80" w:type="dxa"/>
              <w:end w:w="80" w:type="dxa"/>
            </w:tcMar>
          </w:tcPr>
          <w:p>
            <w:pPr>
              <w:spacing w:after="0"/>
              <w:jc w:val="left"/>
            </w:pPr>
            <w:r>
              <w:rPr>
                <w:rFonts w:ascii="Calibri" w:hAnsi="Calibri"/>
                <w:sz w:val="16"/>
              </w:rPr>
              <w:t>+0.711</w:t>
            </w:r>
          </w:p>
        </w:tc>
        <w:tc>
          <w:tcPr>
            <w:tcW w:type="dxa" w:w="3744"/>
            <w:vAlign w:val="top"/>
            <w:tcMar>
              <w:top w:w="80" w:type="dxa"/>
              <w:start w:w="80" w:type="dxa"/>
              <w:bottom w:w="80" w:type="dxa"/>
              <w:end w:w="80" w:type="dxa"/>
            </w:tcMar>
          </w:tcPr>
          <w:p>
            <w:pPr>
              <w:spacing w:after="0"/>
              <w:jc w:val="left"/>
            </w:pPr>
            <w:r>
              <w:rPr>
                <w:rFonts w:ascii="Calibri" w:hAnsi="Calibri"/>
                <w:sz w:val="16"/>
              </w:rPr>
              <w:t>Ambient disaster context mistaken for statement importance</w:t>
            </w:r>
          </w:p>
        </w:tc>
      </w:tr>
      <w:tr>
        <w:tc>
          <w:tcPr>
            <w:tcW w:type="dxa" w:w="2376"/>
            <w:vAlign w:val="top"/>
            <w:tcMar>
              <w:top w:w="80" w:type="dxa"/>
              <w:start w:w="80" w:type="dxa"/>
              <w:bottom w:w="80" w:type="dxa"/>
              <w:end w:w="80" w:type="dxa"/>
            </w:tcMar>
          </w:tcPr>
          <w:p>
            <w:r>
              <w:rPr>
                <w:sz w:val="16"/>
              </w:rPr>
              <w:t>sympathy and support</w:t>
            </w:r>
          </w:p>
        </w:tc>
        <w:tc>
          <w:tcPr>
            <w:tcW w:type="dxa" w:w="503"/>
            <w:vAlign w:val="top"/>
            <w:tcMar>
              <w:top w:w="80" w:type="dxa"/>
              <w:start w:w="80" w:type="dxa"/>
              <w:bottom w:w="80" w:type="dxa"/>
              <w:end w:w="80" w:type="dxa"/>
            </w:tcMar>
          </w:tcPr>
          <w:p>
            <w:pPr>
              <w:spacing w:after="0"/>
              <w:jc w:val="left"/>
            </w:pPr>
            <w:r>
              <w:rPr>
                <w:rFonts w:ascii="Calibri" w:hAnsi="Calibri"/>
                <w:sz w:val="16"/>
              </w:rPr>
              <w:t>20</w:t>
            </w:r>
          </w:p>
        </w:tc>
        <w:tc>
          <w:tcPr>
            <w:tcW w:type="dxa" w:w="1152"/>
            <w:vAlign w:val="top"/>
            <w:tcMar>
              <w:top w:w="80" w:type="dxa"/>
              <w:start w:w="80" w:type="dxa"/>
              <w:bottom w:w="80" w:type="dxa"/>
              <w:end w:w="80" w:type="dxa"/>
            </w:tcMar>
          </w:tcPr>
          <w:p>
            <w:pPr>
              <w:spacing w:after="0"/>
              <w:jc w:val="left"/>
            </w:pPr>
            <w:r>
              <w:rPr>
                <w:rFonts w:ascii="Calibri" w:hAnsi="Calibri"/>
                <w:sz w:val="16"/>
              </w:rPr>
              <w:t>0.380</w:t>
            </w:r>
          </w:p>
        </w:tc>
        <w:tc>
          <w:tcPr>
            <w:tcW w:type="dxa" w:w="1152"/>
            <w:vAlign w:val="top"/>
            <w:tcMar>
              <w:top w:w="80" w:type="dxa"/>
              <w:start w:w="80" w:type="dxa"/>
              <w:bottom w:w="80" w:type="dxa"/>
              <w:end w:w="80" w:type="dxa"/>
            </w:tcMar>
          </w:tcPr>
          <w:p>
            <w:pPr>
              <w:spacing w:after="0"/>
              <w:jc w:val="left"/>
            </w:pPr>
            <w:r>
              <w:rPr>
                <w:rFonts w:ascii="Calibri" w:hAnsi="Calibri"/>
                <w:sz w:val="16"/>
              </w:rPr>
              <w:t>0.750</w:t>
            </w:r>
          </w:p>
        </w:tc>
        <w:tc>
          <w:tcPr>
            <w:tcW w:type="dxa" w:w="720"/>
            <w:vAlign w:val="top"/>
            <w:tcMar>
              <w:top w:w="80" w:type="dxa"/>
              <w:start w:w="80" w:type="dxa"/>
              <w:bottom w:w="80" w:type="dxa"/>
              <w:end w:w="80" w:type="dxa"/>
            </w:tcMar>
          </w:tcPr>
          <w:p>
            <w:pPr>
              <w:spacing w:after="0"/>
              <w:jc w:val="left"/>
            </w:pPr>
            <w:r>
              <w:rPr>
                <w:rFonts w:ascii="Calibri" w:hAnsi="Calibri"/>
                <w:sz w:val="16"/>
              </w:rPr>
              <w:t>+0.370</w:t>
            </w:r>
          </w:p>
        </w:tc>
        <w:tc>
          <w:tcPr>
            <w:tcW w:type="dxa" w:w="3744"/>
            <w:vAlign w:val="top"/>
            <w:tcMar>
              <w:top w:w="80" w:type="dxa"/>
              <w:start w:w="80" w:type="dxa"/>
              <w:bottom w:w="80" w:type="dxa"/>
              <w:end w:w="80" w:type="dxa"/>
            </w:tcMar>
          </w:tcPr>
          <w:p>
            <w:pPr>
              <w:spacing w:after="0"/>
              <w:jc w:val="left"/>
            </w:pPr>
            <w:r>
              <w:rPr>
                <w:rFonts w:ascii="Calibri" w:hAnsi="Calibri"/>
                <w:sz w:val="16"/>
              </w:rPr>
              <w:t>Emotional salience mistaken for operational importance</w:t>
            </w:r>
          </w:p>
        </w:tc>
      </w:tr>
      <w:tr>
        <w:tc>
          <w:tcPr>
            <w:tcW w:type="dxa" w:w="2376"/>
            <w:vAlign w:val="top"/>
            <w:tcMar>
              <w:top w:w="80" w:type="dxa"/>
              <w:start w:w="80" w:type="dxa"/>
              <w:bottom w:w="80" w:type="dxa"/>
              <w:end w:w="80" w:type="dxa"/>
            </w:tcMar>
          </w:tcPr>
          <w:p>
            <w:r>
              <w:rPr>
                <w:sz w:val="16"/>
              </w:rPr>
              <w:t>infrastructure and utility damage</w:t>
            </w:r>
          </w:p>
        </w:tc>
        <w:tc>
          <w:tcPr>
            <w:tcW w:type="dxa" w:w="503"/>
            <w:vAlign w:val="top"/>
            <w:tcMar>
              <w:top w:w="80" w:type="dxa"/>
              <w:start w:w="80" w:type="dxa"/>
              <w:bottom w:w="80" w:type="dxa"/>
              <w:end w:w="80" w:type="dxa"/>
            </w:tcMar>
          </w:tcPr>
          <w:p>
            <w:pPr>
              <w:spacing w:after="0"/>
              <w:jc w:val="left"/>
            </w:pPr>
            <w:r>
              <w:rPr>
                <w:rFonts w:ascii="Calibri" w:hAnsi="Calibri"/>
                <w:sz w:val="16"/>
              </w:rPr>
              <w:t>20</w:t>
            </w:r>
          </w:p>
        </w:tc>
        <w:tc>
          <w:tcPr>
            <w:tcW w:type="dxa" w:w="1152"/>
            <w:vAlign w:val="top"/>
            <w:tcMar>
              <w:top w:w="80" w:type="dxa"/>
              <w:start w:w="80" w:type="dxa"/>
              <w:bottom w:w="80" w:type="dxa"/>
              <w:end w:w="80" w:type="dxa"/>
            </w:tcMar>
          </w:tcPr>
          <w:p>
            <w:pPr>
              <w:spacing w:after="0"/>
              <w:jc w:val="left"/>
            </w:pPr>
            <w:r>
              <w:rPr>
                <w:rFonts w:ascii="Calibri" w:hAnsi="Calibri"/>
                <w:sz w:val="16"/>
              </w:rPr>
              <w:t>0.880</w:t>
            </w:r>
          </w:p>
        </w:tc>
        <w:tc>
          <w:tcPr>
            <w:tcW w:type="dxa" w:w="1152"/>
            <w:vAlign w:val="top"/>
            <w:tcMar>
              <w:top w:w="80" w:type="dxa"/>
              <w:start w:w="80" w:type="dxa"/>
              <w:bottom w:w="80" w:type="dxa"/>
              <w:end w:w="80" w:type="dxa"/>
            </w:tcMar>
          </w:tcPr>
          <w:p>
            <w:pPr>
              <w:spacing w:after="0"/>
              <w:jc w:val="left"/>
            </w:pPr>
            <w:r>
              <w:rPr>
                <w:rFonts w:ascii="Calibri" w:hAnsi="Calibri"/>
                <w:sz w:val="16"/>
              </w:rPr>
              <w:t>0.701</w:t>
            </w:r>
          </w:p>
        </w:tc>
        <w:tc>
          <w:tcPr>
            <w:tcW w:type="dxa" w:w="720"/>
            <w:vAlign w:val="top"/>
            <w:tcMar>
              <w:top w:w="80" w:type="dxa"/>
              <w:start w:w="80" w:type="dxa"/>
              <w:bottom w:w="80" w:type="dxa"/>
              <w:end w:w="80" w:type="dxa"/>
            </w:tcMar>
          </w:tcPr>
          <w:p>
            <w:pPr>
              <w:spacing w:after="0"/>
              <w:jc w:val="left"/>
            </w:pPr>
            <w:r>
              <w:rPr>
                <w:rFonts w:ascii="Calibri" w:hAnsi="Calibri"/>
                <w:sz w:val="16"/>
              </w:rPr>
              <w:t>−0.179</w:t>
            </w:r>
          </w:p>
        </w:tc>
        <w:tc>
          <w:tcPr>
            <w:tcW w:type="dxa" w:w="3744"/>
            <w:vAlign w:val="top"/>
            <w:tcMar>
              <w:top w:w="80" w:type="dxa"/>
              <w:start w:w="80" w:type="dxa"/>
              <w:bottom w:w="80" w:type="dxa"/>
              <w:end w:w="80" w:type="dxa"/>
            </w:tcMar>
          </w:tcPr>
          <w:p>
            <w:pPr>
              <w:spacing w:after="0"/>
              <w:jc w:val="left"/>
            </w:pPr>
            <w:r>
              <w:rPr>
                <w:rFonts w:ascii="Calibri" w:hAnsi="Calibri"/>
                <w:sz w:val="16"/>
              </w:rPr>
              <w:t>Sparse factual reporting under-valued despite humanitarian relevance</w:t>
            </w:r>
          </w:p>
        </w:tc>
      </w:tr>
    </w:tbl>
    <w:p>
      <w:pPr>
        <w:spacing w:after="240"/>
        <w:jc w:val="center"/>
      </w:pPr>
      <w:r>
        <w:rPr>
          <w:rFonts w:ascii="Calibri" w:hAnsi="Calibri"/>
          <w:b/>
        </w:rPr>
        <w:t xml:space="preserve">Table 5: </w:t>
      </w:r>
      <w:r>
        <w:rPr>
          <w:rFonts w:ascii="Calibri" w:hAnsi="Calibri"/>
        </w:rPr>
        <w:t>Main HumAID failure modes.</w:t>
      </w:r>
    </w:p>
    <w:p>
      <w:pPr>
        <w:pStyle w:val="Titre2"/>
      </w:pPr>
      <w:r>
        <w:rPr>
          <w:rFonts w:ascii="Calibri" w:hAnsi="Calibri"/>
        </w:rPr>
        <w:t>4.2  Proposed Architectural Repair: Statement-to-Stakes Relevance Gate</w:t>
      </w:r>
    </w:p>
    <w:p>
      <w:pPr>
        <w:spacing w:after="120"/>
        <w:jc w:val="both"/>
      </w:pPr>
      <w:r>
        <w:rPr>
          <w:rFonts w:ascii="Calibri" w:hAnsi="Calibri"/>
        </w:rPr>
        <w:t>The proposed architectural repair is a statement-to-stakes relevance gate, Rel(s,c), where c is the relevant situational context. Rel measures whether the statement itself bears informationally, causally, or operationally on the surrounding stakes.</w:t>
      </w:r>
    </w:p>
    <w:p>
      <w:pPr>
        <w:spacing w:after="120"/>
        <w:jc w:val="both"/>
      </w:pPr>
      <w:r>
        <w:rPr>
          <w:rFonts w:ascii="Calibri" w:hAnsi="Calibri"/>
        </w:rPr>
        <w:t>Rel = 0 means that the statement is merely co-located with the high-stakes context. Rel = 1 means that the statement directly reflects, updates, causes, warns about, requests action about, or otherwise contributes to the stakes. Intermediate values represent partial relation, such as sympathy, general commentary, or low-actionability relevance.</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1080"/>
            <w:vAlign w:val="top"/>
            <w:tcMar>
              <w:top w:w="80" w:type="dxa"/>
              <w:start w:w="80" w:type="dxa"/>
              <w:bottom w:w="80" w:type="dxa"/>
              <w:end w:w="80" w:type="dxa"/>
            </w:tcMar>
            <w:shd w:fill="D9E2F3"/>
          </w:tcPr>
          <w:p>
            <w:pPr>
              <w:spacing w:after="0"/>
              <w:jc w:val="center"/>
            </w:pPr>
            <w:r>
              <w:rPr>
                <w:rFonts w:ascii="Calibri" w:hAnsi="Calibri"/>
                <w:b/>
                <w:sz w:val="16"/>
              </w:rPr>
              <w:t>Rel value</w:t>
            </w:r>
          </w:p>
        </w:tc>
        <w:tc>
          <w:tcPr>
            <w:tcW w:type="dxa" w:w="4320"/>
            <w:vAlign w:val="top"/>
            <w:tcMar>
              <w:top w:w="80" w:type="dxa"/>
              <w:start w:w="80" w:type="dxa"/>
              <w:bottom w:w="80" w:type="dxa"/>
              <w:end w:w="80" w:type="dxa"/>
            </w:tcMar>
            <w:shd w:fill="D9E2F3"/>
          </w:tcPr>
          <w:p>
            <w:pPr>
              <w:spacing w:after="0"/>
              <w:jc w:val="center"/>
            </w:pPr>
            <w:r>
              <w:rPr>
                <w:rFonts w:ascii="Calibri" w:hAnsi="Calibri"/>
                <w:b/>
                <w:sz w:val="16"/>
              </w:rPr>
              <w:t>Interpretation</w:t>
            </w:r>
          </w:p>
        </w:tc>
        <w:tc>
          <w:tcPr>
            <w:tcW w:type="dxa" w:w="3744"/>
            <w:vAlign w:val="top"/>
            <w:tcMar>
              <w:top w:w="80" w:type="dxa"/>
              <w:start w:w="80" w:type="dxa"/>
              <w:bottom w:w="80" w:type="dxa"/>
              <w:end w:w="80" w:type="dxa"/>
            </w:tcMar>
            <w:shd w:fill="D9E2F3"/>
          </w:tcPr>
          <w:p>
            <w:pPr>
              <w:spacing w:after="0"/>
              <w:jc w:val="center"/>
            </w:pPr>
            <w:r>
              <w:rPr>
                <w:rFonts w:ascii="Calibri" w:hAnsi="Calibri"/>
                <w:b/>
                <w:sz w:val="16"/>
              </w:rPr>
              <w:t>Example class</w:t>
            </w:r>
          </w:p>
        </w:tc>
      </w:tr>
      <w:tr>
        <w:tc>
          <w:tcPr>
            <w:tcW w:type="dxa" w:w="1080"/>
            <w:vAlign w:val="top"/>
            <w:tcMar>
              <w:top w:w="80" w:type="dxa"/>
              <w:start w:w="80" w:type="dxa"/>
              <w:bottom w:w="80" w:type="dxa"/>
              <w:end w:w="80" w:type="dxa"/>
            </w:tcMar>
          </w:tcPr>
          <w:p>
            <w:pPr>
              <w:spacing w:after="0"/>
              <w:jc w:val="left"/>
            </w:pPr>
            <w:r>
              <w:rPr>
                <w:rFonts w:ascii="Calibri" w:hAnsi="Calibri"/>
                <w:sz w:val="16"/>
              </w:rPr>
              <w:t>0.00</w:t>
            </w:r>
          </w:p>
        </w:tc>
        <w:tc>
          <w:tcPr>
            <w:tcW w:type="dxa" w:w="4320"/>
            <w:vAlign w:val="top"/>
            <w:tcMar>
              <w:top w:w="80" w:type="dxa"/>
              <w:start w:w="80" w:type="dxa"/>
              <w:bottom w:w="80" w:type="dxa"/>
              <w:end w:w="80" w:type="dxa"/>
            </w:tcMar>
          </w:tcPr>
          <w:p>
            <w:pPr>
              <w:spacing w:after="0"/>
              <w:jc w:val="left"/>
            </w:pPr>
            <w:r>
              <w:rPr>
                <w:rFonts w:ascii="Calibri" w:hAnsi="Calibri"/>
                <w:sz w:val="16"/>
              </w:rPr>
              <w:t>Co-located with the context but not relevant to it</w:t>
            </w:r>
          </w:p>
        </w:tc>
        <w:tc>
          <w:tcPr>
            <w:tcW w:type="dxa" w:w="3744"/>
            <w:vAlign w:val="top"/>
            <w:tcMar>
              <w:top w:w="80" w:type="dxa"/>
              <w:start w:w="80" w:type="dxa"/>
              <w:bottom w:w="80" w:type="dxa"/>
              <w:end w:w="80" w:type="dxa"/>
            </w:tcMar>
          </w:tcPr>
          <w:p>
            <w:pPr>
              <w:spacing w:after="0"/>
              <w:jc w:val="left"/>
            </w:pPr>
            <w:r>
              <w:rPr>
                <w:rFonts w:ascii="Calibri" w:hAnsi="Calibri"/>
                <w:sz w:val="16"/>
              </w:rPr>
              <w:t>birthday post, food photo, unrelated job ad</w:t>
            </w:r>
          </w:p>
        </w:tc>
      </w:tr>
      <w:tr>
        <w:tc>
          <w:tcPr>
            <w:tcW w:type="dxa" w:w="1080"/>
            <w:vAlign w:val="top"/>
            <w:tcMar>
              <w:top w:w="80" w:type="dxa"/>
              <w:start w:w="80" w:type="dxa"/>
              <w:bottom w:w="80" w:type="dxa"/>
              <w:end w:w="80" w:type="dxa"/>
            </w:tcMar>
          </w:tcPr>
          <w:p>
            <w:pPr>
              <w:spacing w:after="0"/>
              <w:jc w:val="left"/>
            </w:pPr>
            <w:r>
              <w:rPr>
                <w:rFonts w:ascii="Calibri" w:hAnsi="Calibri"/>
                <w:sz w:val="16"/>
              </w:rPr>
              <w:t>0.25</w:t>
            </w:r>
          </w:p>
        </w:tc>
        <w:tc>
          <w:tcPr>
            <w:tcW w:type="dxa" w:w="4320"/>
            <w:vAlign w:val="top"/>
            <w:tcMar>
              <w:top w:w="80" w:type="dxa"/>
              <w:start w:w="80" w:type="dxa"/>
              <w:bottom w:w="80" w:type="dxa"/>
              <w:end w:w="80" w:type="dxa"/>
            </w:tcMar>
          </w:tcPr>
          <w:p>
            <w:pPr>
              <w:spacing w:after="0"/>
              <w:jc w:val="left"/>
            </w:pPr>
            <w:r>
              <w:rPr>
                <w:rFonts w:ascii="Calibri" w:hAnsi="Calibri"/>
                <w:sz w:val="16"/>
              </w:rPr>
              <w:t>Weak contextual or emotional relation</w:t>
            </w:r>
          </w:p>
        </w:tc>
        <w:tc>
          <w:tcPr>
            <w:tcW w:type="dxa" w:w="3744"/>
            <w:vAlign w:val="top"/>
            <w:tcMar>
              <w:top w:w="80" w:type="dxa"/>
              <w:start w:w="80" w:type="dxa"/>
              <w:bottom w:w="80" w:type="dxa"/>
              <w:end w:w="80" w:type="dxa"/>
            </w:tcMar>
          </w:tcPr>
          <w:p>
            <w:pPr>
              <w:spacing w:after="0"/>
              <w:jc w:val="left"/>
            </w:pPr>
            <w:r>
              <w:rPr>
                <w:rFonts w:ascii="Calibri" w:hAnsi="Calibri"/>
                <w:sz w:val="16"/>
              </w:rPr>
              <w:t>general comment, weak political aside</w:t>
            </w:r>
          </w:p>
        </w:tc>
      </w:tr>
      <w:tr>
        <w:tc>
          <w:tcPr>
            <w:tcW w:type="dxa" w:w="1080"/>
            <w:vAlign w:val="top"/>
            <w:tcMar>
              <w:top w:w="80" w:type="dxa"/>
              <w:start w:w="80" w:type="dxa"/>
              <w:bottom w:w="80" w:type="dxa"/>
              <w:end w:w="80" w:type="dxa"/>
            </w:tcMar>
          </w:tcPr>
          <w:p>
            <w:pPr>
              <w:spacing w:after="0"/>
              <w:jc w:val="left"/>
            </w:pPr>
            <w:r>
              <w:rPr>
                <w:rFonts w:ascii="Calibri" w:hAnsi="Calibri"/>
                <w:sz w:val="16"/>
              </w:rPr>
              <w:t>0.50</w:t>
            </w:r>
          </w:p>
        </w:tc>
        <w:tc>
          <w:tcPr>
            <w:tcW w:type="dxa" w:w="4320"/>
            <w:vAlign w:val="top"/>
            <w:tcMar>
              <w:top w:w="80" w:type="dxa"/>
              <w:start w:w="80" w:type="dxa"/>
              <w:bottom w:w="80" w:type="dxa"/>
              <w:end w:w="80" w:type="dxa"/>
            </w:tcMar>
          </w:tcPr>
          <w:p>
            <w:pPr>
              <w:spacing w:after="0"/>
              <w:jc w:val="left"/>
            </w:pPr>
            <w:r>
              <w:rPr>
                <w:rFonts w:ascii="Calibri" w:hAnsi="Calibri"/>
                <w:sz w:val="16"/>
              </w:rPr>
              <w:t>Emotionally or socially relevant but low operational content</w:t>
            </w:r>
          </w:p>
        </w:tc>
        <w:tc>
          <w:tcPr>
            <w:tcW w:type="dxa" w:w="3744"/>
            <w:vAlign w:val="top"/>
            <w:tcMar>
              <w:top w:w="80" w:type="dxa"/>
              <w:start w:w="80" w:type="dxa"/>
              <w:bottom w:w="80" w:type="dxa"/>
              <w:end w:w="80" w:type="dxa"/>
            </w:tcMar>
          </w:tcPr>
          <w:p>
            <w:pPr>
              <w:spacing w:after="0"/>
              <w:jc w:val="left"/>
            </w:pPr>
            <w:r>
              <w:rPr>
                <w:rFonts w:ascii="Calibri" w:hAnsi="Calibri"/>
                <w:sz w:val="16"/>
              </w:rPr>
              <w:t>sympathy and support</w:t>
            </w:r>
          </w:p>
        </w:tc>
      </w:tr>
      <w:tr>
        <w:tc>
          <w:tcPr>
            <w:tcW w:type="dxa" w:w="1080"/>
            <w:vAlign w:val="top"/>
            <w:tcMar>
              <w:top w:w="80" w:type="dxa"/>
              <w:start w:w="80" w:type="dxa"/>
              <w:bottom w:w="80" w:type="dxa"/>
              <w:end w:w="80" w:type="dxa"/>
            </w:tcMar>
          </w:tcPr>
          <w:p>
            <w:pPr>
              <w:spacing w:after="0"/>
              <w:jc w:val="left"/>
            </w:pPr>
            <w:r>
              <w:rPr>
                <w:rFonts w:ascii="Calibri" w:hAnsi="Calibri"/>
                <w:sz w:val="16"/>
              </w:rPr>
              <w:t>0.75</w:t>
            </w:r>
          </w:p>
        </w:tc>
        <w:tc>
          <w:tcPr>
            <w:tcW w:type="dxa" w:w="4320"/>
            <w:vAlign w:val="top"/>
            <w:tcMar>
              <w:top w:w="80" w:type="dxa"/>
              <w:start w:w="80" w:type="dxa"/>
              <w:bottom w:w="80" w:type="dxa"/>
              <w:end w:w="80" w:type="dxa"/>
            </w:tcMar>
          </w:tcPr>
          <w:p>
            <w:pPr>
              <w:spacing w:after="0"/>
              <w:jc w:val="left"/>
            </w:pPr>
            <w:r>
              <w:rPr>
                <w:rFonts w:ascii="Calibri" w:hAnsi="Calibri"/>
                <w:sz w:val="16"/>
              </w:rPr>
              <w:t>Factual event-relevant report</w:t>
            </w:r>
          </w:p>
        </w:tc>
        <w:tc>
          <w:tcPr>
            <w:tcW w:type="dxa" w:w="3744"/>
            <w:vAlign w:val="top"/>
            <w:tcMar>
              <w:top w:w="80" w:type="dxa"/>
              <w:start w:w="80" w:type="dxa"/>
              <w:bottom w:w="80" w:type="dxa"/>
              <w:end w:w="80" w:type="dxa"/>
            </w:tcMar>
          </w:tcPr>
          <w:p>
            <w:pPr>
              <w:spacing w:after="0"/>
              <w:jc w:val="left"/>
            </w:pPr>
            <w:r>
              <w:rPr>
                <w:rFonts w:ascii="Calibri" w:hAnsi="Calibri"/>
                <w:sz w:val="16"/>
              </w:rPr>
              <w:t>infrastructure damage report, evacuation update</w:t>
            </w:r>
          </w:p>
        </w:tc>
      </w:tr>
      <w:tr>
        <w:tc>
          <w:tcPr>
            <w:tcW w:type="dxa" w:w="1080"/>
            <w:vAlign w:val="top"/>
            <w:tcMar>
              <w:top w:w="80" w:type="dxa"/>
              <w:start w:w="80" w:type="dxa"/>
              <w:bottom w:w="80" w:type="dxa"/>
              <w:end w:w="80" w:type="dxa"/>
            </w:tcMar>
          </w:tcPr>
          <w:p>
            <w:pPr>
              <w:spacing w:after="0"/>
              <w:jc w:val="left"/>
            </w:pPr>
            <w:r>
              <w:rPr>
                <w:rFonts w:ascii="Calibri" w:hAnsi="Calibri"/>
                <w:sz w:val="16"/>
              </w:rPr>
              <w:t>1.00</w:t>
            </w:r>
          </w:p>
        </w:tc>
        <w:tc>
          <w:tcPr>
            <w:tcW w:type="dxa" w:w="4320"/>
            <w:vAlign w:val="top"/>
            <w:tcMar>
              <w:top w:w="80" w:type="dxa"/>
              <w:start w:w="80" w:type="dxa"/>
              <w:bottom w:w="80" w:type="dxa"/>
              <w:end w:w="80" w:type="dxa"/>
            </w:tcMar>
          </w:tcPr>
          <w:p>
            <w:pPr>
              <w:spacing w:after="0"/>
              <w:jc w:val="left"/>
            </w:pPr>
            <w:r>
              <w:rPr>
                <w:rFonts w:ascii="Calibri" w:hAnsi="Calibri"/>
                <w:sz w:val="16"/>
              </w:rPr>
              <w:t>Directly actionable, causal, emergency-relevant, or operational</w:t>
            </w:r>
          </w:p>
        </w:tc>
        <w:tc>
          <w:tcPr>
            <w:tcW w:type="dxa" w:w="3744"/>
            <w:vAlign w:val="top"/>
            <w:tcMar>
              <w:top w:w="80" w:type="dxa"/>
              <w:start w:w="80" w:type="dxa"/>
              <w:bottom w:w="80" w:type="dxa"/>
              <w:end w:w="80" w:type="dxa"/>
            </w:tcMar>
          </w:tcPr>
          <w:p>
            <w:pPr>
              <w:spacing w:after="0"/>
              <w:jc w:val="left"/>
            </w:pPr>
            <w:r>
              <w:rPr>
                <w:rFonts w:ascii="Calibri" w:hAnsi="Calibri"/>
                <w:sz w:val="16"/>
              </w:rPr>
              <w:t>urgent request, missing person, rescue need</w:t>
            </w:r>
          </w:p>
        </w:tc>
      </w:tr>
    </w:tbl>
    <w:p>
      <w:pPr>
        <w:spacing w:after="240"/>
        <w:jc w:val="center"/>
      </w:pPr>
      <w:r>
        <w:rPr>
          <w:rFonts w:ascii="Calibri" w:hAnsi="Calibri"/>
          <w:b/>
        </w:rPr>
        <w:t xml:space="preserve">Table 6: </w:t>
      </w:r>
      <w:r>
        <w:rPr>
          <w:rFonts w:ascii="Calibri" w:hAnsi="Calibri"/>
        </w:rPr>
        <w:t>Proposed scoring anchors for Rel(s,c).</w:t>
      </w:r>
    </w:p>
    <w:p>
      <w:pPr>
        <w:spacing w:after="120"/>
        <w:jc w:val="both"/>
      </w:pPr>
      <w:r>
        <w:rPr>
          <w:rFonts w:ascii="Calibri" w:hAnsi="Calibri"/>
        </w:rPr>
        <w:t>The adjusted situational variables are:</w:t>
      </w:r>
    </w:p>
    <w:p>
      <w:pPr>
        <w:spacing w:after="120" w:before="40"/>
        <w:jc w:val="center"/>
      </w:pPr>
      <w:r>
        <w:rPr>
          <w:rFonts w:ascii="Calibri" w:hAnsi="Calibri"/>
          <w:b/>
        </w:rPr>
        <w:t>AD* = Rel × AD + (1 − Rel) × x0_AD</w:t>
      </w:r>
    </w:p>
    <w:p>
      <w:pPr>
        <w:spacing w:after="120" w:before="40"/>
        <w:jc w:val="center"/>
      </w:pPr>
      <w:r>
        <w:rPr>
          <w:rFonts w:ascii="Calibri" w:hAnsi="Calibri"/>
          <w:b/>
        </w:rPr>
        <w:t>Y* = Rel × Y + (1 − Rel) × x0_Y</w:t>
      </w:r>
    </w:p>
    <w:p>
      <w:pPr>
        <w:spacing w:after="120" w:before="40"/>
        <w:jc w:val="center"/>
      </w:pPr>
      <w:r>
        <w:rPr>
          <w:rFonts w:ascii="Calibri" w:hAnsi="Calibri"/>
          <w:b/>
        </w:rPr>
        <w:t>Z_eff* = Rel × Z_eff + (1 − Rel) × x0_Z</w:t>
      </w:r>
    </w:p>
    <w:p>
      <w:pPr>
        <w:spacing w:after="120"/>
        <w:jc w:val="both"/>
      </w:pPr>
      <w:r>
        <w:rPr>
          <w:rFonts w:ascii="Calibri" w:hAnsi="Calibri"/>
        </w:rPr>
        <w:t>The situational-context function then becomes:</w:t>
      </w:r>
    </w:p>
    <w:p>
      <w:pPr>
        <w:spacing w:after="120" w:before="40"/>
        <w:jc w:val="center"/>
      </w:pPr>
      <w:r>
        <w:rPr>
          <w:rFonts w:ascii="Calibri" w:hAnsi="Calibri"/>
          <w:b/>
        </w:rPr>
        <w:t>Sit(s,r) = AB^2.1 × AA^0.2 × (2Z_eff* + 3AD* + Y*) / 6</w:t>
      </w:r>
    </w:p>
    <w:p>
      <w:pPr>
        <w:spacing w:after="120"/>
        <w:jc w:val="both"/>
      </w:pPr>
      <w:r>
        <w:rPr>
          <w:rFonts w:ascii="Calibri" w:hAnsi="Calibri"/>
        </w:rPr>
        <w:t>This proposed repair preserves the original role of broad stakes, urgency, and speaker stakes, but prevents them from entering the importance computation when the statement does not actually concern those stakes. It also explains the infrastructure under-scoring case: infrastructure reports should receive high Rel because the statement itself directly describes the humanitarian situation, even when the wording is sparse.</w:t>
      </w:r>
    </w:p>
    <w:p>
      <w:pPr>
        <w:pStyle w:val="Titre2"/>
      </w:pPr>
      <w:r>
        <w:rPr>
          <w:rFonts w:ascii="Calibri" w:hAnsi="Calibri"/>
        </w:rPr>
        <w:t>4.3  LIAR Half-True and Barely-True Compression</w:t>
      </w:r>
    </w:p>
    <w:p>
      <w:pPr>
        <w:spacing w:after="120"/>
        <w:jc w:val="both"/>
      </w:pPr>
      <w:r>
        <w:rPr>
          <w:rFonts w:ascii="Calibri" w:hAnsi="Calibri"/>
        </w:rPr>
        <w:t>The second documented failure is the LIAR half-true and barely-true compression. The model systematically under-scores ambiguous political claims. Barely-true statements have an expected mean of 0.350 but a model mean of 0.054, a gap of -0.296. Half-true statements have an expected mean of 0.500 but a model mean of 0.275, a gap of -0.225. All forty-six of the largest LIAR residuals are under-scores, and all are concentrated in barely-true and half-true cases.</w:t>
      </w:r>
    </w:p>
    <w:p>
      <w:pPr>
        <w:spacing w:after="120"/>
        <w:jc w:val="both"/>
      </w:pPr>
      <w:r>
        <w:rPr>
          <w:rFonts w:ascii="Calibri" w:hAnsi="Calibri"/>
        </w:rPr>
        <w:t>This is not treated as a simple calibration error. It is the predictable consequence of the framework's declared epistemic stance. T_abs is defined as the posterior of a highly unbiased and fairly skeptical expert. Such an expert defaults to the null hypothesis, requires falsifiable evidence before updating, and requires strong cumulative evidence before moving substantially from the prior. Under that standard, ambiguous evidence does not naturally produce a posterior near 0.35 or 0.50.</w:t>
      </w:r>
    </w:p>
    <w:p>
      <w:pPr>
        <w:spacing w:after="120"/>
        <w:jc w:val="both"/>
      </w:pPr>
      <w:r>
        <w:rPr>
          <w:rFonts w:ascii="Calibri" w:hAnsi="Calibri"/>
        </w:rPr>
        <w:t>The divergence is therefore partly principled. PolitiFact's middle categories are journalistic labels, not direct posterior probabilities. Half-true does not mean "50% probability that the statement is true." It means that the statement contains some accurate information but leaves out important context, creates a misleading impression, or requires major qualification. Barely-true similarly indicates a small factual basis embedded inside a substantially misleading claim. These labels are not equivalent to Bayesian truth-probability under a skeptical evidential standard.</w:t>
      </w:r>
    </w:p>
    <w:p>
      <w:pPr>
        <w:spacing w:after="120"/>
        <w:jc w:val="both"/>
      </w:pPr>
      <w:r>
        <w:rPr>
          <w:rFonts w:ascii="Calibri" w:hAnsi="Calibri"/>
        </w:rPr>
        <w:t>The framework therefore shows strong agreement with PolitiFact at the extremes and systematic divergence in the ambiguous middle. This is a theoretically meaningful result. The model and professional fact-checkers align most closely on clearly true, mostly true, false, and pants-fire claims. They diverge on the two categories where the external label is most dependent on journalistic interpretation of partial truth, missing context, and misleading implication.</w:t>
      </w:r>
    </w:p>
    <w:p>
      <w:pPr>
        <w:spacing w:after="120"/>
        <w:jc w:val="both"/>
      </w:pPr>
      <w:r>
        <w:rPr>
          <w:rFonts w:ascii="Calibri" w:hAnsi="Calibri"/>
        </w:rPr>
        <w:t>This failure should not be corrected by forcing T_abs to match PolitiFact's middle-category numerical anchors. Doing so would weaken the framework's stated epistemic stance. Instead, the result should be documented as a principled divergence between evidence-weighted skeptical posterior probability and journalistic fact-checking categories. Future work may introduce an additional output, distinct from T_abs, for journalistic category alignment or claim-quality classification.</w:t>
      </w:r>
    </w:p>
    <w:p>
      <w:pPr>
        <w:pStyle w:val="Titre2"/>
      </w:pPr>
      <w:r>
        <w:rPr>
          <w:rFonts w:ascii="Calibri" w:hAnsi="Calibri"/>
        </w:rPr>
        <w:t>4.4  CredEvent T_perc Moderate Correlation</w:t>
      </w:r>
    </w:p>
    <w:p>
      <w:pPr>
        <w:spacing w:after="120"/>
        <w:jc w:val="both"/>
      </w:pPr>
      <w:r>
        <w:rPr>
          <w:rFonts w:ascii="Calibri" w:hAnsi="Calibri"/>
        </w:rPr>
        <w:t>The CredEvent result remains unresolved. The correlation is moderate rather than strong, and the model scores are compressed near 1.0. The likely cause is construct mismatch. T_perc(s,r) is receiver-specific, while CredEvent aggregates crowd ratings. The framework may therefore require a population-level perceived-truth function before it can be directly compared to crowd credibility datasets.</w:t>
      </w:r>
    </w:p>
    <w:p>
      <w:pPr>
        <w:spacing w:after="120"/>
        <w:jc w:val="both"/>
      </w:pPr>
      <w:r>
        <w:rPr>
          <w:rFonts w:ascii="Calibri" w:hAnsi="Calibri"/>
        </w:rPr>
        <w:t>A second cause is dataset sparsity. CredEvent items often provide event terms and reason text rather than full statements with rich delivery context. As a result, several delivery variables default toward neutral values. This compresses the variance that T_perc would otherwise use to distinguish statements.</w:t>
      </w:r>
    </w:p>
    <w:p>
      <w:pPr>
        <w:spacing w:after="120"/>
        <w:jc w:val="both"/>
      </w:pPr>
      <w:r>
        <w:rPr>
          <w:rFonts w:ascii="Calibri" w:hAnsi="Calibri"/>
        </w:rPr>
        <w:t>A third cause is anchoring. T_perc begins from T_abs. If T_abs is high, weak delivery or uncertain receiver variables may not pull perceived truth far enough from the ceiling. Future work should test whether T_perc requires a population-level formulation for crowd datasets:</w:t>
      </w:r>
    </w:p>
    <w:p>
      <w:pPr>
        <w:spacing w:after="120" w:before="40"/>
        <w:jc w:val="center"/>
      </w:pPr>
      <w:r>
        <w:rPr>
          <w:rFonts w:ascii="Calibri" w:hAnsi="Calibri"/>
          <w:b/>
        </w:rPr>
        <w:t>T_perc,pop(s) = ∫ T_perc(s,r)dR(r)</w:t>
      </w:r>
    </w:p>
    <w:p>
      <w:pPr>
        <w:spacing w:after="120"/>
        <w:jc w:val="both"/>
      </w:pPr>
      <w:r>
        <w:rPr>
          <w:rFonts w:ascii="Calibri" w:hAnsi="Calibri"/>
        </w:rPr>
        <w:t>Such a score would average over a distribution of receiver profiles rather than imposing a single generic receiver.</w:t>
      </w:r>
    </w:p>
    <w:p>
      <w:pPr>
        <w:pStyle w:val="Titre1"/>
      </w:pPr>
      <w:r>
        <w:rPr>
          <w:rFonts w:ascii="Calibri" w:hAnsi="Calibri"/>
        </w:rPr>
        <w:t>5  Methodological Limitations</w:t>
      </w:r>
    </w:p>
    <w:p>
      <w:pPr>
        <w:pStyle w:val="Titre2"/>
      </w:pPr>
      <w:r>
        <w:rPr>
          <w:rFonts w:ascii="Calibri" w:hAnsi="Calibri"/>
        </w:rPr>
        <w:t>5.1  AI-Assisted Scoring and Internal Reproducibility</w:t>
      </w:r>
    </w:p>
    <w:p>
      <w:pPr>
        <w:spacing w:after="120"/>
        <w:jc w:val="both"/>
      </w:pPr>
      <w:r>
        <w:rPr>
          <w:rFonts w:ascii="Calibri" w:hAnsi="Calibri"/>
        </w:rPr>
        <w:t>Because this study was conducted by a solo independent researcher without access to a paid rater panel, it does not claim inter-rater reliability or final external measurement validity. Instead, it provides a transparent, internally reproducible, AI-assisted scoring pass using a fixed rubric and audit table. The results should therefore be interpreted as diagnostic pilot evidence: strong enough to identify alignment patterns and structural failure modes, but pending independent blind replication.</w:t>
      </w:r>
    </w:p>
    <w:p>
      <w:pPr>
        <w:spacing w:after="120"/>
        <w:jc w:val="both"/>
      </w:pPr>
      <w:r>
        <w:rPr>
          <w:rFonts w:ascii="Calibri" w:hAnsi="Calibri"/>
        </w:rPr>
        <w:t>This limitation is not equally severe across all datasets. It is weakest for LIAR/PolitiFact because the evidence audit was grounded in fact-checking records. It is strongest for HumAID and CredEvent because these datasets require assumptions about receiver states, delivery signals, and implicit context. The limitation does not erase the findings, but it defines their status: rubric-based alignment and diagnostic failure analysis, not final external validation.</w:t>
      </w:r>
    </w:p>
    <w:p>
      <w:pPr>
        <w:pStyle w:val="Titre2"/>
      </w:pPr>
      <w:r>
        <w:rPr>
          <w:rFonts w:ascii="Calibri" w:hAnsi="Calibri"/>
        </w:rPr>
        <w:t>5.2  Receiver Profile Sensitivity</w:t>
      </w:r>
    </w:p>
    <w:p>
      <w:pPr>
        <w:spacing w:after="120"/>
        <w:jc w:val="both"/>
      </w:pPr>
      <w:r>
        <w:rPr>
          <w:rFonts w:ascii="Calibri" w:hAnsi="Calibri"/>
        </w:rPr>
        <w:t>T_perc and I are receiver-dependent by construction. However, the stress-test datasets do not specify receiver profiles. HumAID tweets are addressed to broad social-media audiences, and CredEvent ratings aggregate multiple crowd raters. The study therefore uses a generic receiver profile as a simplifying assumption.</w:t>
      </w:r>
    </w:p>
    <w:p>
      <w:pPr>
        <w:spacing w:after="120"/>
        <w:jc w:val="both"/>
      </w:pPr>
      <w:r>
        <w:rPr>
          <w:rFonts w:ascii="Calibri" w:hAnsi="Calibri"/>
        </w:rPr>
        <w:t>A statement that scores high for a directly affected receiver may score much lower for a distant observer. A statement that is highly important to a policymaker may not be important to a casual reader. Receiver sensitivity must therefore be quantified before claiming stable population-level perceived truth or importance.</w:t>
      </w:r>
    </w:p>
    <w:p>
      <w:pPr>
        <w:spacing w:after="120"/>
        <w:jc w:val="both"/>
      </w:pPr>
      <w:r>
        <w:rPr>
          <w:rFonts w:ascii="Calibri" w:hAnsi="Calibri"/>
        </w:rPr>
        <w:t>A sequel study should run the same statements across multiple receiver profiles: a generic public receiver, a directly affected receiver, an expert receiver, a skeptical receiver, an emotionally engaged receiver, and an institutional decision-maker. The variance across profiles should be reported explicitly:</w:t>
      </w:r>
    </w:p>
    <w:p>
      <w:pPr>
        <w:spacing w:after="120" w:before="40"/>
        <w:jc w:val="center"/>
      </w:pPr>
      <w:r>
        <w:rPr>
          <w:rFonts w:ascii="Calibri" w:hAnsi="Calibri"/>
          <w:b/>
        </w:rPr>
        <w:t>Var_r(I(s,r))</w:t>
      </w:r>
    </w:p>
    <w:p>
      <w:pPr>
        <w:spacing w:after="120"/>
        <w:jc w:val="both"/>
      </w:pPr>
      <w:r>
        <w:rPr>
          <w:rFonts w:ascii="Calibri" w:hAnsi="Calibri"/>
        </w:rPr>
        <w:t>This would show which statements are robustly important across receivers and which are receiver-specific.</w:t>
      </w:r>
    </w:p>
    <w:p>
      <w:pPr>
        <w:pStyle w:val="Titre2"/>
      </w:pPr>
      <w:r>
        <w:rPr>
          <w:rFonts w:ascii="Calibri" w:hAnsi="Calibri"/>
        </w:rPr>
        <w:t>5.3  Target-Mapping Limits</w:t>
      </w:r>
    </w:p>
    <w:p>
      <w:pPr>
        <w:spacing w:after="120"/>
        <w:jc w:val="both"/>
      </w:pPr>
      <w:r>
        <w:rPr>
          <w:rFonts w:ascii="Calibri" w:hAnsi="Calibri"/>
        </w:rPr>
        <w:t>All external labels require mapping into [0,1]. These mappings are necessary for quantitative comparison but are not philosophically neutral. PolitiFact categories, crowd credibility ratings, and HumAID humanitarian categories are not native Bayesian probabilities or receiver-dependent importance values.</w:t>
      </w:r>
    </w:p>
    <w:p>
      <w:pPr>
        <w:spacing w:after="120"/>
        <w:jc w:val="both"/>
      </w:pPr>
      <w:r>
        <w:rPr>
          <w:rFonts w:ascii="Calibri" w:hAnsi="Calibri"/>
        </w:rPr>
        <w:t>The study therefore tests alignment, not identity. A high correlation in this setting indicates that the scoring protocol preserves an external ordering under the declared mappings. A residual does not automatically mean the framework is wrong; it may mean the target label encodes a different construct. The LIAR half-true compression is the clearest example.</w:t>
      </w:r>
    </w:p>
    <w:p>
      <w:pPr>
        <w:pStyle w:val="Titre1"/>
      </w:pPr>
      <w:r>
        <w:rPr>
          <w:rFonts w:ascii="Calibri" w:hAnsi="Calibri"/>
        </w:rPr>
        <w:t>6  Diagnostic Empirical Summary</w:t>
      </w:r>
    </w:p>
    <w:p>
      <w:pPr>
        <w:spacing w:after="120"/>
        <w:jc w:val="both"/>
      </w:pPr>
      <w:r>
        <w:rPr>
          <w:rFonts w:ascii="Calibri" w:hAnsi="Calibri"/>
        </w:rPr>
        <w:t>The stress test provides preliminary empirical support for the core truth-probability architecture while exposing an important weakness in the importance architecture.</w:t>
      </w:r>
    </w:p>
    <w:p>
      <w:pPr>
        <w:spacing w:after="120"/>
        <w:jc w:val="both"/>
      </w:pPr>
      <w:r>
        <w:rPr>
          <w:rFonts w:ascii="Calibri" w:hAnsi="Calibri"/>
        </w:rPr>
        <w:t>The strongest result is T_abs on LIAR/PolitiFact: Spearman ρ = 0.983 and AUC = 1.000 across 200 political statements. This indicates near-perfect rank alignment with professional fact-checking categories under the present evidence-audit scoring protocol, especially at the true and false extremes.</w:t>
      </w:r>
    </w:p>
    <w:p>
      <w:pPr>
        <w:spacing w:after="120"/>
        <w:jc w:val="both"/>
      </w:pPr>
      <w:r>
        <w:rPr>
          <w:rFonts w:ascii="Calibri" w:hAnsi="Calibri"/>
        </w:rPr>
        <w:t>The weakest result is I on HumAID: Spearman ρ = 0.320 and MAE = 0.200. The error is not random. It is concentrated in not_humanitarian and sympathy_and_support tweets, where the model mistakes ambient crisis context for statement-specific humanitarian relevance. This motivates the Rel(s,c) relevance gate.</w:t>
      </w:r>
    </w:p>
    <w:p>
      <w:pPr>
        <w:spacing w:after="120"/>
        <w:jc w:val="both"/>
      </w:pPr>
      <w:r>
        <w:rPr>
          <w:rFonts w:ascii="Calibri" w:hAnsi="Calibri"/>
        </w:rPr>
        <w:t>T_perc on CredEvent is moderate: Spearman ρ = 0.476 and Pearson r = 0.437. This suggests partial rubric-based alignment with crowd credibility judgments, but also shows that a receiver-specific perceived-truth function cannot be assumed to match crowd-aggregated credibility without modelling the receiver population.</w:t>
      </w:r>
    </w:p>
    <w:p>
      <w:pPr>
        <w:spacing w:after="120"/>
        <w:jc w:val="both"/>
      </w:pPr>
      <w:r>
        <w:rPr>
          <w:rFonts w:ascii="Calibri" w:hAnsi="Calibri"/>
        </w:rPr>
        <w:t>Overall, the result is mixed but productive. The truth layer shows strong alignment under the current scoring protocol. The perceived-truth layer is partially supported but under-specified at the receiver-population level. The importance layer behaves plausibly on directly actionable humanitarian statements but fails when contextual stakes are high and statement-specific relevance is low. This failure identifies a precise architectural repair rather than a general collapse of the framework.</w:t>
      </w:r>
    </w:p>
    <w:p>
      <w:pPr>
        <w:pStyle w:val="Titre1"/>
      </w:pPr>
      <w:r>
        <w:rPr>
          <w:rFonts w:ascii="Calibri" w:hAnsi="Calibri"/>
        </w:rPr>
        <w:t>7  Conclusion</w:t>
      </w:r>
    </w:p>
    <w:p>
      <w:pPr>
        <w:spacing w:after="120"/>
        <w:jc w:val="both"/>
      </w:pPr>
      <w:r>
        <w:rPr>
          <w:rFonts w:ascii="Calibri" w:hAnsi="Calibri"/>
        </w:rPr>
        <w:t>This paper has presented a preliminary, AI-assisted empirical stress test of the unified truth-probability and importance-scoring framework across three datasets and 600 scored items. The study tested T_abs against LIAR/PolitiFact, T_perc against CredEvent TurkRatings, and I against HumAID. The purpose was diagnostic: to check computational reproducibility, examine plausible rank behavior under a fixed scoring protocol, identify systematic failure modes, and motivate architectural repairs.</w:t>
      </w:r>
    </w:p>
    <w:p>
      <w:pPr>
        <w:spacing w:after="120"/>
        <w:jc w:val="both"/>
      </w:pPr>
      <w:r>
        <w:rPr>
          <w:rFonts w:ascii="Calibri" w:hAnsi="Calibri"/>
        </w:rPr>
        <w:t>The main positive result is that T_abs aligns extremely strongly with professional fact-checking labels under the present evidence-audit scoring protocol. The framework obtains Spearman ρ = 0.983 and AUC = 1.000 on 200 political statements. This provides preliminary support for the architecture of evidence-weighted truth-probability, while remaining short of final external measurement validation.</w:t>
      </w:r>
    </w:p>
    <w:p>
      <w:pPr>
        <w:spacing w:after="120"/>
        <w:jc w:val="both"/>
      </w:pPr>
      <w:r>
        <w:rPr>
          <w:rFonts w:ascii="Calibri" w:hAnsi="Calibri"/>
        </w:rPr>
        <w:t>The main negative result is that I over-scores statements that are located inside high-stakes contexts but are not themselves relevant to those stakes. This is clearest in HumAID not_humanitarian items, where the model mean is 0.791 against an expected value of 0.080. The failure is structural and interpretable. It motivates Rel(s,c), a statement-to-stakes relevance gate that prevents ambient contextual stakes from inflating importance unless the statement itself bears on those stakes.</w:t>
      </w:r>
    </w:p>
    <w:p>
      <w:pPr>
        <w:spacing w:after="120"/>
        <w:jc w:val="both"/>
      </w:pPr>
      <w:r>
        <w:rPr>
          <w:rFonts w:ascii="Calibri" w:hAnsi="Calibri"/>
        </w:rPr>
        <w:t>The second negative result is the compression of barely-true and half-true PolitiFact statements. This is not treated as a defect to be calibrated away. It reflects a principled difference between skeptical Bayesian truth-probability and journalistic partial-truth categories. The framework aligns most strongly with PolitiFact at the truth extremes and diverges in the ambiguous middle, where missing context and misleading implication dominate the label.</w:t>
      </w:r>
    </w:p>
    <w:p>
      <w:pPr>
        <w:spacing w:after="120"/>
        <w:jc w:val="both"/>
      </w:pPr>
      <w:r>
        <w:rPr>
          <w:rFonts w:ascii="Calibri" w:hAnsi="Calibri"/>
        </w:rPr>
        <w:t>The study should be read as diagnostic pilot evidence. It is strong enough to identify where the framework aligns with external targets under the scoring protocol, where it fails, and what should be repaired next. It is not yet a final human-replicated validation. The next empirical stage should implement the Rel gate, perform independent blind rescoring, report inter-rater reliability, and quantify receiver-profile sensitivity.</w:t>
      </w:r>
    </w:p>
    <w:p>
      <w:pPr>
        <w:pStyle w:val="Titre1"/>
      </w:pPr>
      <w:r>
        <w:rPr>
          <w:rFonts w:ascii="Calibri" w:hAnsi="Calibri"/>
        </w:rPr>
        <w:t>Researcher's Note</w:t>
      </w:r>
    </w:p>
    <w:p>
      <w:pPr>
        <w:spacing w:after="120"/>
        <w:jc w:val="both"/>
      </w:pPr>
      <w:r>
        <w:rPr>
          <w:rFonts w:ascii="Calibri" w:hAnsi="Calibri"/>
        </w:rPr>
        <w:t>This research was conducted independently, without institutional affiliation or funding. The stress-test scoring pass was performed with AI assistance following an explicit scoring rubric. Contact: m.amine.belachhab@gmail.com</w:t>
      </w:r>
    </w:p>
    <w:p>
      <w:pPr>
        <w:pStyle w:val="Titre1"/>
      </w:pPr>
      <w:r>
        <w:rPr>
          <w:rFonts w:ascii="Calibri" w:hAnsi="Calibri"/>
        </w:rPr>
        <w:t>Appendix A: Dataset Mapping Reference</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2160"/>
            <w:vAlign w:val="top"/>
            <w:tcMar>
              <w:top w:w="80" w:type="dxa"/>
              <w:start w:w="80" w:type="dxa"/>
              <w:bottom w:w="80" w:type="dxa"/>
              <w:end w:w="80" w:type="dxa"/>
            </w:tcMar>
            <w:shd w:fill="D9E2F3"/>
          </w:tcPr>
          <w:p>
            <w:pPr>
              <w:spacing w:after="0"/>
              <w:jc w:val="center"/>
            </w:pPr>
            <w:r>
              <w:rPr>
                <w:rFonts w:ascii="Calibri" w:hAnsi="Calibri"/>
                <w:b/>
                <w:sz w:val="16"/>
              </w:rPr>
              <w:t>Dataset</w:t>
            </w:r>
          </w:p>
        </w:tc>
        <w:tc>
          <w:tcPr>
            <w:tcW w:type="dxa" w:w="1296"/>
            <w:vAlign w:val="top"/>
            <w:tcMar>
              <w:top w:w="80" w:type="dxa"/>
              <w:start w:w="80" w:type="dxa"/>
              <w:bottom w:w="80" w:type="dxa"/>
              <w:end w:w="80" w:type="dxa"/>
            </w:tcMar>
            <w:shd w:fill="D9E2F3"/>
          </w:tcPr>
          <w:p>
            <w:pPr>
              <w:spacing w:after="0"/>
              <w:jc w:val="center"/>
            </w:pPr>
            <w:r>
              <w:rPr>
                <w:rFonts w:ascii="Calibri" w:hAnsi="Calibri"/>
                <w:b/>
                <w:sz w:val="16"/>
              </w:rPr>
              <w:t>Framework output</w:t>
            </w:r>
          </w:p>
        </w:tc>
        <w:tc>
          <w:tcPr>
            <w:tcW w:type="dxa" w:w="3888"/>
            <w:vAlign w:val="top"/>
            <w:tcMar>
              <w:top w:w="80" w:type="dxa"/>
              <w:start w:w="80" w:type="dxa"/>
              <w:bottom w:w="80" w:type="dxa"/>
              <w:end w:w="80" w:type="dxa"/>
            </w:tcMar>
            <w:shd w:fill="D9E2F3"/>
          </w:tcPr>
          <w:p>
            <w:pPr>
              <w:spacing w:after="0"/>
              <w:jc w:val="center"/>
            </w:pPr>
            <w:r>
              <w:rPr>
                <w:rFonts w:ascii="Calibri" w:hAnsi="Calibri"/>
                <w:b/>
                <w:sz w:val="16"/>
              </w:rPr>
              <w:t>Construct tested</w:t>
            </w:r>
          </w:p>
        </w:tc>
        <w:tc>
          <w:tcPr>
            <w:tcW w:type="dxa" w:w="3024"/>
            <w:vAlign w:val="top"/>
            <w:tcMar>
              <w:top w:w="80" w:type="dxa"/>
              <w:start w:w="80" w:type="dxa"/>
              <w:bottom w:w="80" w:type="dxa"/>
              <w:end w:w="80" w:type="dxa"/>
            </w:tcMar>
            <w:shd w:fill="D9E2F3"/>
          </w:tcPr>
          <w:p>
            <w:pPr>
              <w:spacing w:after="0"/>
              <w:jc w:val="center"/>
            </w:pPr>
            <w:r>
              <w:rPr>
                <w:rFonts w:ascii="Calibri" w:hAnsi="Calibri"/>
                <w:b/>
                <w:sz w:val="16"/>
              </w:rPr>
              <w:t>Main limitation</w:t>
            </w:r>
          </w:p>
        </w:tc>
      </w:tr>
      <w:tr>
        <w:tc>
          <w:tcPr>
            <w:tcW w:type="dxa" w:w="2160"/>
            <w:vAlign w:val="top"/>
            <w:tcMar>
              <w:top w:w="80" w:type="dxa"/>
              <w:start w:w="80" w:type="dxa"/>
              <w:bottom w:w="80" w:type="dxa"/>
              <w:end w:w="80" w:type="dxa"/>
            </w:tcMar>
          </w:tcPr>
          <w:p>
            <w:pPr>
              <w:spacing w:after="0"/>
              <w:jc w:val="left"/>
            </w:pPr>
            <w:r>
              <w:rPr>
                <w:rFonts w:ascii="Calibri" w:hAnsi="Calibri"/>
                <w:sz w:val="16"/>
              </w:rPr>
              <w:t>LIAR / PolitiFact</w:t>
            </w:r>
          </w:p>
        </w:tc>
        <w:tc>
          <w:tcPr>
            <w:tcW w:type="dxa" w:w="1296"/>
            <w:vAlign w:val="top"/>
            <w:tcMar>
              <w:top w:w="80" w:type="dxa"/>
              <w:start w:w="80" w:type="dxa"/>
              <w:bottom w:w="80" w:type="dxa"/>
              <w:end w:w="80" w:type="dxa"/>
            </w:tcMar>
          </w:tcPr>
          <w:p>
            <w:pPr>
              <w:spacing w:after="0"/>
              <w:jc w:val="left"/>
            </w:pPr>
            <w:r>
              <w:rPr>
                <w:rFonts w:ascii="Calibri" w:hAnsi="Calibri"/>
                <w:sz w:val="16"/>
              </w:rPr>
              <w:t>T_abs</w:t>
            </w:r>
          </w:p>
        </w:tc>
        <w:tc>
          <w:tcPr>
            <w:tcW w:type="dxa" w:w="3888"/>
            <w:vAlign w:val="top"/>
            <w:tcMar>
              <w:top w:w="80" w:type="dxa"/>
              <w:start w:w="80" w:type="dxa"/>
              <w:bottom w:w="80" w:type="dxa"/>
              <w:end w:w="80" w:type="dxa"/>
            </w:tcMar>
          </w:tcPr>
          <w:p>
            <w:pPr>
              <w:spacing w:after="0"/>
              <w:jc w:val="left"/>
            </w:pPr>
            <w:r>
              <w:rPr>
                <w:rFonts w:ascii="Calibri" w:hAnsi="Calibri"/>
                <w:sz w:val="16"/>
              </w:rPr>
              <w:t>Evidence-weighted truth-probability against professional fact-checking categories</w:t>
            </w:r>
          </w:p>
        </w:tc>
        <w:tc>
          <w:tcPr>
            <w:tcW w:type="dxa" w:w="3024"/>
            <w:vAlign w:val="top"/>
            <w:tcMar>
              <w:top w:w="80" w:type="dxa"/>
              <w:start w:w="80" w:type="dxa"/>
              <w:bottom w:w="80" w:type="dxa"/>
              <w:end w:w="80" w:type="dxa"/>
            </w:tcMar>
          </w:tcPr>
          <w:p>
            <w:pPr>
              <w:spacing w:after="0"/>
              <w:jc w:val="left"/>
            </w:pPr>
            <w:r>
              <w:rPr>
                <w:rFonts w:ascii="Calibri" w:hAnsi="Calibri"/>
                <w:sz w:val="16"/>
              </w:rPr>
              <w:t>Middle categories are journalistic labels, not literal posterior probabilities</w:t>
            </w:r>
          </w:p>
        </w:tc>
      </w:tr>
      <w:tr>
        <w:tc>
          <w:tcPr>
            <w:tcW w:type="dxa" w:w="2160"/>
            <w:vAlign w:val="top"/>
            <w:tcMar>
              <w:top w:w="80" w:type="dxa"/>
              <w:start w:w="80" w:type="dxa"/>
              <w:bottom w:w="80" w:type="dxa"/>
              <w:end w:w="80" w:type="dxa"/>
            </w:tcMar>
          </w:tcPr>
          <w:p>
            <w:pPr>
              <w:spacing w:after="0"/>
              <w:jc w:val="left"/>
            </w:pPr>
            <w:r>
              <w:rPr>
                <w:rFonts w:ascii="Calibri" w:hAnsi="Calibri"/>
                <w:sz w:val="16"/>
              </w:rPr>
              <w:t>CredEvent TurkRatings</w:t>
            </w:r>
          </w:p>
        </w:tc>
        <w:tc>
          <w:tcPr>
            <w:tcW w:type="dxa" w:w="1296"/>
            <w:vAlign w:val="top"/>
            <w:tcMar>
              <w:top w:w="80" w:type="dxa"/>
              <w:start w:w="80" w:type="dxa"/>
              <w:bottom w:w="80" w:type="dxa"/>
              <w:end w:w="80" w:type="dxa"/>
            </w:tcMar>
          </w:tcPr>
          <w:p>
            <w:pPr>
              <w:spacing w:after="0"/>
              <w:jc w:val="left"/>
            </w:pPr>
            <w:r>
              <w:rPr>
                <w:rFonts w:ascii="Calibri" w:hAnsi="Calibri"/>
                <w:sz w:val="16"/>
              </w:rPr>
              <w:t>T_perc</w:t>
            </w:r>
          </w:p>
        </w:tc>
        <w:tc>
          <w:tcPr>
            <w:tcW w:type="dxa" w:w="3888"/>
            <w:vAlign w:val="top"/>
            <w:tcMar>
              <w:top w:w="80" w:type="dxa"/>
              <w:start w:w="80" w:type="dxa"/>
              <w:bottom w:w="80" w:type="dxa"/>
              <w:end w:w="80" w:type="dxa"/>
            </w:tcMar>
          </w:tcPr>
          <w:p>
            <w:pPr>
              <w:spacing w:after="0"/>
              <w:jc w:val="left"/>
            </w:pPr>
            <w:r>
              <w:rPr>
                <w:rFonts w:ascii="Calibri" w:hAnsi="Calibri"/>
                <w:sz w:val="16"/>
              </w:rPr>
              <w:t>Perceived credibility against crowd ratings</w:t>
            </w:r>
          </w:p>
        </w:tc>
        <w:tc>
          <w:tcPr>
            <w:tcW w:type="dxa" w:w="3024"/>
            <w:vAlign w:val="top"/>
            <w:tcMar>
              <w:top w:w="80" w:type="dxa"/>
              <w:start w:w="80" w:type="dxa"/>
              <w:bottom w:w="80" w:type="dxa"/>
              <w:end w:w="80" w:type="dxa"/>
            </w:tcMar>
          </w:tcPr>
          <w:p>
            <w:pPr>
              <w:spacing w:after="0"/>
              <w:jc w:val="left"/>
            </w:pPr>
            <w:r>
              <w:rPr>
                <w:rFonts w:ascii="Calibri" w:hAnsi="Calibri"/>
                <w:sz w:val="16"/>
              </w:rPr>
              <w:t>Crowd mean does not specify a receiver profile</w:t>
            </w:r>
          </w:p>
        </w:tc>
      </w:tr>
      <w:tr>
        <w:tc>
          <w:tcPr>
            <w:tcW w:type="dxa" w:w="2160"/>
            <w:vAlign w:val="top"/>
            <w:tcMar>
              <w:top w:w="80" w:type="dxa"/>
              <w:start w:w="80" w:type="dxa"/>
              <w:bottom w:w="80" w:type="dxa"/>
              <w:end w:w="80" w:type="dxa"/>
            </w:tcMar>
          </w:tcPr>
          <w:p>
            <w:pPr>
              <w:spacing w:after="0"/>
              <w:jc w:val="left"/>
            </w:pPr>
            <w:r>
              <w:rPr>
                <w:rFonts w:ascii="Calibri" w:hAnsi="Calibri"/>
                <w:sz w:val="16"/>
              </w:rPr>
              <w:t>HumAID</w:t>
            </w:r>
          </w:p>
        </w:tc>
        <w:tc>
          <w:tcPr>
            <w:tcW w:type="dxa" w:w="1296"/>
            <w:vAlign w:val="top"/>
            <w:tcMar>
              <w:top w:w="80" w:type="dxa"/>
              <w:start w:w="80" w:type="dxa"/>
              <w:bottom w:w="80" w:type="dxa"/>
              <w:end w:w="80" w:type="dxa"/>
            </w:tcMar>
          </w:tcPr>
          <w:p>
            <w:pPr>
              <w:spacing w:after="0"/>
              <w:jc w:val="left"/>
            </w:pPr>
            <w:r>
              <w:rPr>
                <w:rFonts w:ascii="Calibri" w:hAnsi="Calibri"/>
                <w:sz w:val="16"/>
              </w:rPr>
              <w:t>I</w:t>
            </w:r>
          </w:p>
        </w:tc>
        <w:tc>
          <w:tcPr>
            <w:tcW w:type="dxa" w:w="3888"/>
            <w:vAlign w:val="top"/>
            <w:tcMar>
              <w:top w:w="80" w:type="dxa"/>
              <w:start w:w="80" w:type="dxa"/>
              <w:bottom w:w="80" w:type="dxa"/>
              <w:end w:w="80" w:type="dxa"/>
            </w:tcMar>
          </w:tcPr>
          <w:p>
            <w:pPr>
              <w:spacing w:after="0"/>
              <w:jc w:val="left"/>
            </w:pPr>
            <w:r>
              <w:rPr>
                <w:rFonts w:ascii="Calibri" w:hAnsi="Calibri"/>
                <w:sz w:val="16"/>
              </w:rPr>
              <w:t>Humanitarian importance against crisis-response categories</w:t>
            </w:r>
          </w:p>
        </w:tc>
        <w:tc>
          <w:tcPr>
            <w:tcW w:type="dxa" w:w="3024"/>
            <w:vAlign w:val="top"/>
            <w:tcMar>
              <w:top w:w="80" w:type="dxa"/>
              <w:start w:w="80" w:type="dxa"/>
              <w:bottom w:w="80" w:type="dxa"/>
              <w:end w:w="80" w:type="dxa"/>
            </w:tcMar>
          </w:tcPr>
          <w:p>
            <w:pPr>
              <w:spacing w:after="0"/>
              <w:jc w:val="left"/>
            </w:pPr>
            <w:r>
              <w:rPr>
                <w:rFonts w:ascii="Calibri" w:hAnsi="Calibri"/>
                <w:sz w:val="16"/>
              </w:rPr>
              <w:t>Ambient disaster context can differ from statement-specific relevance</w:t>
            </w:r>
          </w:p>
        </w:tc>
      </w:tr>
    </w:tbl>
    <w:p>
      <w:pPr>
        <w:spacing w:after="240"/>
        <w:jc w:val="center"/>
      </w:pPr>
      <w:r>
        <w:rPr>
          <w:rFonts w:ascii="Calibri" w:hAnsi="Calibri"/>
        </w:rPr>
        <w:t>Table A1: Dataset-to-framework mapping.</w:t>
      </w:r>
    </w:p>
    <w:p>
      <w:pPr>
        <w:pStyle w:val="Titre1"/>
      </w:pPr>
      <w:r>
        <w:rPr>
          <w:rFonts w:ascii="Calibri" w:hAnsi="Calibri"/>
        </w:rPr>
        <w:t>Appendix B: Notation Reference</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2160"/>
            <w:vAlign w:val="top"/>
            <w:tcMar>
              <w:top w:w="80" w:type="dxa"/>
              <w:start w:w="80" w:type="dxa"/>
              <w:bottom w:w="80" w:type="dxa"/>
              <w:end w:w="80" w:type="dxa"/>
            </w:tcMar>
            <w:shd w:fill="D9E2F3"/>
          </w:tcPr>
          <w:p>
            <w:pPr>
              <w:spacing w:after="0"/>
              <w:jc w:val="center"/>
            </w:pPr>
            <w:r>
              <w:rPr>
                <w:rFonts w:ascii="Calibri" w:hAnsi="Calibri"/>
                <w:b/>
                <w:sz w:val="18"/>
              </w:rPr>
              <w:t>Symbol</w:t>
            </w:r>
          </w:p>
        </w:tc>
        <w:tc>
          <w:tcPr>
            <w:tcW w:type="dxa" w:w="7200"/>
            <w:vAlign w:val="top"/>
            <w:tcMar>
              <w:top w:w="80" w:type="dxa"/>
              <w:start w:w="80" w:type="dxa"/>
              <w:bottom w:w="80" w:type="dxa"/>
              <w:end w:w="80" w:type="dxa"/>
            </w:tcMar>
            <w:shd w:fill="D9E2F3"/>
          </w:tcPr>
          <w:p>
            <w:pPr>
              <w:spacing w:after="0"/>
              <w:jc w:val="center"/>
            </w:pPr>
            <w:r>
              <w:rPr>
                <w:rFonts w:ascii="Calibri" w:hAnsi="Calibri"/>
                <w:b/>
                <w:sz w:val="18"/>
              </w:rPr>
              <w:t>Meaning</w:t>
            </w:r>
          </w:p>
        </w:tc>
      </w:tr>
      <w:tr>
        <w:tc>
          <w:tcPr>
            <w:tcW w:type="dxa" w:w="2160"/>
            <w:vAlign w:val="top"/>
            <w:tcMar>
              <w:top w:w="80" w:type="dxa"/>
              <w:start w:w="80" w:type="dxa"/>
              <w:bottom w:w="80" w:type="dxa"/>
              <w:end w:w="80" w:type="dxa"/>
            </w:tcMar>
          </w:tcPr>
          <w:p>
            <w:pPr>
              <w:spacing w:after="0"/>
              <w:jc w:val="left"/>
            </w:pPr>
            <w:r>
              <w:rPr>
                <w:rFonts w:ascii="Calibri" w:hAnsi="Calibri"/>
                <w:sz w:val="18"/>
              </w:rPr>
              <w:t>T_abs(s)</w:t>
            </w:r>
          </w:p>
        </w:tc>
        <w:tc>
          <w:tcPr>
            <w:tcW w:type="dxa" w:w="7200"/>
            <w:vAlign w:val="top"/>
            <w:tcMar>
              <w:top w:w="80" w:type="dxa"/>
              <w:start w:w="80" w:type="dxa"/>
              <w:bottom w:w="80" w:type="dxa"/>
              <w:end w:w="80" w:type="dxa"/>
            </w:tcMar>
          </w:tcPr>
          <w:p>
            <w:pPr>
              <w:spacing w:after="0"/>
              <w:jc w:val="left"/>
            </w:pPr>
            <w:r>
              <w:rPr>
                <w:rFonts w:ascii="Calibri" w:hAnsi="Calibri"/>
                <w:sz w:val="18"/>
              </w:rPr>
              <w:t>Evidence-weighted truth-probability of statement s</w:t>
            </w:r>
          </w:p>
        </w:tc>
      </w:tr>
      <w:tr>
        <w:tc>
          <w:tcPr>
            <w:tcW w:type="dxa" w:w="2160"/>
            <w:vAlign w:val="top"/>
            <w:tcMar>
              <w:top w:w="80" w:type="dxa"/>
              <w:start w:w="80" w:type="dxa"/>
              <w:bottom w:w="80" w:type="dxa"/>
              <w:end w:w="80" w:type="dxa"/>
            </w:tcMar>
          </w:tcPr>
          <w:p>
            <w:pPr>
              <w:spacing w:after="0"/>
              <w:jc w:val="left"/>
            </w:pPr>
            <w:r>
              <w:rPr>
                <w:rFonts w:ascii="Calibri" w:hAnsi="Calibri"/>
                <w:sz w:val="18"/>
              </w:rPr>
              <w:t>T_perc(s,r)</w:t>
            </w:r>
          </w:p>
        </w:tc>
        <w:tc>
          <w:tcPr>
            <w:tcW w:type="dxa" w:w="7200"/>
            <w:vAlign w:val="top"/>
            <w:tcMar>
              <w:top w:w="80" w:type="dxa"/>
              <w:start w:w="80" w:type="dxa"/>
              <w:bottom w:w="80" w:type="dxa"/>
              <w:end w:w="80" w:type="dxa"/>
            </w:tcMar>
          </w:tcPr>
          <w:p>
            <w:pPr>
              <w:spacing w:after="0"/>
              <w:jc w:val="left"/>
            </w:pPr>
            <w:r>
              <w:rPr>
                <w:rFonts w:ascii="Calibri" w:hAnsi="Calibri"/>
                <w:sz w:val="18"/>
              </w:rPr>
              <w:t>Perceived truth-probability of statement s for receiver r</w:t>
            </w:r>
          </w:p>
        </w:tc>
      </w:tr>
      <w:tr>
        <w:tc>
          <w:tcPr>
            <w:tcW w:type="dxa" w:w="2160"/>
            <w:vAlign w:val="top"/>
            <w:tcMar>
              <w:top w:w="80" w:type="dxa"/>
              <w:start w:w="80" w:type="dxa"/>
              <w:bottom w:w="80" w:type="dxa"/>
              <w:end w:w="80" w:type="dxa"/>
            </w:tcMar>
          </w:tcPr>
          <w:p>
            <w:pPr>
              <w:spacing w:after="0"/>
              <w:jc w:val="left"/>
            </w:pPr>
            <w:r>
              <w:rPr>
                <w:rFonts w:ascii="Calibri" w:hAnsi="Calibri"/>
                <w:sz w:val="18"/>
              </w:rPr>
              <w:t>I(s,r)</w:t>
            </w:r>
          </w:p>
        </w:tc>
        <w:tc>
          <w:tcPr>
            <w:tcW w:type="dxa" w:w="7200"/>
            <w:vAlign w:val="top"/>
            <w:tcMar>
              <w:top w:w="80" w:type="dxa"/>
              <w:start w:w="80" w:type="dxa"/>
              <w:bottom w:w="80" w:type="dxa"/>
              <w:end w:w="80" w:type="dxa"/>
            </w:tcMar>
          </w:tcPr>
          <w:p>
            <w:pPr>
              <w:spacing w:after="0"/>
              <w:jc w:val="left"/>
            </w:pPr>
            <w:r>
              <w:rPr>
                <w:rFonts w:ascii="Calibri" w:hAnsi="Calibri"/>
                <w:sz w:val="18"/>
              </w:rPr>
              <w:t>Importance score of statement s for receiver r</w:t>
            </w:r>
          </w:p>
        </w:tc>
      </w:tr>
      <w:tr>
        <w:tc>
          <w:tcPr>
            <w:tcW w:type="dxa" w:w="2160"/>
            <w:vAlign w:val="top"/>
            <w:tcMar>
              <w:top w:w="80" w:type="dxa"/>
              <w:start w:w="80" w:type="dxa"/>
              <w:bottom w:w="80" w:type="dxa"/>
              <w:end w:w="80" w:type="dxa"/>
            </w:tcMar>
          </w:tcPr>
          <w:p>
            <w:pPr>
              <w:spacing w:after="0"/>
              <w:jc w:val="left"/>
            </w:pPr>
            <w:r>
              <w:rPr>
                <w:rFonts w:ascii="Calibri" w:hAnsi="Calibri"/>
                <w:sz w:val="18"/>
              </w:rPr>
              <w:t>AD</w:t>
            </w:r>
          </w:p>
        </w:tc>
        <w:tc>
          <w:tcPr>
            <w:tcW w:type="dxa" w:w="7200"/>
            <w:vAlign w:val="top"/>
            <w:tcMar>
              <w:top w:w="80" w:type="dxa"/>
              <w:start w:w="80" w:type="dxa"/>
              <w:bottom w:w="80" w:type="dxa"/>
              <w:end w:w="80" w:type="dxa"/>
            </w:tcMar>
          </w:tcPr>
          <w:p>
            <w:pPr>
              <w:spacing w:after="0"/>
              <w:jc w:val="left"/>
            </w:pPr>
            <w:r>
              <w:rPr>
                <w:rFonts w:ascii="Calibri" w:hAnsi="Calibri"/>
                <w:sz w:val="18"/>
              </w:rPr>
              <w:t>Broad stakes beyond the speaker</w:t>
            </w:r>
          </w:p>
        </w:tc>
      </w:tr>
      <w:tr>
        <w:tc>
          <w:tcPr>
            <w:tcW w:type="dxa" w:w="2160"/>
            <w:vAlign w:val="top"/>
            <w:tcMar>
              <w:top w:w="80" w:type="dxa"/>
              <w:start w:w="80" w:type="dxa"/>
              <w:bottom w:w="80" w:type="dxa"/>
              <w:end w:w="80" w:type="dxa"/>
            </w:tcMar>
          </w:tcPr>
          <w:p>
            <w:pPr>
              <w:spacing w:after="0"/>
              <w:jc w:val="left"/>
            </w:pPr>
            <w:r>
              <w:rPr>
                <w:rFonts w:ascii="Calibri" w:hAnsi="Calibri"/>
                <w:sz w:val="18"/>
              </w:rPr>
              <w:t>Y</w:t>
            </w:r>
          </w:p>
        </w:tc>
        <w:tc>
          <w:tcPr>
            <w:tcW w:type="dxa" w:w="7200"/>
            <w:vAlign w:val="top"/>
            <w:tcMar>
              <w:top w:w="80" w:type="dxa"/>
              <w:start w:w="80" w:type="dxa"/>
              <w:bottom w:w="80" w:type="dxa"/>
              <w:end w:w="80" w:type="dxa"/>
            </w:tcMar>
          </w:tcPr>
          <w:p>
            <w:pPr>
              <w:spacing w:after="0"/>
              <w:jc w:val="left"/>
            </w:pPr>
            <w:r>
              <w:rPr>
                <w:rFonts w:ascii="Calibri" w:hAnsi="Calibri"/>
                <w:sz w:val="18"/>
              </w:rPr>
              <w:t>General situational urgency or background charge</w:t>
            </w:r>
          </w:p>
        </w:tc>
      </w:tr>
      <w:tr>
        <w:tc>
          <w:tcPr>
            <w:tcW w:type="dxa" w:w="2160"/>
            <w:vAlign w:val="top"/>
            <w:tcMar>
              <w:top w:w="80" w:type="dxa"/>
              <w:start w:w="80" w:type="dxa"/>
              <w:bottom w:w="80" w:type="dxa"/>
              <w:end w:w="80" w:type="dxa"/>
            </w:tcMar>
          </w:tcPr>
          <w:p>
            <w:pPr>
              <w:spacing w:after="0"/>
              <w:jc w:val="left"/>
            </w:pPr>
            <w:r>
              <w:rPr>
                <w:rFonts w:ascii="Calibri" w:hAnsi="Calibri"/>
                <w:sz w:val="18"/>
              </w:rPr>
              <w:t>Z_eff</w:t>
            </w:r>
          </w:p>
        </w:tc>
        <w:tc>
          <w:tcPr>
            <w:tcW w:type="dxa" w:w="7200"/>
            <w:vAlign w:val="top"/>
            <w:tcMar>
              <w:top w:w="80" w:type="dxa"/>
              <w:start w:w="80" w:type="dxa"/>
              <w:bottom w:w="80" w:type="dxa"/>
              <w:end w:w="80" w:type="dxa"/>
            </w:tcMar>
          </w:tcPr>
          <w:p>
            <w:pPr>
              <w:spacing w:after="0"/>
              <w:jc w:val="left"/>
            </w:pPr>
            <w:r>
              <w:rPr>
                <w:rFonts w:ascii="Calibri" w:hAnsi="Calibri"/>
                <w:sz w:val="18"/>
              </w:rPr>
              <w:t>Bias-adjusted speaker stakes</w:t>
            </w:r>
          </w:p>
        </w:tc>
      </w:tr>
      <w:tr>
        <w:tc>
          <w:tcPr>
            <w:tcW w:type="dxa" w:w="2160"/>
            <w:vAlign w:val="top"/>
            <w:tcMar>
              <w:top w:w="80" w:type="dxa"/>
              <w:start w:w="80" w:type="dxa"/>
              <w:bottom w:w="80" w:type="dxa"/>
              <w:end w:w="80" w:type="dxa"/>
            </w:tcMar>
          </w:tcPr>
          <w:p>
            <w:pPr>
              <w:spacing w:after="0"/>
              <w:jc w:val="left"/>
            </w:pPr>
            <w:r>
              <w:rPr>
                <w:rFonts w:ascii="Calibri" w:hAnsi="Calibri"/>
                <w:sz w:val="18"/>
              </w:rPr>
              <w:t>Rel(s,c)</w:t>
            </w:r>
          </w:p>
        </w:tc>
        <w:tc>
          <w:tcPr>
            <w:tcW w:type="dxa" w:w="7200"/>
            <w:vAlign w:val="top"/>
            <w:tcMar>
              <w:top w:w="80" w:type="dxa"/>
              <w:start w:w="80" w:type="dxa"/>
              <w:bottom w:w="80" w:type="dxa"/>
              <w:end w:w="80" w:type="dxa"/>
            </w:tcMar>
          </w:tcPr>
          <w:p>
            <w:pPr>
              <w:spacing w:after="0"/>
              <w:jc w:val="left"/>
            </w:pPr>
            <w:r>
              <w:rPr>
                <w:rFonts w:ascii="Calibri" w:hAnsi="Calibri"/>
                <w:sz w:val="18"/>
              </w:rPr>
              <w:t>Statement-to-stakes relevance gate for statement s in context c</w:t>
            </w:r>
          </w:p>
        </w:tc>
      </w:tr>
      <w:tr>
        <w:tc>
          <w:tcPr>
            <w:tcW w:type="dxa" w:w="2160"/>
            <w:vAlign w:val="top"/>
            <w:tcMar>
              <w:top w:w="80" w:type="dxa"/>
              <w:start w:w="80" w:type="dxa"/>
              <w:bottom w:w="80" w:type="dxa"/>
              <w:end w:w="80" w:type="dxa"/>
            </w:tcMar>
          </w:tcPr>
          <w:p>
            <w:pPr>
              <w:spacing w:after="0"/>
              <w:jc w:val="left"/>
            </w:pPr>
            <w:r>
              <w:rPr>
                <w:rFonts w:ascii="Calibri" w:hAnsi="Calibri"/>
                <w:sz w:val="18"/>
              </w:rPr>
              <w:t>K, L, M</w:t>
            </w:r>
          </w:p>
        </w:tc>
        <w:tc>
          <w:tcPr>
            <w:tcW w:type="dxa" w:w="7200"/>
            <w:vAlign w:val="top"/>
            <w:tcMar>
              <w:top w:w="80" w:type="dxa"/>
              <w:start w:w="80" w:type="dxa"/>
              <w:bottom w:w="80" w:type="dxa"/>
              <w:end w:w="80" w:type="dxa"/>
            </w:tcMar>
          </w:tcPr>
          <w:p>
            <w:pPr>
              <w:spacing w:after="0"/>
              <w:jc w:val="left"/>
            </w:pPr>
            <w:r>
              <w:rPr>
                <w:rFonts w:ascii="Calibri" w:hAnsi="Calibri"/>
                <w:sz w:val="18"/>
              </w:rPr>
              <w:t>Independent corroboration, established-knowledge consistency, and physical/empirical evidence</w:t>
            </w:r>
          </w:p>
        </w:tc>
      </w:tr>
    </w:tbl>
    <w:p>
      <w:pPr>
        <w:spacing w:after="240"/>
        <w:jc w:val="center"/>
      </w:pPr>
      <w:r>
        <w:rPr>
          <w:rFonts w:ascii="Calibri" w:hAnsi="Calibri"/>
        </w:rPr>
        <w:t>Table A2: Notation used in the stress test paper.</w:t>
      </w:r>
    </w:p>
    <w:sectPr w:rsidR="00D1715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10E71"/>
    <w:multiLevelType w:val="hybridMultilevel"/>
    <w:tmpl w:val="65B8BD5E"/>
    <w:lvl w:ilvl="0" w:tplc="67AED6C2">
      <w:start w:val="1"/>
      <w:numFmt w:val="decimal"/>
      <w:lvlText w:val="%1."/>
      <w:lvlJc w:val="left"/>
      <w:pPr>
        <w:ind w:left="720" w:hanging="360"/>
      </w:pPr>
    </w:lvl>
    <w:lvl w:ilvl="1" w:tplc="7E38876C">
      <w:numFmt w:val="decimal"/>
      <w:lvlText w:val=""/>
      <w:lvlJc w:val="left"/>
    </w:lvl>
    <w:lvl w:ilvl="2" w:tplc="BAB2BD98">
      <w:numFmt w:val="decimal"/>
      <w:lvlText w:val=""/>
      <w:lvlJc w:val="left"/>
    </w:lvl>
    <w:lvl w:ilvl="3" w:tplc="1F3A7056">
      <w:numFmt w:val="decimal"/>
      <w:lvlText w:val=""/>
      <w:lvlJc w:val="left"/>
    </w:lvl>
    <w:lvl w:ilvl="4" w:tplc="0ED8C822">
      <w:numFmt w:val="decimal"/>
      <w:lvlText w:val=""/>
      <w:lvlJc w:val="left"/>
    </w:lvl>
    <w:lvl w:ilvl="5" w:tplc="729C4618">
      <w:numFmt w:val="decimal"/>
      <w:lvlText w:val=""/>
      <w:lvlJc w:val="left"/>
    </w:lvl>
    <w:lvl w:ilvl="6" w:tplc="5C56DD5C">
      <w:numFmt w:val="decimal"/>
      <w:lvlText w:val=""/>
      <w:lvlJc w:val="left"/>
    </w:lvl>
    <w:lvl w:ilvl="7" w:tplc="C2B4207C">
      <w:numFmt w:val="decimal"/>
      <w:lvlText w:val=""/>
      <w:lvlJc w:val="left"/>
    </w:lvl>
    <w:lvl w:ilvl="8" w:tplc="8F3A0D4E">
      <w:numFmt w:val="decimal"/>
      <w:lvlText w:val=""/>
      <w:lvlJc w:val="left"/>
    </w:lvl>
  </w:abstractNum>
  <w:abstractNum w:abstractNumId="1" w15:restartNumberingAfterBreak="0">
    <w:nsid w:val="66A47D74"/>
    <w:multiLevelType w:val="hybridMultilevel"/>
    <w:tmpl w:val="3BA0E97C"/>
    <w:lvl w:ilvl="0" w:tplc="FF9A50CC">
      <w:start w:val="1"/>
      <w:numFmt w:val="bullet"/>
      <w:lvlText w:val="•"/>
      <w:lvlJc w:val="left"/>
      <w:pPr>
        <w:ind w:left="720" w:hanging="360"/>
      </w:pPr>
    </w:lvl>
    <w:lvl w:ilvl="1" w:tplc="132AA418">
      <w:numFmt w:val="decimal"/>
      <w:lvlText w:val=""/>
      <w:lvlJc w:val="left"/>
    </w:lvl>
    <w:lvl w:ilvl="2" w:tplc="CEDC6B60">
      <w:numFmt w:val="decimal"/>
      <w:lvlText w:val=""/>
      <w:lvlJc w:val="left"/>
    </w:lvl>
    <w:lvl w:ilvl="3" w:tplc="B16865E4">
      <w:numFmt w:val="decimal"/>
      <w:lvlText w:val=""/>
      <w:lvlJc w:val="left"/>
    </w:lvl>
    <w:lvl w:ilvl="4" w:tplc="6576F3C6">
      <w:numFmt w:val="decimal"/>
      <w:lvlText w:val=""/>
      <w:lvlJc w:val="left"/>
    </w:lvl>
    <w:lvl w:ilvl="5" w:tplc="BB9AB8C4">
      <w:numFmt w:val="decimal"/>
      <w:lvlText w:val=""/>
      <w:lvlJc w:val="left"/>
    </w:lvl>
    <w:lvl w:ilvl="6" w:tplc="ADE26714">
      <w:numFmt w:val="decimal"/>
      <w:lvlText w:val=""/>
      <w:lvlJc w:val="left"/>
    </w:lvl>
    <w:lvl w:ilvl="7" w:tplc="C08079FC">
      <w:numFmt w:val="decimal"/>
      <w:lvlText w:val=""/>
      <w:lvlJc w:val="left"/>
    </w:lvl>
    <w:lvl w:ilvl="8" w:tplc="3F1210C0">
      <w:numFmt w:val="decimal"/>
      <w:lvlText w:val=""/>
      <w:lvlJc w:val="left"/>
    </w:lvl>
  </w:abstractNum>
  <w:abstractNum w:abstractNumId="2" w15:restartNumberingAfterBreak="0">
    <w:nsid w:val="731C50B7"/>
    <w:multiLevelType w:val="hybridMultilevel"/>
    <w:tmpl w:val="8730E508"/>
    <w:lvl w:ilvl="0" w:tplc="FE82453E">
      <w:start w:val="1"/>
      <w:numFmt w:val="bullet"/>
      <w:lvlText w:val="●"/>
      <w:lvlJc w:val="left"/>
      <w:pPr>
        <w:ind w:left="720" w:hanging="360"/>
      </w:pPr>
    </w:lvl>
    <w:lvl w:ilvl="1" w:tplc="D72C581E">
      <w:start w:val="1"/>
      <w:numFmt w:val="bullet"/>
      <w:lvlText w:val="○"/>
      <w:lvlJc w:val="left"/>
      <w:pPr>
        <w:ind w:left="1440" w:hanging="360"/>
      </w:pPr>
    </w:lvl>
    <w:lvl w:ilvl="2" w:tplc="D78E19F6">
      <w:start w:val="1"/>
      <w:numFmt w:val="bullet"/>
      <w:lvlText w:val="■"/>
      <w:lvlJc w:val="left"/>
      <w:pPr>
        <w:ind w:left="2160" w:hanging="360"/>
      </w:pPr>
    </w:lvl>
    <w:lvl w:ilvl="3" w:tplc="3872E388">
      <w:start w:val="1"/>
      <w:numFmt w:val="bullet"/>
      <w:lvlText w:val="●"/>
      <w:lvlJc w:val="left"/>
      <w:pPr>
        <w:ind w:left="2880" w:hanging="360"/>
      </w:pPr>
    </w:lvl>
    <w:lvl w:ilvl="4" w:tplc="5C2A484A">
      <w:start w:val="1"/>
      <w:numFmt w:val="bullet"/>
      <w:lvlText w:val="○"/>
      <w:lvlJc w:val="left"/>
      <w:pPr>
        <w:ind w:left="3600" w:hanging="360"/>
      </w:pPr>
    </w:lvl>
    <w:lvl w:ilvl="5" w:tplc="9586A6F4">
      <w:start w:val="1"/>
      <w:numFmt w:val="bullet"/>
      <w:lvlText w:val="■"/>
      <w:lvlJc w:val="left"/>
      <w:pPr>
        <w:ind w:left="4320" w:hanging="360"/>
      </w:pPr>
    </w:lvl>
    <w:lvl w:ilvl="6" w:tplc="58BA5254">
      <w:start w:val="1"/>
      <w:numFmt w:val="bullet"/>
      <w:lvlText w:val="●"/>
      <w:lvlJc w:val="left"/>
      <w:pPr>
        <w:ind w:left="5040" w:hanging="360"/>
      </w:pPr>
    </w:lvl>
    <w:lvl w:ilvl="7" w:tplc="C346C8C6">
      <w:start w:val="1"/>
      <w:numFmt w:val="bullet"/>
      <w:lvlText w:val="●"/>
      <w:lvlJc w:val="left"/>
      <w:pPr>
        <w:ind w:left="5760" w:hanging="360"/>
      </w:pPr>
    </w:lvl>
    <w:lvl w:ilvl="8" w:tplc="EDA2FEDC">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7152"/>
    <w:rsid w:val="00154D9B"/>
    <w:rsid w:val="00335596"/>
    <w:rsid w:val="00D1715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69EE8"/>
  <w15:docId w15:val="{D5873CA1-D242-497A-AF55-3F050CF2D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20"/>
    </w:pPr>
    <w:rPr>
      <w:rFonts w:ascii="Calibri" w:hAnsi="Calibri"/>
      <w:sz w:val="22"/>
    </w:rPr>
  </w:style>
  <w:style w:type="paragraph" w:styleId="Titre1">
    <w:name w:val="heading 1"/>
    <w:qFormat/>
    <w:pPr>
      <w:spacing w:before="360" w:after="120"/>
      <w:outlineLvl w:val="0"/>
    </w:pPr>
    <w:rPr>
      <w:b/>
      <w:bCs/>
      <w:color w:val="1F3864"/>
      <w:sz w:val="32"/>
      <w:szCs w:val="32"/>
    </w:rPr>
  </w:style>
  <w:style w:type="paragraph" w:styleId="Titre2">
    <w:name w:val="heading 2"/>
    <w:qFormat/>
    <w:pPr>
      <w:spacing w:before="240" w:after="80"/>
      <w:outlineLvl w:val="1"/>
    </w:pPr>
    <w:rPr>
      <w:b/>
      <w:bCs/>
      <w:color w:val="1F3864"/>
      <w:sz w:val="26"/>
      <w:szCs w:val="26"/>
    </w:rPr>
  </w:style>
  <w:style w:type="paragraph" w:styleId="Titre3">
    <w:name w:val="heading 3"/>
    <w:qFormat/>
    <w:pPr>
      <w:spacing w:before="180" w:after="60"/>
      <w:outlineLvl w:val="2"/>
    </w:pPr>
    <w:rPr>
      <w:b/>
      <w:bCs/>
      <w:color w:val="1F3864"/>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NormalWeb">
    <w:name w:val="Normal (Web)"/>
    <w:basedOn w:val="Normal"/>
    <w:uiPriority w:val="99"/>
    <w:semiHidden/>
    <w:unhideWhenUsed/>
    <w:rsid w:val="00335596"/>
    <w:pPr>
      <w:spacing w:before="100" w:beforeAutospacing="1" w:after="100" w:afterAutospacing="1"/>
    </w:pPr>
    <w:rPr>
      <w:rFonts w:ascii="Times New Roman" w:eastAsia="Times New Roman" w:hAnsi="Times New Roman" w:cs="Times New Roman"/>
      <w:sz w:val="24"/>
      <w:szCs w:val="24"/>
    </w:rPr>
  </w:style>
  <w:style w:type="character" w:styleId="CodeHTML">
    <w:name w:val="HTML Code"/>
    <w:basedOn w:val="Policepardfaut"/>
    <w:uiPriority w:val="99"/>
    <w:semiHidden/>
    <w:unhideWhenUsed/>
    <w:rsid w:val="0033559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6638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7115</Words>
  <Characters>40559</Characters>
  <Application>Microsoft Office Word</Application>
  <DocSecurity>0</DocSecurity>
  <Lines>337</Lines>
  <Paragraphs>95</Paragraphs>
  <ScaleCrop>false</ScaleCrop>
  <Company/>
  <LinksUpToDate>false</LinksUpToDate>
  <CharactersWithSpaces>47579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Mohamed Amine Belachhab</dc:creator>
  <cp:lastModifiedBy>binfo</cp:lastModifiedBy>
  <cp:revision>4</cp:revision>
  <dcterms:created xsi:type="dcterms:W3CDTF">2026-06-19T17:33:00Z</dcterms:created>
  <dcterms:modified xsi:type="dcterms:W3CDTF">2026-06-21T15:55:00Z</dcterms:modified>
  <dc:title>A Preliminary Empirical Stress Test of the Unified Truth-Probability and Importance-Scoring Framework</dc:title>
  <dc:subject>Preliminary AI-assisted empirical stress test of truth-probability, perceived truth, and importance-scoring framework</dc:subject>
  <dc:description>Generated as a cautious standalone empirical stress-test paper.</dc:description>
  <cp:keywords>truth-probability; importance scoring; empirical validation; fact-checking; HumAID; CredEvent; LIAR</cp:keywords>
</cp:coreProperties>
</file>