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CARDIAC TREND ON ECG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ECG of 29.05, 30.05 and 02.06.2026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Patient: Oleg I. T., 83 years | Atrial Fibrillation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Addendum to the consolidated case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BOTTOM LINE — STABLY GOOD TREND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third consecutive ECG (30.05 and 02.06) confirms: the concerning 29.05 findings (ventricular extrasystole and scar suspicion) no longer appear. These were very likely transient acute-phase phenomena. The rhythm has been stably controlled for four days: normosystolic, HR ~83. No acute cardiac concern.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COMPARISON OF THREE ECGs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100"/>
        <w:gridCol w:w="2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29.05.2026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30.05.2026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02.06.2026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Rhythm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AF, normosys.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HR (min-mean-max)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63-87-114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77-87-110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66-83-113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Electrical axis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−21° (left)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−15° (left)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14° (horiz.)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Ventricular extrasystole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ABSENT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Scar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'cannot excl.'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Repolarization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diffuse dist.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diffuse dist.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disturbance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Low-amplitude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none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INTERPRETATION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Extrasystole and scar — confirmed transient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ventricular extrasystole and scar suspicion noted on 29.05 are absent on the two subsequent ECGs (30.05 and 02.06). Three trend points provide confidence: these were transient acute-phase phenomena, not persistent pathology.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Rhythm stably controlled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All three ECGs show normosystolic AF with HR around 83-87. Rate control is stable. The electrical axis returned to a horizontal (normal) position.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What remains under observation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Repolarization disturbance persists on all ECGs — a nonspecific background sign (age, AF, hypertension) requiring no urgent action but noted by cardiology.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RECOMMENDATIONS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Cardiology consult — planned. Follow-up echo for a final answer on the scar (though two ECGs have already removed the suspicion).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Holter if feasible — for completeness (captures what a single ECG misses).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Electrolyte check (potassium, magnesium) — routine.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HR and BP monitoring during rehabilitation exertion.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Impact on center choice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cardiac background is calm. The argument for a center with cardiac support remains as a 'safety margin' but is no longer critical. The overall favorable prognosis is unchanged.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Context per the discharge summary of 03.06.2026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Anticoagulation started: enoxaparin 8000 anti-Xa IU s.c. twice daily (from 30.05) + aspirin 125 mg + atorvastatin 20 mg + bisoprolol 5 mg. Inflammation resolved: CRP 14.6 -&gt; 1.83 mg/L (normal). Coagulogram obtained (INR ~2.08). Blood culture — no growth. This lowers cardiac and infectious risk during rehabilitation.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IMPORTANT CAVEATS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 single ECG captures only the moment of recording; three points improve reliability, but a Holter would give the full 24-hour picture.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old-scar suspicion is removed on ECG trend, but only a cardiologist via echo can definitively confirm/exclude it.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Interpretation is based on ECG text conclusions, without access to the tracings.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This document is an analysis of ECG data, not a medical opinion. All decisions with the treating physicians.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Bdr>
          <w:top w:val="single" w:color="BDC3C7" w:sz="4" w:space="8"/>
        </w:pBdr>
        <w:spacing w:after="60" w:before="2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Addendum to the consolidated case history. Based on ECG conclusions of 29.05, 30.05 and 02.06.2026. Not a medical opinion.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2026-06-04T07:30:34.743Z</dcterms:created>
  <dcterms:modified xsi:type="dcterms:W3CDTF">2026-06-04T07:30:34.743Z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