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38"/>
          <w:szCs w:val="38"/>
        </w:rPr>
        <w:t xml:space="preserve">CONSOLIDATED CASE HISTORY</w:t>
      </w:r>
    </w:p>
    <w:p>
      <w:pPr>
        <w:spacing w:after="60" w:before="0"/>
        <w:jc w:val="center"/>
      </w:pPr>
      <w:r>
        <w:rPr>
          <w:rFonts w:ascii="Arial" w:cs="Arial" w:eastAsia="Arial" w:hAnsi="Arial"/>
          <w:b/>
          <w:bCs/>
          <w:color w:val="2E75B6"/>
          <w:sz w:val="23"/>
          <w:szCs w:val="23"/>
        </w:rPr>
        <w:t xml:space="preserve">From Arterial Plaque to Stroke: Course, Trajectory and Recommendations</w:t>
      </w:r>
    </w:p>
    <w:p>
      <w:pPr>
        <w:spacing w:after="40" w:before="40"/>
        <w:jc w:val="center"/>
      </w:pPr>
      <w:r>
        <w:rPr>
          <w:rFonts w:ascii="Arial" w:cs="Arial" w:eastAsia="Arial" w:hAnsi="Arial"/>
          <w:b/>
          <w:bCs/>
          <w:color w:val="333333"/>
          <w:sz w:val="22"/>
          <w:szCs w:val="22"/>
        </w:rPr>
        <w:t xml:space="preserve">Patient: Oleg Ivanovich Teterin, 83 years old (DOB 26.09.1942)</w:t>
      </w:r>
    </w:p>
    <w:p>
      <w:pPr>
        <w:spacing w:after="30" w:before="0"/>
        <w:jc w:val="center"/>
      </w:pPr>
      <w:r>
        <w:rPr>
          <w:rFonts w:ascii="Arial" w:cs="Arial" w:eastAsia="Arial" w:hAnsi="Arial"/>
          <w:color w:val="666666"/>
          <w:sz w:val="17"/>
          <w:szCs w:val="17"/>
        </w:rPr>
        <w:t xml:space="preserve">Konchalovsky City Clinical Hospital, Zelenograd, Moscow | OMS policy 7700001073760942</w:t>
      </w:r>
    </w:p>
    <w:p>
      <w:pPr>
        <w:spacing w:after="200" w:before="0"/>
        <w:jc w:val="center"/>
      </w:pPr>
      <w:r>
        <w:rPr>
          <w:rFonts w:ascii="Arial" w:cs="Arial" w:eastAsia="Arial" w:hAnsi="Arial"/>
          <w:color w:val="888888"/>
          <w:sz w:val="17"/>
          <w:szCs w:val="17"/>
        </w:rPr>
        <w:t xml:space="preserve">Document for the treating physicians, nurses, speech therapist and rehabilitation team. Compiled 30.05.2026.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NUMBERS TODAY (30.05.2026)</w:t>
            </w:r>
          </w:p>
        </w:tc>
      </w:tr>
      <w:tr>
        <w:tc>
          <w:tcPr>
            <w:tcBorders>
              <w:top w:val="single" w:color="CCCCCC" w:sz="1"/>
              <w:left w:val="single" w:color="CCCCCC" w:sz="1"/>
              <w:bottom w:val="single" w:color="CCCCCC" w:sz="1"/>
              <w:right w:val="single" w:color="CCCCCC" w:sz="1"/>
            </w:tcBorders>
            <w:shd w:fill="EBF5FB" w:val="clear"/>
            <w:tcMar>
              <w:top w:type="dxa" w:w="140"/>
              <w:left w:type="dxa" w:w="220"/>
              <w:bottom w:type="dxa" w:w="140"/>
              <w:right w:type="dxa" w:w="220"/>
            </w:tcMar>
          </w:tcPr>
          <w:p>
            <w:pPr>
              <w:spacing w:after="40" w:before="0"/>
            </w:pPr>
            <w:r>
              <w:rPr>
                <w:rFonts w:ascii="Arial" w:cs="Arial" w:eastAsia="Arial" w:hAnsi="Arial"/>
                <w:b/>
                <w:bCs/>
                <w:color w:val="1B5E20"/>
                <w:sz w:val="18"/>
                <w:szCs w:val="18"/>
              </w:rPr>
              <w:t xml:space="preserve">NIHSS (stroke severity): lowest 12 (moderate stroke), marked clinical improvement</w:t>
            </w:r>
          </w:p>
          <w:p>
            <w:pPr>
              <w:spacing w:after="40" w:before="0"/>
            </w:pPr>
            <w:r>
              <w:rPr>
                <w:rFonts w:ascii="Arial" w:cs="Arial" w:eastAsia="Arial" w:hAnsi="Arial"/>
                <w:color w:val="222222"/>
                <w:sz w:val="18"/>
                <w:szCs w:val="18"/>
              </w:rPr>
              <w:t xml:space="preserve">ASPECTS (CT extent): 8 of 10 — small-moderate infarct, favorable category</w:t>
            </w:r>
          </w:p>
          <w:p>
            <w:pPr>
              <w:spacing w:after="40" w:before="0"/>
            </w:pPr>
            <w:r>
              <w:rPr>
                <w:rFonts w:ascii="Arial" w:cs="Arial" w:eastAsia="Arial" w:hAnsi="Arial"/>
                <w:color w:val="222222"/>
                <w:sz w:val="18"/>
                <w:szCs w:val="18"/>
              </w:rPr>
              <w:t xml:space="preserve">Infarct: left frontal lobe, zones M4-M5 up to 15 mm. NO hemorrhage. NO edema.</w:t>
            </w:r>
          </w:p>
          <w:p>
            <w:pPr>
              <w:spacing w:after="40" w:before="0"/>
            </w:pPr>
            <w:r>
              <w:rPr>
                <w:rFonts w:ascii="Arial" w:cs="Arial" w:eastAsia="Arial" w:hAnsi="Arial"/>
                <w:color w:val="222222"/>
                <w:sz w:val="18"/>
                <w:szCs w:val="18"/>
              </w:rPr>
              <w:t xml:space="preserve">Speech: motor (Broca's) aphasia. Comprehension preserved (sensory aphasia resolved).</w:t>
            </w:r>
          </w:p>
          <w:p>
            <w:pPr>
              <w:spacing w:after="40" w:before="0"/>
            </w:pPr>
            <w:r>
              <w:rPr>
                <w:rFonts w:ascii="Arial" w:cs="Arial" w:eastAsia="Arial" w:hAnsi="Arial"/>
                <w:color w:val="222222"/>
                <w:sz w:val="18"/>
                <w:szCs w:val="18"/>
              </w:rPr>
              <w:t xml:space="preserve">Movement: right leg nearly recovered; right arm makes a fist, paresis persists.</w:t>
            </w:r>
          </w:p>
          <w:p>
            <w:pPr>
              <w:spacing w:after="0" w:before="0"/>
            </w:pPr>
            <w:r>
              <w:rPr>
                <w:rFonts w:ascii="Arial" w:cs="Arial" w:eastAsia="Arial" w:hAnsi="Arial"/>
                <w:color w:val="222222"/>
                <w:sz w:val="18"/>
                <w:szCs w:val="18"/>
              </w:rPr>
              <w:t xml:space="preserve">Heart: AF, normosystolic, HR ~87. Anticoagulation — to be decided by team per coagulogram.</w:t>
            </w:r>
          </w:p>
        </w:tc>
      </w:tr>
    </w:tbl>
    <w:p>
      <w:pPr>
        <w:spacing w:after="60" w:before="50"/>
      </w:pPr>
      <w:r>
        <w:rPr>
          <w:rFonts w:ascii="Arial" w:cs="Arial" w:eastAsia="Arial" w:hAnsi="Arial"/>
          <w:color w:val="111111"/>
          <w:sz w:val="18"/>
          <w:szCs w:val="18"/>
        </w:rPr>
        <w:t xml:space="preserve"/>
      </w:r>
    </w:p>
    <w:p>
      <w:pPr>
        <w:spacing w:after="70" w:before="200"/>
      </w:pPr>
      <w:r>
        <w:rPr>
          <w:rFonts w:ascii="Arial" w:cs="Arial" w:eastAsia="Arial" w:hAnsi="Arial"/>
          <w:b/>
          <w:bCs/>
          <w:color w:val="1A5276"/>
          <w:sz w:val="20"/>
          <w:szCs w:val="20"/>
        </w:rPr>
        <w:t xml:space="preserve">Contents</w:t>
      </w:r>
    </w:p>
    <w:p>
      <w:pPr>
        <w:pStyle w:val="ListParagraph"/>
        <w:numPr>
          <w:ilvl w:val="0"/>
          <w:numId w:val="2"/>
        </w:numPr>
        <w:spacing w:after="40" w:before="36"/>
      </w:pPr>
      <w:r>
        <w:rPr>
          <w:rFonts w:ascii="Arial" w:cs="Arial" w:eastAsia="Arial" w:hAnsi="Arial"/>
          <w:color w:val="111111"/>
          <w:sz w:val="18"/>
          <w:szCs w:val="18"/>
        </w:rPr>
        <w:t xml:space="preserve">Section 1. Timeline: from plaque to stroke</w:t>
      </w:r>
    </w:p>
    <w:p>
      <w:pPr>
        <w:pStyle w:val="ListParagraph"/>
        <w:numPr>
          <w:ilvl w:val="0"/>
          <w:numId w:val="2"/>
        </w:numPr>
        <w:spacing w:after="40" w:before="36"/>
      </w:pPr>
      <w:r>
        <w:rPr>
          <w:rFonts w:ascii="Arial" w:cs="Arial" w:eastAsia="Arial" w:hAnsi="Arial"/>
          <w:color w:val="111111"/>
          <w:sz w:val="18"/>
          <w:szCs w:val="18"/>
        </w:rPr>
        <w:t xml:space="preserve">Section 2. Operation and complication</w:t>
      </w:r>
    </w:p>
    <w:p>
      <w:pPr>
        <w:pStyle w:val="ListParagraph"/>
        <w:numPr>
          <w:ilvl w:val="0"/>
          <w:numId w:val="2"/>
        </w:numPr>
        <w:spacing w:after="40" w:before="36"/>
      </w:pPr>
      <w:r>
        <w:rPr>
          <w:rFonts w:ascii="Arial" w:cs="Arial" w:eastAsia="Arial" w:hAnsi="Arial"/>
          <w:color w:val="111111"/>
          <w:sz w:val="18"/>
          <w:szCs w:val="18"/>
        </w:rPr>
        <w:t xml:space="preserve">Section 3. Imaging trajectory (CT, MRI, CT angiography)</w:t>
      </w:r>
    </w:p>
    <w:p>
      <w:pPr>
        <w:pStyle w:val="ListParagraph"/>
        <w:numPr>
          <w:ilvl w:val="0"/>
          <w:numId w:val="2"/>
        </w:numPr>
        <w:spacing w:after="40" w:before="36"/>
      </w:pPr>
      <w:r>
        <w:rPr>
          <w:rFonts w:ascii="Arial" w:cs="Arial" w:eastAsia="Arial" w:hAnsi="Arial"/>
          <w:color w:val="111111"/>
          <w:sz w:val="18"/>
          <w:szCs w:val="18"/>
        </w:rPr>
        <w:t xml:space="preserve">Section 4. NIHSS and ECG trajectory</w:t>
      </w:r>
    </w:p>
    <w:p>
      <w:pPr>
        <w:pStyle w:val="ListParagraph"/>
        <w:numPr>
          <w:ilvl w:val="0"/>
          <w:numId w:val="2"/>
        </w:numPr>
        <w:spacing w:after="40" w:before="36"/>
      </w:pPr>
      <w:r>
        <w:rPr>
          <w:rFonts w:ascii="Arial" w:cs="Arial" w:eastAsia="Arial" w:hAnsi="Arial"/>
          <w:color w:val="111111"/>
          <w:sz w:val="18"/>
          <w:szCs w:val="18"/>
        </w:rPr>
        <w:t xml:space="preserve">Section 5. Current status and prognosis</w:t>
      </w:r>
    </w:p>
    <w:p>
      <w:pPr>
        <w:pStyle w:val="ListParagraph"/>
        <w:numPr>
          <w:ilvl w:val="0"/>
          <w:numId w:val="2"/>
        </w:numPr>
        <w:spacing w:after="40" w:before="36"/>
      </w:pPr>
      <w:r>
        <w:rPr>
          <w:rFonts w:ascii="Arial" w:cs="Arial" w:eastAsia="Arial" w:hAnsi="Arial"/>
          <w:color w:val="111111"/>
          <w:sz w:val="18"/>
          <w:szCs w:val="18"/>
        </w:rPr>
        <w:t xml:space="preserve">Section 6. Recommendations for treating physicians</w:t>
      </w:r>
    </w:p>
    <w:p>
      <w:pPr>
        <w:pStyle w:val="ListParagraph"/>
        <w:numPr>
          <w:ilvl w:val="0"/>
          <w:numId w:val="2"/>
        </w:numPr>
        <w:spacing w:after="40" w:before="36"/>
      </w:pPr>
      <w:r>
        <w:rPr>
          <w:rFonts w:ascii="Arial" w:cs="Arial" w:eastAsia="Arial" w:hAnsi="Arial"/>
          <w:color w:val="111111"/>
          <w:sz w:val="18"/>
          <w:szCs w:val="18"/>
        </w:rPr>
        <w:t xml:space="preserve">Section 7. Recommendations for nurses (care)</w:t>
      </w:r>
    </w:p>
    <w:p>
      <w:pPr>
        <w:pStyle w:val="ListParagraph"/>
        <w:numPr>
          <w:ilvl w:val="0"/>
          <w:numId w:val="2"/>
        </w:numPr>
        <w:spacing w:after="40" w:before="36"/>
      </w:pPr>
      <w:r>
        <w:rPr>
          <w:rFonts w:ascii="Arial" w:cs="Arial" w:eastAsia="Arial" w:hAnsi="Arial"/>
          <w:color w:val="111111"/>
          <w:sz w:val="18"/>
          <w:szCs w:val="18"/>
        </w:rPr>
        <w:t xml:space="preserve">Section 8. Recommendations for the speech therapist (aphasia, multilingualism)</w:t>
      </w:r>
    </w:p>
    <w:p>
      <w:pPr>
        <w:pStyle w:val="ListParagraph"/>
        <w:numPr>
          <w:ilvl w:val="0"/>
          <w:numId w:val="2"/>
        </w:numPr>
        <w:spacing w:after="40" w:before="36"/>
      </w:pPr>
      <w:r>
        <w:rPr>
          <w:rFonts w:ascii="Arial" w:cs="Arial" w:eastAsia="Arial" w:hAnsi="Arial"/>
          <w:color w:val="111111"/>
          <w:sz w:val="18"/>
          <w:szCs w:val="18"/>
        </w:rPr>
        <w:t xml:space="preserve">Section 9. Rehabilitation and center choice</w:t>
      </w:r>
    </w:p>
    <w:p>
      <w:pPr>
        <w:pStyle w:val="ListParagraph"/>
        <w:numPr>
          <w:ilvl w:val="0"/>
          <w:numId w:val="2"/>
        </w:numPr>
        <w:spacing w:after="40" w:before="36"/>
      </w:pPr>
      <w:r>
        <w:rPr>
          <w:rFonts w:ascii="Arial" w:cs="Arial" w:eastAsia="Arial" w:hAnsi="Arial"/>
          <w:color w:val="111111"/>
          <w:sz w:val="18"/>
          <w:szCs w:val="18"/>
        </w:rPr>
        <w:t xml:space="preserve">Section 10. Questions for the team and caveats</w:t>
      </w:r>
    </w:p>
    <w:p>
      <w:r>
        <w:br w:type="page"/>
      </w:r>
    </w:p>
    <w:p>
      <w:pPr>
        <w:pStyle w:val="Heading1"/>
        <w:spacing w:after="150" w:before="420"/>
      </w:pPr>
      <w:r>
        <w:rPr>
          <w:rFonts w:ascii="Arial" w:cs="Arial" w:eastAsia="Arial" w:hAnsi="Arial"/>
          <w:b/>
          <w:bCs/>
          <w:color w:val="1F4E79"/>
          <w:sz w:val="30"/>
          <w:szCs w:val="30"/>
        </w:rPr>
        <w:t xml:space="preserve">SECTION 1. TIMELINE: FROM PLAQUE TO STROKE</w:t>
      </w:r>
    </w:p>
    <w:p>
      <w:pPr>
        <w:spacing w:after="60" w:before="50"/>
      </w:pPr>
      <w:r>
        <w:rPr>
          <w:rFonts w:ascii="Arial" w:cs="Arial" w:eastAsia="Arial" w:hAnsi="Arial"/>
          <w:color w:val="111111"/>
          <w:sz w:val="18"/>
          <w:szCs w:val="18"/>
        </w:rPr>
        <w:t xml:space="preserve">The patient has long-standing systemic atherosclerosis affecting several vascular territories. The stroke was the culmination of this process, complicating planned carotid treatment.</w:t>
      </w:r>
    </w:p>
    <w:p>
      <w:pPr>
        <w:pStyle w:val="Heading2"/>
        <w:spacing w:after="100" w:before="280"/>
      </w:pPr>
      <w:r>
        <w:rPr>
          <w:rFonts w:ascii="Arial" w:cs="Arial" w:eastAsia="Arial" w:hAnsi="Arial"/>
          <w:b/>
          <w:bCs/>
          <w:color w:val="2E75B6"/>
          <w:sz w:val="24"/>
          <w:szCs w:val="24"/>
        </w:rPr>
        <w:t xml:space="preserve">1.1 Vascular background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Period / event</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Long-standing atherosclerosis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Systemic arterial disease: carotid, lower-limb, aorta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Leg arteries</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femoro-popliteal bypass (2015), graft thrombosis (2017), multiple angioplasties and stents; occlusions of popliteal and tibial arteries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Left foot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Toe gangrene -&gt; trans-metatarsal amputation of the left foot (21.08.2023)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Fracture and joint</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femoral neck fracture (2025) -&gt; total left hip arthroplasty (04.04.2025)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Heart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Atrial fibrillation, hypertension stage 2 (risk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Lifestyle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Smoking ~50 years, 10 cigarettes/day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Carotid arteries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Bilateral plaques. Left ICA stenosis 75-80% (80% by operative grading) — indication for CEA</w:t>
            </w:r>
          </w:p>
        </w:tc>
      </w:tr>
    </w:tbl>
    <w:p>
      <w:pPr>
        <w:pStyle w:val="Heading2"/>
        <w:spacing w:after="100" w:before="280"/>
      </w:pPr>
      <w:r>
        <w:rPr>
          <w:rFonts w:ascii="Arial" w:cs="Arial" w:eastAsia="Arial" w:hAnsi="Arial"/>
          <w:b/>
          <w:bCs/>
          <w:color w:val="2E75B6"/>
          <w:sz w:val="24"/>
          <w:szCs w:val="24"/>
        </w:rPr>
        <w:t xml:space="preserve">1.2 Cause of stroke — why the thrombus formed</w:t>
      </w:r>
    </w:p>
    <w:p>
      <w:pPr>
        <w:spacing w:after="60" w:before="50"/>
      </w:pPr>
      <w:r>
        <w:rPr>
          <w:rFonts w:ascii="Arial" w:cs="Arial" w:eastAsia="Arial" w:hAnsi="Arial"/>
          <w:color w:val="111111"/>
          <w:sz w:val="18"/>
          <w:szCs w:val="18"/>
        </w:rPr>
        <w:t xml:space="preserve">The stroke developed after surgery on the left carotid artery. The key driver was simultaneous action of all three components of Virchow's triad — the classic mechanism of thrombosis: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Component</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Mechanism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Patient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1. Wall injury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Surgical arteriotomy, exposed inner layers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80000"/>
                <w:sz w:val="16"/>
                <w:szCs w:val="16"/>
              </w:rPr>
              <w:t xml:space="preserve">Active (inevitable in surgery)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2. Hypercoagulability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Systemic inflammation (CRP 14.6), active urinary infection, AF</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80000"/>
                <w:sz w:val="16"/>
                <w:szCs w:val="16"/>
              </w:rPr>
              <w:t xml:space="preserve">Active (several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3. Blood stasis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Artery clamping during surgery, AF with atrial stasis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7B5800"/>
                <w:sz w:val="16"/>
                <w:szCs w:val="16"/>
              </w:rPr>
              <w:t xml:space="preserve">Was active</w:t>
            </w:r>
          </w:p>
        </w:tc>
      </w:tr>
    </w:tbl>
    <w:p>
      <w:pPr>
        <w:spacing w:after="60" w:before="50"/>
      </w:pPr>
      <w:r>
        <w:rPr>
          <w:rFonts w:ascii="Arial" w:cs="Arial" w:eastAsia="Arial" w:hAnsi="Arial"/>
          <w:i/>
          <w:iCs/>
          <w:color w:val="555555"/>
          <w:sz w:val="18"/>
          <w:szCs w:val="18"/>
        </w:rPr>
        <w:t xml:space="preserve">The convergence of all three factors explains the unusually long thrombus (10 cm).</w:t>
      </w:r>
    </w:p>
    <w:p>
      <w:r>
        <w:br w:type="page"/>
      </w:r>
    </w:p>
    <w:p>
      <w:pPr>
        <w:pStyle w:val="Heading1"/>
        <w:spacing w:after="150" w:before="420"/>
      </w:pPr>
      <w:r>
        <w:rPr>
          <w:rFonts w:ascii="Arial" w:cs="Arial" w:eastAsia="Arial" w:hAnsi="Arial"/>
          <w:b/>
          <w:bCs/>
          <w:color w:val="1F4E79"/>
          <w:sz w:val="30"/>
          <w:szCs w:val="30"/>
        </w:rPr>
        <w:t xml:space="preserve">SECTION 2. OPERATION AND COMPLICATION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4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Event</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Details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Operation (27.05.2026)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carotid endarterectomy (plaque removal) + intraoperative heparin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6"/>
                <w:szCs w:val="16"/>
              </w:rPr>
              <w:t xml:space="preserve">Done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Complication</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10 cm thrombus in left ICA (origin to distal). Left-hemisphere ischemia. Right-sided weakness.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80000"/>
                <w:sz w:val="16"/>
                <w:szCs w:val="16"/>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Surgical response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Re-exploration + thrombectomy from left ICA. Retrograde flow restored, artery patent.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6"/>
                <w:szCs w:val="16"/>
              </w:rPr>
              <w:t xml:space="preserve">Success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Probable cause of worsening</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Cerebral hyperperfusion syndrome (on restoration of flow)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16"/>
                <w:szCs w:val="16"/>
              </w:rPr>
              <w:t xml:space="preserve">Controlled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Location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Terminal branches of left MCA, cortical regions (Broca's area)</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16"/>
                <w:szCs w:val="16"/>
              </w:rPr>
              <w:t xml:space="preserve">Cortical</w:t>
            </w:r>
          </w:p>
        </w:tc>
      </w:tr>
    </w:tbl>
    <w:p>
      <w:pPr>
        <w:spacing w:after="60" w:before="50"/>
      </w:pPr>
      <w:r>
        <w:rPr>
          <w:rFonts w:ascii="Arial" w:cs="Arial" w:eastAsia="Arial" w:hAnsi="Arial"/>
          <w:i/>
          <w:iCs/>
          <w:color w:val="555555"/>
          <w:sz w:val="18"/>
          <w:szCs w:val="18"/>
        </w:rPr>
        <w:t xml:space="preserve">The surgical approach fully complies with the international ESVS 2023 guidelines (Rec. 92): when a neurological deficit appears after flow restoration, urgent re-exploration is indicated.</w:t>
      </w:r>
    </w:p>
    <w:p>
      <w:r>
        <w:br w:type="page"/>
      </w:r>
    </w:p>
    <w:p>
      <w:pPr>
        <w:pStyle w:val="Heading1"/>
        <w:spacing w:after="150" w:before="420"/>
      </w:pPr>
      <w:r>
        <w:rPr>
          <w:rFonts w:ascii="Arial" w:cs="Arial" w:eastAsia="Arial" w:hAnsi="Arial"/>
          <w:b/>
          <w:bCs/>
          <w:color w:val="1F4E79"/>
          <w:sz w:val="30"/>
          <w:szCs w:val="30"/>
        </w:rPr>
        <w:t xml:space="preserve">SECTION 3. IMAGING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4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Date/time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Study</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Result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13:38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ASPECTS 10. No infarct yet visible. Lacunar cyst on right (old).</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14:00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MRI</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Acute ischemia in terminal branches of left MCA (left frontal lobe). NO hemorrhage. Microangiopathy Fazekas 2, atrophy GCA 1 (background age-related).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14:09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CT angiography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Occlusion of left ICA post-op. Cerebral arteries supplied via circle of Willis.</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28.05, 11:07</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CT (follow-up)</w:t>
            </w:r>
          </w:p>
        </w:tc>
        <w:tc>
          <w:tcPr>
            <w:tcW w:type="dxa" w:w="5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Infarct formed M4, M5 left frontal lobe up to 15 mm. ASPECTS 8. NO hemorrhage. NO edema.</w:t>
            </w:r>
          </w:p>
        </w:tc>
      </w:tr>
    </w:tbl>
    <w:p>
      <w:pPr>
        <w:pStyle w:val="Heading2"/>
        <w:spacing w:after="100" w:before="280"/>
      </w:pPr>
      <w:r>
        <w:rPr>
          <w:rFonts w:ascii="Arial" w:cs="Arial" w:eastAsia="Arial" w:hAnsi="Arial"/>
          <w:b/>
          <w:bCs/>
          <w:color w:val="2E75B6"/>
          <w:sz w:val="24"/>
          <w:szCs w:val="24"/>
        </w:rPr>
        <w:t xml:space="preserve">3.1 Understanding ASPECTS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ASPECTS — infarct-extent scale (0-10)</w:t>
            </w:r>
          </w:p>
          <w:p>
            <w:pPr>
              <w:spacing w:after="0" w:before="0"/>
            </w:pPr>
            <w:r>
              <w:rPr>
                <w:rFonts w:ascii="Arial" w:cs="Arial" w:eastAsia="Arial" w:hAnsi="Arial"/>
                <w:color w:val="222222"/>
                <w:sz w:val="18"/>
                <w:szCs w:val="18"/>
              </w:rPr>
              <w:t xml:space="preserve">The MCA-territory brain is divided into 10 zones; 1 point is subtracted for each affected zone. Yesterday 10 (normal), today 8 — two superficial cortical zones (M4, M5) affected. ASPECTS 8-10 = small infarct with good prognosis. Importantly, zones M4-M5 are superficial and do NOT involve the deep motor pathways — explaining why arm and leg are recovering.</w:t>
            </w:r>
          </w:p>
        </w:tc>
      </w:tr>
    </w:tbl>
    <w:p>
      <w:r>
        <w:br w:type="page"/>
      </w:r>
    </w:p>
    <w:p>
      <w:pPr>
        <w:pStyle w:val="Heading1"/>
        <w:spacing w:after="150" w:before="420"/>
      </w:pPr>
      <w:r>
        <w:rPr>
          <w:rFonts w:ascii="Arial" w:cs="Arial" w:eastAsia="Arial" w:hAnsi="Arial"/>
          <w:b/>
          <w:bCs/>
          <w:color w:val="1F4E79"/>
          <w:sz w:val="30"/>
          <w:szCs w:val="30"/>
        </w:rPr>
        <w:t xml:space="preserve">SECTION 4. NIHSS AND ECG TRAJECTORY</w:t>
      </w:r>
    </w:p>
    <w:p>
      <w:pPr>
        <w:pStyle w:val="Heading2"/>
        <w:spacing w:after="100" w:before="280"/>
      </w:pPr>
      <w:r>
        <w:rPr>
          <w:rFonts w:ascii="Arial" w:cs="Arial" w:eastAsia="Arial" w:hAnsi="Arial"/>
          <w:b/>
          <w:bCs/>
          <w:color w:val="2E75B6"/>
          <w:sz w:val="24"/>
          <w:szCs w:val="24"/>
        </w:rPr>
        <w:t xml:space="preserve">4.1 NIHSS — stroke severity scale (0-42)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NIHSS 12 — officially confirmed by the discharge summary</w:t>
            </w:r>
          </w:p>
          <w:p>
            <w:pPr>
              <w:spacing w:after="0" w:before="0"/>
            </w:pPr>
            <w:r>
              <w:rPr>
                <w:rFonts w:ascii="Arial" w:cs="Arial" w:eastAsia="Arial" w:hAnsi="Arial"/>
                <w:color w:val="222222"/>
                <w:sz w:val="18"/>
                <w:szCs w:val="18"/>
              </w:rPr>
              <w:t xml:space="preserve">The stage discharge summary of 03.06.2026 records: NIHSS 12, Rehabilitation Routing Scale (ShRM) 5, Rankin 5, Rivermead 2. NIHSS 12 is a moderate stroke (range 5-15). ShRM 5 qualifies the patient for stage-2 inpatient rehabilitation. Despite the formal score, the clinical trend is markedly positive: builds sentences, comprehension preserved, leg nearly recovered. The earlier values 7 and 9 were erroneous and removed.</w:t>
            </w:r>
          </w:p>
        </w:tc>
      </w:tr>
    </w:tbl>
    <w:p>
      <w:pPr>
        <w:pStyle w:val="Heading2"/>
        <w:spacing w:after="100" w:before="280"/>
      </w:pPr>
      <w:r>
        <w:rPr>
          <w:rFonts w:ascii="Arial" w:cs="Arial" w:eastAsia="Arial" w:hAnsi="Arial"/>
          <w:b/>
          <w:bCs/>
          <w:color w:val="2E75B6"/>
          <w:sz w:val="24"/>
          <w:szCs w:val="24"/>
        </w:rPr>
        <w:t xml:space="preserve">4.2 ECG — atrial fibrillation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6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Mean HR</w:t>
            </w:r>
          </w:p>
        </w:tc>
        <w:tc>
          <w:tcPr>
            <w:tcW w:type="dxa" w:w="5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Conclusion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(series)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49 -&gt; 99 -&gt; 106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Fluctuations: brady -&gt; normo -&gt; tachysystolic (acute-phase instability)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28.05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72</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47-72-99. Possible scar changes (cardiology question).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29.05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87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63-87-114. Ventricular extrasystole. Scar 'cannot be excluded'.</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30.05</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87</w:t>
            </w:r>
          </w:p>
        </w:tc>
        <w:tc>
          <w:tcPr>
            <w:tcW w:type="dxa" w:w="5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77-87-110. Extrasystole and scar NOT confirmed — likely transient.</w:t>
            </w:r>
          </w:p>
        </w:tc>
      </w:tr>
    </w:tbl>
    <w:p>
      <w:pPr>
        <w:spacing w:after="60" w:before="50"/>
      </w:pPr>
      <w:r>
        <w:rPr>
          <w:rFonts w:ascii="Arial" w:cs="Arial" w:eastAsia="Arial" w:hAnsi="Arial"/>
          <w:i/>
          <w:iCs/>
          <w:color w:val="555555"/>
          <w:sz w:val="18"/>
          <w:szCs w:val="18"/>
        </w:rPr>
        <w:t xml:space="preserve">Cardiac conclusion: rhythm stably controlled; the 29.05 concerns (extrasystole, scar suspicion) resolved by 30.05. Cardiology consult with echocardiography is planned, not urgent.</w:t>
      </w:r>
    </w:p>
    <w:p>
      <w:r>
        <w:br w:type="page"/>
      </w:r>
    </w:p>
    <w:p>
      <w:pPr>
        <w:pStyle w:val="Heading1"/>
        <w:spacing w:after="150" w:before="420"/>
      </w:pPr>
      <w:r>
        <w:rPr>
          <w:rFonts w:ascii="Arial" w:cs="Arial" w:eastAsia="Arial" w:hAnsi="Arial"/>
          <w:b/>
          <w:bCs/>
          <w:color w:val="1F4E79"/>
          <w:sz w:val="30"/>
          <w:szCs w:val="30"/>
        </w:rPr>
        <w:t xml:space="preserve">SECTION 5. CURRENT STATUS AND PROGNOSIS</w:t>
      </w:r>
    </w:p>
    <w:p>
      <w:pPr>
        <w:pStyle w:val="Heading2"/>
        <w:spacing w:after="100" w:before="280"/>
      </w:pPr>
      <w:r>
        <w:rPr>
          <w:rFonts w:ascii="Arial" w:cs="Arial" w:eastAsia="Arial" w:hAnsi="Arial"/>
          <w:b/>
          <w:bCs/>
          <w:color w:val="2E75B6"/>
          <w:sz w:val="24"/>
          <w:szCs w:val="24"/>
        </w:rPr>
        <w:t xml:space="preserve">5.1 Neurological status on 30.05</w:t>
      </w:r>
    </w:p>
    <w:p>
      <w:pPr>
        <w:pStyle w:val="ListParagraph"/>
        <w:numPr>
          <w:ilvl w:val="0"/>
          <w:numId w:val="2"/>
        </w:numPr>
        <w:spacing w:after="40" w:before="36"/>
      </w:pPr>
      <w:r>
        <w:rPr>
          <w:rFonts w:ascii="Arial" w:cs="Arial" w:eastAsia="Arial" w:hAnsi="Arial"/>
          <w:color w:val="111111"/>
          <w:sz w:val="18"/>
          <w:szCs w:val="18"/>
        </w:rPr>
        <w:t xml:space="preserve">Conscious, oriented, understands speech, follows commands</w:t>
      </w:r>
    </w:p>
    <w:p>
      <w:pPr>
        <w:pStyle w:val="ListParagraph"/>
        <w:numPr>
          <w:ilvl w:val="0"/>
          <w:numId w:val="2"/>
        </w:numPr>
        <w:spacing w:after="40" w:before="36"/>
      </w:pPr>
      <w:r>
        <w:rPr>
          <w:rFonts w:ascii="Arial" w:cs="Arial" w:eastAsia="Arial" w:hAnsi="Arial"/>
          <w:color w:val="111111"/>
          <w:sz w:val="18"/>
          <w:szCs w:val="18"/>
        </w:rPr>
        <w:t xml:space="preserve">Speech: complex (efferent) motor aphasia of moderate degree + kinetic dyspraxia + severe (pseudobulbar) dysarthria. Comprehension preserved.</w:t>
      </w:r>
    </w:p>
    <w:p>
      <w:pPr>
        <w:pStyle w:val="ListParagraph"/>
        <w:numPr>
          <w:ilvl w:val="0"/>
          <w:numId w:val="2"/>
        </w:numPr>
        <w:spacing w:after="40" w:before="36"/>
      </w:pPr>
      <w:r>
        <w:rPr>
          <w:rFonts w:ascii="Arial" w:cs="Arial" w:eastAsia="Arial" w:hAnsi="Arial"/>
          <w:color w:val="111111"/>
          <w:sz w:val="18"/>
          <w:szCs w:val="18"/>
        </w:rPr>
        <w:t xml:space="preserve">Right leg: active movements, nearly recovered</w:t>
      </w:r>
    </w:p>
    <w:p>
      <w:pPr>
        <w:pStyle w:val="ListParagraph"/>
        <w:numPr>
          <w:ilvl w:val="0"/>
          <w:numId w:val="2"/>
        </w:numPr>
        <w:spacing w:after="40" w:before="36"/>
      </w:pPr>
      <w:r>
        <w:rPr>
          <w:rFonts w:ascii="Arial" w:cs="Arial" w:eastAsia="Arial" w:hAnsi="Arial"/>
          <w:color w:val="111111"/>
          <w:sz w:val="18"/>
          <w:szCs w:val="18"/>
        </w:rPr>
        <w:t xml:space="preserve">Right-sided hemiparesis: arm 4/5, leg 4/5 (per discharge summary). Increased tone, Babinski on the right, right-sided hemihypesthesia.</w:t>
      </w:r>
    </w:p>
    <w:p>
      <w:pPr>
        <w:pStyle w:val="ListParagraph"/>
        <w:numPr>
          <w:ilvl w:val="0"/>
          <w:numId w:val="2"/>
        </w:numPr>
        <w:spacing w:after="40" w:before="36"/>
      </w:pPr>
      <w:r>
        <w:rPr>
          <w:rFonts w:ascii="Arial" w:cs="Arial" w:eastAsia="Arial" w:hAnsi="Arial"/>
          <w:color w:val="111111"/>
          <w:sz w:val="18"/>
          <w:szCs w:val="18"/>
        </w:rPr>
        <w:t xml:space="preserve">Swallowing preserved</w:t>
      </w:r>
    </w:p>
    <w:p>
      <w:pPr>
        <w:pStyle w:val="ListParagraph"/>
        <w:numPr>
          <w:ilvl w:val="0"/>
          <w:numId w:val="2"/>
        </w:numPr>
        <w:spacing w:after="40" w:before="36"/>
      </w:pPr>
      <w:r>
        <w:rPr>
          <w:rFonts w:ascii="Arial" w:cs="Arial" w:eastAsia="Arial" w:hAnsi="Arial"/>
          <w:color w:val="111111"/>
          <w:sz w:val="18"/>
          <w:szCs w:val="18"/>
        </w:rPr>
        <w:t xml:space="preserve">Emotional reactions preserved (recognizes family, reacts consciously)</w:t>
      </w:r>
    </w:p>
    <w:p>
      <w:pPr>
        <w:pStyle w:val="Heading2"/>
        <w:spacing w:after="100" w:before="280"/>
      </w:pPr>
      <w:r>
        <w:rPr>
          <w:rFonts w:ascii="Arial" w:cs="Arial" w:eastAsia="Arial" w:hAnsi="Arial"/>
          <w:b/>
          <w:bCs/>
          <w:color w:val="2E75B6"/>
          <w:sz w:val="24"/>
          <w:szCs w:val="24"/>
        </w:rPr>
        <w:t xml:space="preserve">5.2 Prognosis (given CT ASPECTS 8 and NIHSS trajectory)</w:t>
      </w:r>
    </w:p>
    <w:p>
      <w:pPr>
        <w:spacing w:after="60" w:before="50"/>
      </w:pPr>
      <w:r>
        <w:rPr>
          <w:rFonts w:ascii="Arial" w:cs="Arial" w:eastAsia="Arial" w:hAnsi="Arial"/>
          <w:color w:val="111111"/>
          <w:sz w:val="18"/>
          <w:szCs w:val="18"/>
        </w:rPr>
        <w:t xml:space="preserve">Small cortical infarct of the left frontal lobe (Broca's area) without involvement of deep motor pathways. This explains the whole clinical picture and defines a favorable prognosis.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Outcome (Rankin scale)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Probability</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0-1 (full recovery)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~20-30%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 significant impairment in daily life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2 (mild, independent)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~30-40%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Most likely favorable outcome; possible residual speech deficit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3 (moderate)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~20-25%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Walks with help, partial assistance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4-5 (severe)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~10-15%</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Less likely after favorable CT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Main residual deficit — likely motor aphasia</w:t>
            </w:r>
          </w:p>
          <w:p>
            <w:pPr>
              <w:spacing w:after="0" w:before="0"/>
            </w:pPr>
            <w:r>
              <w:rPr>
                <w:rFonts w:ascii="Arial" w:cs="Arial" w:eastAsia="Arial" w:hAnsi="Arial"/>
                <w:color w:val="222222"/>
                <w:sz w:val="18"/>
                <w:szCs w:val="18"/>
              </w:rPr>
              <w:t xml:space="preserve">The infarct affected Broca's area. The main residual deficit will most likely be a speech disturbance — which responds well to speech therapy. Motor function has a good prognosis because the deep pathways are not destroyed.</w:t>
            </w:r>
          </w:p>
        </w:tc>
      </w:tr>
    </w:tbl>
    <w:p>
      <w:pPr>
        <w:pStyle w:val="Heading2"/>
        <w:spacing w:after="100" w:before="280"/>
      </w:pPr>
      <w:r>
        <w:rPr>
          <w:rFonts w:ascii="Arial" w:cs="Arial" w:eastAsia="Arial" w:hAnsi="Arial"/>
          <w:b/>
          <w:bCs/>
          <w:color w:val="2E75B6"/>
          <w:sz w:val="24"/>
          <w:szCs w:val="24"/>
        </w:rPr>
        <w:t xml:space="preserve">5.3 Medico-Social Expertise (MSE) referral — context note</w:t>
      </w:r>
    </w:p>
    <w:p>
      <w:pPr>
        <w:spacing w:after="60" w:before="50"/>
      </w:pPr>
      <w:r>
        <w:rPr>
          <w:rFonts w:ascii="Arial" w:cs="Arial" w:eastAsia="Arial" w:hAnsi="Arial"/>
          <w:color w:val="111111"/>
          <w:sz w:val="18"/>
          <w:szCs w:val="18"/>
        </w:rPr>
        <w:t xml:space="preserve">A referral for Medico-Social Expertise (disability assessment) was issued (board protocol No. 88 of 01.06.2026), to be conducted at home, in absentia. The primary condition on the referral is lower-limb artery atherosclerosis (I70.2); comorbidities include cerebrovascular disease / encephalopathy with left ICA stenosis up to 75-80% (I67.8) and sequelae of the hip fracture with arthroplasty (T93.1).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50" w:before="0"/>
            </w:pPr>
            <w:r>
              <w:rPr>
                <w:rFonts w:ascii="Arial" w:cs="Arial" w:eastAsia="Arial" w:hAnsi="Arial"/>
                <w:b/>
                <w:bCs/>
                <w:color w:val="BF360C"/>
                <w:sz w:val="20"/>
                <w:szCs w:val="20"/>
              </w:rPr>
              <w:t xml:space="preserve">MSE prognosis is NOT the stroke-recovery prognosis</w:t>
            </w:r>
          </w:p>
          <w:p>
            <w:pPr>
              <w:spacing w:after="0" w:before="0"/>
            </w:pPr>
            <w:r>
              <w:rPr>
                <w:rFonts w:ascii="Arial" w:cs="Arial" w:eastAsia="Arial" w:hAnsi="Arial"/>
                <w:color w:val="222222"/>
                <w:sz w:val="18"/>
                <w:szCs w:val="18"/>
              </w:rPr>
              <w:t xml:space="preserve">The referral states 'clinical prognosis uncertain, rehabilitation potential low'. IMPORTANT: this assessment concerns the pre-stroke vascular/orthopedic status and does NOT reflect the 27.05 event or the speech/motor recovery trajectory. This pessimistic wording should not be transferred to the post-stroke rehabilitation prognosis — they assess different conditions.</w:t>
            </w:r>
          </w:p>
        </w:tc>
      </w:tr>
    </w:tbl>
    <w:p>
      <w:r>
        <w:br w:type="page"/>
      </w:r>
    </w:p>
    <w:p>
      <w:pPr>
        <w:pStyle w:val="Heading1"/>
        <w:spacing w:after="150" w:before="420"/>
      </w:pPr>
      <w:r>
        <w:rPr>
          <w:rFonts w:ascii="Arial" w:cs="Arial" w:eastAsia="Arial" w:hAnsi="Arial"/>
          <w:b/>
          <w:bCs/>
          <w:color w:val="1F4E79"/>
          <w:sz w:val="30"/>
          <w:szCs w:val="30"/>
        </w:rPr>
        <w:t xml:space="preserve">SECTION 6. RECOMMENDATIONS FOR TREATING PHYSICIANS</w:t>
      </w:r>
    </w:p>
    <w:p>
      <w:pPr>
        <w:pStyle w:val="Heading2"/>
        <w:spacing w:after="100" w:before="280"/>
      </w:pPr>
      <w:r>
        <w:rPr>
          <w:rFonts w:ascii="Arial" w:cs="Arial" w:eastAsia="Arial" w:hAnsi="Arial"/>
          <w:b/>
          <w:bCs/>
          <w:color w:val="2E75B6"/>
          <w:sz w:val="24"/>
          <w:szCs w:val="24"/>
        </w:rPr>
        <w:t xml:space="preserve">6.1 Anticoagulation (key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Anticoagulation STARTED (per discharge summary)</w:t>
            </w:r>
          </w:p>
          <w:p>
            <w:pPr>
              <w:spacing w:after="0" w:before="0"/>
            </w:pPr>
            <w:r>
              <w:rPr>
                <w:rFonts w:ascii="Arial" w:cs="Arial" w:eastAsia="Arial" w:hAnsi="Arial"/>
                <w:color w:val="222222"/>
                <w:sz w:val="18"/>
                <w:szCs w:val="18"/>
              </w:rPr>
              <w:t xml:space="preserve">Per the discharge summary, from 30.05.2026 the patient is on enoxaparin sodium 8000 anti-Xa IU s.c. twice daily (anticoagulation), plus aspirin 125 mg, atorvastatin 20 mg, bisoprolol 5 mg, valsartan 40 mg, amlodipine 5 mg, omeprazole. Absence of hemorrhagic transformation (ASPECTS 8) and the obtained coagulogram (INR ~2.08) allowed therapy to begin. Transition to an oral anticoagulant — per the team's decision.</w:t>
            </w:r>
          </w:p>
        </w:tc>
      </w:tr>
    </w:tbl>
    <w:p>
      <w:pPr>
        <w:pStyle w:val="Heading2"/>
        <w:spacing w:after="100" w:before="280"/>
      </w:pPr>
      <w:r>
        <w:rPr>
          <w:rFonts w:ascii="Arial" w:cs="Arial" w:eastAsia="Arial" w:hAnsi="Arial"/>
          <w:b/>
          <w:bCs/>
          <w:color w:val="2E75B6"/>
          <w:sz w:val="24"/>
          <w:szCs w:val="24"/>
        </w:rPr>
        <w:t xml:space="preserve">6.2 Risk-factor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Factor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Target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Systolic BP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100-130 mmHg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Protect recovery zone, prevent hyperperfusion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HR (AF)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60-100 bpm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Rate control (currently ~87, in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LDL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&lt;1.8 mmol/L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Secondary prevention, high-intensity statin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CRP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Inflammation RESOLVED: 14.6 -&gt; 1.83 mg/L (normal). Monitor over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Urinary infection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Full eradication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Reduce inflammation and thrombosis risk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Swallowing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Check before feeding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Prevent aspiration. Protein 1.2-1.5 g/kg (at 70 kg = 84-105 g/day)</w:t>
            </w:r>
          </w:p>
        </w:tc>
      </w:tr>
    </w:tbl>
    <w:p>
      <w:pPr>
        <w:pStyle w:val="Heading2"/>
        <w:spacing w:after="100" w:before="280"/>
      </w:pPr>
      <w:r>
        <w:rPr>
          <w:rFonts w:ascii="Arial" w:cs="Arial" w:eastAsia="Arial" w:hAnsi="Arial"/>
          <w:b/>
          <w:bCs/>
          <w:color w:val="2E75B6"/>
          <w:sz w:val="24"/>
          <w:szCs w:val="24"/>
        </w:rPr>
        <w:t xml:space="preserve">6.3 Additional</w:t>
      </w:r>
    </w:p>
    <w:p>
      <w:pPr>
        <w:pStyle w:val="ListParagraph"/>
        <w:numPr>
          <w:ilvl w:val="0"/>
          <w:numId w:val="2"/>
        </w:numPr>
        <w:spacing w:after="40" w:before="36"/>
      </w:pPr>
      <w:r>
        <w:rPr>
          <w:rFonts w:ascii="Arial" w:cs="Arial" w:eastAsia="Arial" w:hAnsi="Arial"/>
          <w:color w:val="111111"/>
          <w:sz w:val="18"/>
          <w:szCs w:val="18"/>
        </w:rPr>
        <w:t xml:space="preserve">Cardiology: planned echocardiogram + ideally Holter (assess extrasystole and old scar). Monitor potassium and magnesium.</w:t>
      </w:r>
    </w:p>
    <w:p>
      <w:pPr>
        <w:pStyle w:val="ListParagraph"/>
        <w:numPr>
          <w:ilvl w:val="0"/>
          <w:numId w:val="2"/>
        </w:numPr>
        <w:spacing w:after="40" w:before="36"/>
      </w:pPr>
      <w:r>
        <w:rPr>
          <w:rFonts w:ascii="Arial" w:cs="Arial" w:eastAsia="Arial" w:hAnsi="Arial"/>
          <w:color w:val="111111"/>
          <w:sz w:val="18"/>
          <w:szCs w:val="18"/>
        </w:rPr>
        <w:t xml:space="preserve">Vascular surveillance: right ICA — 35-40% plaque (Plaque RADS III), monitor, follow-up duplex in 1-3 months. Left ICA occluded, compensated via circle of Willis.</w:t>
      </w:r>
    </w:p>
    <w:p>
      <w:pPr>
        <w:pStyle w:val="ListParagraph"/>
        <w:numPr>
          <w:ilvl w:val="0"/>
          <w:numId w:val="2"/>
        </w:numPr>
        <w:spacing w:after="40" w:before="36"/>
      </w:pPr>
      <w:r>
        <w:rPr>
          <w:rFonts w:ascii="Arial" w:cs="Arial" w:eastAsia="Arial" w:hAnsi="Arial"/>
          <w:color w:val="111111"/>
          <w:sz w:val="18"/>
          <w:szCs w:val="18"/>
        </w:rPr>
        <w:t xml:space="preserve">Future MRI — account for the hip implant (1.5 Tesla standard for MR Conditional implants).</w:t>
      </w:r>
    </w:p>
    <w:p>
      <w:pPr>
        <w:pStyle w:val="ListParagraph"/>
        <w:numPr>
          <w:ilvl w:val="0"/>
          <w:numId w:val="2"/>
        </w:numPr>
        <w:spacing w:after="40" w:before="36"/>
      </w:pPr>
      <w:r>
        <w:rPr>
          <w:rFonts w:ascii="Arial" w:cs="Arial" w:eastAsia="Arial" w:hAnsi="Arial"/>
          <w:color w:val="111111"/>
          <w:sz w:val="18"/>
          <w:szCs w:val="18"/>
        </w:rPr>
        <w:t xml:space="preserve">Clarify which pre-stroke medications resume (rivaroxaban/Xarelto, amlodipine, perineva, clopidogrel, pentoxifylline) and when.</w:t>
      </w:r>
    </w:p>
    <w:p>
      <w:r>
        <w:br w:type="page"/>
      </w:r>
    </w:p>
    <w:p>
      <w:pPr>
        <w:pStyle w:val="Heading1"/>
        <w:spacing w:after="150" w:before="420"/>
      </w:pPr>
      <w:r>
        <w:rPr>
          <w:rFonts w:ascii="Arial" w:cs="Arial" w:eastAsia="Arial" w:hAnsi="Arial"/>
          <w:b/>
          <w:bCs/>
          <w:color w:val="1F4E79"/>
          <w:sz w:val="30"/>
          <w:szCs w:val="30"/>
        </w:rPr>
        <w:t xml:space="preserve">SECTION 7. RECOMMENDATIONS FOR NURSES (CARE)</w:t>
      </w:r>
    </w:p>
    <w:p>
      <w:pPr>
        <w:pStyle w:val="Heading2"/>
        <w:spacing w:after="100" w:before="280"/>
      </w:pPr>
      <w:r>
        <w:rPr>
          <w:rFonts w:ascii="Arial" w:cs="Arial" w:eastAsia="Arial" w:hAnsi="Arial"/>
          <w:b/>
          <w:bCs/>
          <w:color w:val="2E75B6"/>
          <w:sz w:val="24"/>
          <w:szCs w:val="24"/>
        </w:rPr>
        <w:t xml:space="preserve">7.1 Right arm positioning</w:t>
      </w:r>
    </w:p>
    <w:p>
      <w:pPr>
        <w:pStyle w:val="ListParagraph"/>
        <w:numPr>
          <w:ilvl w:val="0"/>
          <w:numId w:val="2"/>
        </w:numPr>
        <w:spacing w:after="40" w:before="36"/>
      </w:pPr>
      <w:r>
        <w:rPr>
          <w:rFonts w:ascii="Arial" w:cs="Arial" w:eastAsia="Arial" w:hAnsi="Arial"/>
          <w:color w:val="111111"/>
          <w:sz w:val="18"/>
          <w:szCs w:val="18"/>
        </w:rPr>
        <w:t xml:space="preserve">Pillow under the whole arm — not dangling. Shoulder slightly raised.</w:t>
      </w:r>
    </w:p>
    <w:p>
      <w:pPr>
        <w:pStyle w:val="ListParagraph"/>
        <w:numPr>
          <w:ilvl w:val="0"/>
          <w:numId w:val="2"/>
        </w:numPr>
        <w:spacing w:after="40" w:before="36"/>
      </w:pPr>
      <w:r>
        <w:rPr>
          <w:rFonts w:ascii="Arial" w:cs="Arial" w:eastAsia="Arial" w:hAnsi="Arial"/>
          <w:color w:val="111111"/>
          <w:sz w:val="18"/>
          <w:szCs w:val="18"/>
        </w:rPr>
        <w:t xml:space="preserve">Arm abducted 30-45° from the body, elbow slightly flexed.</w:t>
      </w:r>
    </w:p>
    <w:p>
      <w:pPr>
        <w:pStyle w:val="ListParagraph"/>
        <w:numPr>
          <w:ilvl w:val="0"/>
          <w:numId w:val="2"/>
        </w:numPr>
        <w:spacing w:after="40" w:before="36"/>
      </w:pPr>
      <w:r>
        <w:rPr>
          <w:rFonts w:ascii="Arial" w:cs="Arial" w:eastAsia="Arial" w:hAnsi="Arial"/>
          <w:color w:val="111111"/>
          <w:sz w:val="18"/>
          <w:szCs w:val="18"/>
        </w:rPr>
        <w:t xml:space="preserve">Palm up, fingers open (roll in the hand), thumb abducted — do NOT let it clench into a fist.</w:t>
      </w:r>
    </w:p>
    <w:p>
      <w:pPr>
        <w:pStyle w:val="ListParagraph"/>
        <w:numPr>
          <w:ilvl w:val="0"/>
          <w:numId w:val="2"/>
        </w:numPr>
        <w:spacing w:after="40" w:before="36"/>
      </w:pPr>
      <w:r>
        <w:rPr>
          <w:rFonts w:ascii="Arial" w:cs="Arial" w:eastAsia="Arial" w:hAnsi="Arial"/>
          <w:color w:val="111111"/>
          <w:sz w:val="18"/>
          <w:szCs w:val="18"/>
        </w:rPr>
        <w:t xml:space="preserve">Do NOT pull on the paralyzed arm when turning (shoulder dislocation risk).</w:t>
      </w:r>
    </w:p>
    <w:p>
      <w:pPr>
        <w:pStyle w:val="Heading2"/>
        <w:spacing w:after="100" w:before="280"/>
      </w:pPr>
      <w:r>
        <w:rPr>
          <w:rFonts w:ascii="Arial" w:cs="Arial" w:eastAsia="Arial" w:hAnsi="Arial"/>
          <w:b/>
          <w:bCs/>
          <w:color w:val="2E75B6"/>
          <w:sz w:val="24"/>
          <w:szCs w:val="24"/>
        </w:rPr>
        <w:t xml:space="preserve">7.2 Right leg positioning</w:t>
      </w:r>
    </w:p>
    <w:p>
      <w:pPr>
        <w:pStyle w:val="ListParagraph"/>
        <w:numPr>
          <w:ilvl w:val="0"/>
          <w:numId w:val="2"/>
        </w:numPr>
        <w:spacing w:after="40" w:before="36"/>
      </w:pPr>
      <w:r>
        <w:rPr>
          <w:rFonts w:ascii="Arial" w:cs="Arial" w:eastAsia="Arial" w:hAnsi="Arial"/>
          <w:color w:val="111111"/>
          <w:sz w:val="18"/>
          <w:szCs w:val="18"/>
        </w:rPr>
        <w:t xml:space="preserve">Pillow under the shin. HEEL floating free (not on mattress) — pressure-sore prevention.</w:t>
      </w:r>
    </w:p>
    <w:p>
      <w:pPr>
        <w:pStyle w:val="ListParagraph"/>
        <w:numPr>
          <w:ilvl w:val="0"/>
          <w:numId w:val="2"/>
        </w:numPr>
        <w:spacing w:after="40" w:before="36"/>
      </w:pPr>
      <w:r>
        <w:rPr>
          <w:rFonts w:ascii="Arial" w:cs="Arial" w:eastAsia="Arial" w:hAnsi="Arial"/>
          <w:color w:val="111111"/>
          <w:sz w:val="18"/>
          <w:szCs w:val="18"/>
        </w:rPr>
        <w:t xml:space="preserve">Knee slightly flexed (~10-15°). Foot at 90° to the shin (support) — foot-drop prevention.</w:t>
      </w:r>
    </w:p>
    <w:p>
      <w:pPr>
        <w:pStyle w:val="ListParagraph"/>
        <w:numPr>
          <w:ilvl w:val="0"/>
          <w:numId w:val="2"/>
        </w:numPr>
        <w:spacing w:after="40" w:before="36"/>
      </w:pPr>
      <w:r>
        <w:rPr>
          <w:rFonts w:ascii="Arial" w:cs="Arial" w:eastAsia="Arial" w:hAnsi="Arial"/>
          <w:color w:val="111111"/>
          <w:sz w:val="18"/>
          <w:szCs w:val="18"/>
        </w:rPr>
        <w:t xml:space="preserve">Roll beside the hip — against outward rotation.</w:t>
      </w:r>
    </w:p>
    <w:p>
      <w:pPr>
        <w:pStyle w:val="ListParagraph"/>
        <w:numPr>
          <w:ilvl w:val="0"/>
          <w:numId w:val="2"/>
        </w:numPr>
        <w:spacing w:after="40" w:before="36"/>
      </w:pPr>
      <w:r>
        <w:rPr>
          <w:rFonts w:ascii="Arial" w:cs="Arial" w:eastAsia="Arial" w:hAnsi="Arial"/>
          <w:color w:val="111111"/>
          <w:sz w:val="18"/>
          <w:szCs w:val="18"/>
        </w:rPr>
        <w:t xml:space="preserve">Left foot stump (post-amputation) — no direct pressure, inspect at every turn.</w:t>
      </w:r>
    </w:p>
    <w:p>
      <w:pPr>
        <w:pStyle w:val="Heading2"/>
        <w:spacing w:after="100" w:before="280"/>
      </w:pPr>
      <w:r>
        <w:rPr>
          <w:rFonts w:ascii="Arial" w:cs="Arial" w:eastAsia="Arial" w:hAnsi="Arial"/>
          <w:b/>
          <w:bCs/>
          <w:color w:val="2E75B6"/>
          <w:sz w:val="24"/>
          <w:szCs w:val="24"/>
        </w:rPr>
        <w:t xml:space="preserve">7.3 Turns and pressure sores</w:t>
      </w:r>
    </w:p>
    <w:p>
      <w:pPr>
        <w:pStyle w:val="ListParagraph"/>
        <w:numPr>
          <w:ilvl w:val="0"/>
          <w:numId w:val="2"/>
        </w:numPr>
        <w:spacing w:after="40" w:before="36"/>
      </w:pPr>
      <w:r>
        <w:rPr>
          <w:rFonts w:ascii="Arial" w:cs="Arial" w:eastAsia="Arial" w:hAnsi="Arial"/>
          <w:color w:val="111111"/>
          <w:sz w:val="18"/>
          <w:szCs w:val="18"/>
        </w:rPr>
        <w:t xml:space="preserve">Reposition every 2 hours: back -&gt; left (healthy) side -&gt; back. Do NOT place on the right (affected) side.</w:t>
      </w:r>
    </w:p>
    <w:p>
      <w:pPr>
        <w:pStyle w:val="ListParagraph"/>
        <w:numPr>
          <w:ilvl w:val="0"/>
          <w:numId w:val="2"/>
        </w:numPr>
        <w:spacing w:after="40" w:before="36"/>
      </w:pPr>
      <w:r>
        <w:rPr>
          <w:rFonts w:ascii="Arial" w:cs="Arial" w:eastAsia="Arial" w:hAnsi="Arial"/>
          <w:color w:val="111111"/>
          <w:sz w:val="18"/>
          <w:szCs w:val="18"/>
        </w:rPr>
        <w:t xml:space="preserve">Risk zones: sacrum, heels (especially right), shoulder blades, elbows, occiput, ear, foot stump.</w:t>
      </w:r>
    </w:p>
    <w:p>
      <w:pPr>
        <w:pStyle w:val="ListParagraph"/>
        <w:numPr>
          <w:ilvl w:val="0"/>
          <w:numId w:val="2"/>
        </w:numPr>
        <w:spacing w:after="40" w:before="36"/>
      </w:pPr>
      <w:r>
        <w:rPr>
          <w:rFonts w:ascii="Arial" w:cs="Arial" w:eastAsia="Arial" w:hAnsi="Arial"/>
          <w:color w:val="111111"/>
          <w:sz w:val="18"/>
          <w:szCs w:val="18"/>
        </w:rPr>
        <w:t xml:space="preserve">Sheet without wrinkles. Skin dry. Do NOT rub reddened areas.</w:t>
      </w:r>
    </w:p>
    <w:p>
      <w:pPr>
        <w:pStyle w:val="Heading2"/>
        <w:spacing w:after="100" w:before="280"/>
      </w:pPr>
      <w:r>
        <w:rPr>
          <w:rFonts w:ascii="Arial" w:cs="Arial" w:eastAsia="Arial" w:hAnsi="Arial"/>
          <w:b/>
          <w:bCs/>
          <w:color w:val="2E75B6"/>
          <w:sz w:val="24"/>
          <w:szCs w:val="24"/>
        </w:rPr>
        <w:t xml:space="preserve">7.4 Night warning signs (call doctor immediately)</w:t>
      </w:r>
    </w:p>
    <w:p>
      <w:pPr>
        <w:pStyle w:val="ListParagraph"/>
        <w:numPr>
          <w:ilvl w:val="0"/>
          <w:numId w:val="2"/>
        </w:numPr>
        <w:spacing w:after="40" w:before="36"/>
      </w:pPr>
      <w:r>
        <w:rPr>
          <w:rFonts w:ascii="Arial" w:cs="Arial" w:eastAsia="Arial" w:hAnsi="Arial"/>
          <w:color w:val="111111"/>
          <w:sz w:val="18"/>
          <w:szCs w:val="18"/>
        </w:rPr>
        <w:t xml:space="preserve">Worsening consciousness, new facial asymmetry, sharp BP rise &gt;160.</w:t>
      </w:r>
    </w:p>
    <w:p>
      <w:pPr>
        <w:pStyle w:val="ListParagraph"/>
        <w:numPr>
          <w:ilvl w:val="0"/>
          <w:numId w:val="2"/>
        </w:numPr>
        <w:spacing w:after="40" w:before="36"/>
      </w:pPr>
      <w:r>
        <w:rPr>
          <w:rFonts w:ascii="Arial" w:cs="Arial" w:eastAsia="Arial" w:hAnsi="Arial"/>
          <w:color w:val="111111"/>
          <w:sz w:val="18"/>
          <w:szCs w:val="18"/>
        </w:rPr>
        <w:t xml:space="preserve">Noisy/gurgling breathing (aspiration risk), seizures, vomiting.</w:t>
      </w:r>
    </w:p>
    <w:p>
      <w:pPr>
        <w:pStyle w:val="ListParagraph"/>
        <w:numPr>
          <w:ilvl w:val="0"/>
          <w:numId w:val="2"/>
        </w:numPr>
        <w:spacing w:after="40" w:before="36"/>
      </w:pPr>
      <w:r>
        <w:rPr>
          <w:rFonts w:ascii="Arial" w:cs="Arial" w:eastAsia="Arial" w:hAnsi="Arial"/>
          <w:color w:val="111111"/>
          <w:sz w:val="18"/>
          <w:szCs w:val="18"/>
        </w:rPr>
        <w:t xml:space="preserve">Bleeding from nose/gums (on anticoagulation), temperature &gt;38°C.</w:t>
      </w:r>
    </w:p>
    <w:p>
      <w:pPr>
        <w:pStyle w:val="ListParagraph"/>
        <w:numPr>
          <w:ilvl w:val="0"/>
          <w:numId w:val="2"/>
        </w:numPr>
        <w:spacing w:after="40" w:before="36"/>
      </w:pPr>
      <w:r>
        <w:rPr>
          <w:rFonts w:ascii="Arial" w:cs="Arial" w:eastAsia="Arial" w:hAnsi="Arial"/>
          <w:color w:val="111111"/>
          <w:sz w:val="18"/>
          <w:szCs w:val="18"/>
        </w:rPr>
        <w:t xml:space="preserve">Redness/pain at the neck surgery site.</w:t>
      </w:r>
    </w:p>
    <w:p>
      <w:r>
        <w:br w:type="page"/>
      </w:r>
    </w:p>
    <w:p>
      <w:pPr>
        <w:pStyle w:val="Heading1"/>
        <w:spacing w:after="150" w:before="420"/>
      </w:pPr>
      <w:r>
        <w:rPr>
          <w:rFonts w:ascii="Arial" w:cs="Arial" w:eastAsia="Arial" w:hAnsi="Arial"/>
          <w:b/>
          <w:bCs/>
          <w:color w:val="1F4E79"/>
          <w:sz w:val="30"/>
          <w:szCs w:val="30"/>
        </w:rPr>
        <w:t xml:space="preserve">SECTION 8. RECOMMENDATIONS FOR THE SPEECH THERAPIST</w:t>
      </w:r>
    </w:p>
    <w:p>
      <w:pPr>
        <w:spacing w:after="60" w:before="50"/>
      </w:pPr>
      <w:r>
        <w:rPr>
          <w:rFonts w:ascii="Arial" w:cs="Arial" w:eastAsia="Arial" w:hAnsi="Arial"/>
          <w:color w:val="111111"/>
          <w:sz w:val="18"/>
          <w:szCs w:val="18"/>
        </w:rPr>
        <w:t xml:space="preserve">Leading deficit — motor (Broca's) aphasia with preserved comprehension. Multilingual patient: Russian (native), English, Swahili.</w:t>
      </w:r>
    </w:p>
    <w:p>
      <w:pPr>
        <w:pStyle w:val="Heading2"/>
        <w:spacing w:after="100" w:before="280"/>
      </w:pPr>
      <w:r>
        <w:rPr>
          <w:rFonts w:ascii="Arial" w:cs="Arial" w:eastAsia="Arial" w:hAnsi="Arial"/>
          <w:b/>
          <w:bCs/>
          <w:color w:val="2E75B6"/>
          <w:sz w:val="24"/>
          <w:szCs w:val="24"/>
        </w:rPr>
        <w:t xml:space="preserve">8.1 Evidence-based methods</w:t>
      </w:r>
    </w:p>
    <w:p>
      <w:pPr>
        <w:pStyle w:val="ListParagraph"/>
        <w:numPr>
          <w:ilvl w:val="0"/>
          <w:numId w:val="2"/>
        </w:numPr>
        <w:spacing w:after="40" w:before="36"/>
      </w:pPr>
      <w:r>
        <w:rPr>
          <w:rFonts w:ascii="Arial" w:cs="Arial" w:eastAsia="Arial" w:hAnsi="Arial"/>
          <w:color w:val="111111"/>
          <w:sz w:val="18"/>
          <w:szCs w:val="18"/>
        </w:rPr>
        <w:t xml:space="preserve">Melodic Intonation Therapy (MIT) — singing/intoning phrases; proven for motor aphasia with preserved comprehension.</w:t>
      </w:r>
    </w:p>
    <w:p>
      <w:pPr>
        <w:pStyle w:val="ListParagraph"/>
        <w:numPr>
          <w:ilvl w:val="0"/>
          <w:numId w:val="2"/>
        </w:numPr>
        <w:spacing w:after="40" w:before="36"/>
      </w:pPr>
      <w:r>
        <w:rPr>
          <w:rFonts w:ascii="Arial" w:cs="Arial" w:eastAsia="Arial" w:hAnsi="Arial"/>
          <w:color w:val="111111"/>
          <w:sz w:val="18"/>
          <w:szCs w:val="18"/>
        </w:rPr>
        <w:t xml:space="preserve">Semantic Feature Analysis (SFA) — naming via object features.</w:t>
      </w:r>
    </w:p>
    <w:p>
      <w:pPr>
        <w:pStyle w:val="ListParagraph"/>
        <w:numPr>
          <w:ilvl w:val="0"/>
          <w:numId w:val="2"/>
        </w:numPr>
        <w:spacing w:after="40" w:before="36"/>
      </w:pPr>
      <w:r>
        <w:rPr>
          <w:rFonts w:ascii="Arial" w:cs="Arial" w:eastAsia="Arial" w:hAnsi="Arial"/>
          <w:color w:val="111111"/>
          <w:sz w:val="18"/>
          <w:szCs w:val="18"/>
        </w:rPr>
        <w:t xml:space="preserve">Script Training — 5-10 functional phrases to automaticity ('I need water', 'Where is my granddaughter?').</w:t>
      </w:r>
    </w:p>
    <w:p>
      <w:pPr>
        <w:pStyle w:val="ListParagraph"/>
        <w:numPr>
          <w:ilvl w:val="0"/>
          <w:numId w:val="2"/>
        </w:numPr>
        <w:spacing w:after="40" w:before="36"/>
      </w:pPr>
      <w:r>
        <w:rPr>
          <w:rFonts w:ascii="Arial" w:cs="Arial" w:eastAsia="Arial" w:hAnsi="Arial"/>
          <w:color w:val="111111"/>
          <w:sz w:val="18"/>
          <w:szCs w:val="18"/>
        </w:rPr>
        <w:t xml:space="preserve">Intensity &gt;=3 hours/week, short frequent sessions.</w:t>
      </w:r>
    </w:p>
    <w:p>
      <w:pPr>
        <w:pStyle w:val="Heading2"/>
        <w:spacing w:after="100" w:before="280"/>
      </w:pPr>
      <w:r>
        <w:rPr>
          <w:rFonts w:ascii="Arial" w:cs="Arial" w:eastAsia="Arial" w:hAnsi="Arial"/>
          <w:b/>
          <w:bCs/>
          <w:color w:val="2E75B6"/>
          <w:sz w:val="24"/>
          <w:szCs w:val="24"/>
        </w:rPr>
        <w:t xml:space="preserve">8.2 Multilingual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50" w:before="0"/>
            </w:pPr>
            <w:r>
              <w:rPr>
                <w:rFonts w:ascii="Arial" w:cs="Arial" w:eastAsia="Arial" w:hAnsi="Arial"/>
                <w:b/>
                <w:bCs/>
                <w:color w:val="4A148C"/>
                <w:sz w:val="20"/>
                <w:szCs w:val="20"/>
              </w:rPr>
              <w:t xml:space="preserve">Therapy base — Russian, with support for other languages</w:t>
            </w:r>
          </w:p>
          <w:p>
            <w:pPr>
              <w:spacing w:after="0" w:before="0"/>
            </w:pPr>
            <w:r>
              <w:rPr>
                <w:rFonts w:ascii="Arial" w:cs="Arial" w:eastAsia="Arial" w:hAnsi="Arial"/>
                <w:color w:val="222222"/>
                <w:sz w:val="18"/>
                <w:szCs w:val="18"/>
              </w:rPr>
              <w:t xml:space="preserve">Treat in Russian (native + environmental language) — gives the largest effect and transfer to other languages. Maintain English and Swahili through daily conversation and translation equivalents (one concept across three languages in one session). Languages are NOT lost — they are 'inhibited' but remain accessible. No Swahili specialists available — maintain via family and recordings.</w:t>
            </w:r>
          </w:p>
        </w:tc>
      </w:tr>
    </w:tbl>
    <w:p>
      <w:pPr>
        <w:pStyle w:val="Heading2"/>
        <w:spacing w:after="100" w:before="280"/>
      </w:pPr>
      <w:r>
        <w:rPr>
          <w:rFonts w:ascii="Arial" w:cs="Arial" w:eastAsia="Arial" w:hAnsi="Arial"/>
          <w:b/>
          <w:bCs/>
          <w:color w:val="2E75B6"/>
          <w:sz w:val="24"/>
          <w:szCs w:val="24"/>
        </w:rPr>
        <w:t xml:space="preserve">8.3 How to communicate with the patient</w:t>
      </w:r>
    </w:p>
    <w:p>
      <w:pPr>
        <w:pStyle w:val="ListParagraph"/>
        <w:numPr>
          <w:ilvl w:val="0"/>
          <w:numId w:val="2"/>
        </w:numPr>
        <w:spacing w:after="40" w:before="36"/>
      </w:pPr>
      <w:r>
        <w:rPr>
          <w:rFonts w:ascii="Arial" w:cs="Arial" w:eastAsia="Arial" w:hAnsi="Arial"/>
          <w:color w:val="111111"/>
          <w:sz w:val="18"/>
          <w:szCs w:val="18"/>
        </w:rPr>
        <w:t xml:space="preserve">Short closed questions ('Want water?'), picture cards, time to respond.</w:t>
      </w:r>
    </w:p>
    <w:p>
      <w:pPr>
        <w:pStyle w:val="ListParagraph"/>
        <w:numPr>
          <w:ilvl w:val="0"/>
          <w:numId w:val="2"/>
        </w:numPr>
        <w:spacing w:after="40" w:before="36"/>
      </w:pPr>
      <w:r>
        <w:rPr>
          <w:rFonts w:ascii="Arial" w:cs="Arial" w:eastAsia="Arial" w:hAnsi="Arial"/>
          <w:color w:val="111111"/>
          <w:sz w:val="18"/>
          <w:szCs w:val="18"/>
        </w:rPr>
        <w:t xml:space="preserve">Speak normally, as to an adult — he understands everything.</w:t>
      </w:r>
    </w:p>
    <w:p>
      <w:pPr>
        <w:pStyle w:val="ListParagraph"/>
        <w:numPr>
          <w:ilvl w:val="0"/>
          <w:numId w:val="2"/>
        </w:numPr>
        <w:spacing w:after="40" w:before="36"/>
      </w:pPr>
      <w:r>
        <w:rPr>
          <w:rFonts w:ascii="Arial" w:cs="Arial" w:eastAsia="Arial" w:hAnsi="Arial"/>
          <w:color w:val="111111"/>
          <w:sz w:val="18"/>
          <w:szCs w:val="18"/>
        </w:rPr>
        <w:t xml:space="preserve">Do NOT demand 'say it properly', do not repeat questions many times.</w:t>
      </w:r>
    </w:p>
    <w:p>
      <w:pPr>
        <w:pStyle w:val="ListParagraph"/>
        <w:numPr>
          <w:ilvl w:val="0"/>
          <w:numId w:val="2"/>
        </w:numPr>
        <w:spacing w:after="40" w:before="36"/>
      </w:pPr>
      <w:r>
        <w:rPr>
          <w:rFonts w:ascii="Arial" w:cs="Arial" w:eastAsia="Arial" w:hAnsi="Arial"/>
          <w:color w:val="111111"/>
          <w:sz w:val="18"/>
          <w:szCs w:val="18"/>
        </w:rPr>
        <w:t xml:space="preserve">Language mixing is a normal compensatory strategy, not an error.</w:t>
      </w:r>
    </w:p>
    <w:p>
      <w:r>
        <w:br w:type="page"/>
      </w:r>
    </w:p>
    <w:p>
      <w:pPr>
        <w:pStyle w:val="Heading1"/>
        <w:spacing w:after="150" w:before="420"/>
      </w:pPr>
      <w:r>
        <w:rPr>
          <w:rFonts w:ascii="Arial" w:cs="Arial" w:eastAsia="Arial" w:hAnsi="Arial"/>
          <w:b/>
          <w:bCs/>
          <w:color w:val="1F4E79"/>
          <w:sz w:val="30"/>
          <w:szCs w:val="30"/>
        </w:rPr>
        <w:t xml:space="preserve">SECTION 9. REHABILITATION AND CENTER CHOICE</w:t>
      </w:r>
    </w:p>
    <w:p>
      <w:pPr>
        <w:pStyle w:val="Heading2"/>
        <w:spacing w:after="100" w:before="280"/>
      </w:pPr>
      <w:r>
        <w:rPr>
          <w:rFonts w:ascii="Arial" w:cs="Arial" w:eastAsia="Arial" w:hAnsi="Arial"/>
          <w:b/>
          <w:bCs/>
          <w:color w:val="2E75B6"/>
          <w:sz w:val="24"/>
          <w:szCs w:val="24"/>
        </w:rPr>
        <w:t xml:space="preserve">9.1 Early rehabilitation principles</w:t>
      </w:r>
    </w:p>
    <w:p>
      <w:pPr>
        <w:pStyle w:val="ListParagraph"/>
        <w:numPr>
          <w:ilvl w:val="0"/>
          <w:numId w:val="2"/>
        </w:numPr>
        <w:spacing w:after="40" w:before="36"/>
      </w:pPr>
      <w:r>
        <w:rPr>
          <w:rFonts w:ascii="Arial" w:cs="Arial" w:eastAsia="Arial" w:hAnsi="Arial"/>
          <w:color w:val="111111"/>
          <w:sz w:val="18"/>
          <w:szCs w:val="18"/>
        </w:rPr>
        <w:t xml:space="preserve">Short frequent sessions (2-3/day, 10-20 min), NOT an intensive marathon (per AVERT III, early high-intensity mobilization is harmful).</w:t>
      </w:r>
    </w:p>
    <w:p>
      <w:pPr>
        <w:pStyle w:val="ListParagraph"/>
        <w:numPr>
          <w:ilvl w:val="0"/>
          <w:numId w:val="2"/>
        </w:numPr>
        <w:spacing w:after="40" w:before="36"/>
      </w:pPr>
      <w:r>
        <w:rPr>
          <w:rFonts w:ascii="Arial" w:cs="Arial" w:eastAsia="Arial" w:hAnsi="Arial"/>
          <w:color w:val="111111"/>
          <w:sz w:val="18"/>
          <w:szCs w:val="18"/>
        </w:rPr>
        <w:t xml:space="preserve">Mirror therapy for the right arm from the first days.</w:t>
      </w:r>
    </w:p>
    <w:p>
      <w:pPr>
        <w:pStyle w:val="ListParagraph"/>
        <w:numPr>
          <w:ilvl w:val="0"/>
          <w:numId w:val="2"/>
        </w:numPr>
        <w:spacing w:after="40" w:before="36"/>
      </w:pPr>
      <w:r>
        <w:rPr>
          <w:rFonts w:ascii="Arial" w:cs="Arial" w:eastAsia="Arial" w:hAnsi="Arial"/>
          <w:color w:val="111111"/>
          <w:sz w:val="18"/>
          <w:szCs w:val="18"/>
        </w:rPr>
        <w:t xml:space="preserve">Nutrition: 1.2-1.5 g protein per kg body weight per day.</w:t>
      </w:r>
    </w:p>
    <w:p>
      <w:pPr>
        <w:pStyle w:val="ListParagraph"/>
        <w:numPr>
          <w:ilvl w:val="0"/>
          <w:numId w:val="2"/>
        </w:numPr>
        <w:spacing w:after="40" w:before="36"/>
      </w:pPr>
      <w:r>
        <w:rPr>
          <w:rFonts w:ascii="Arial" w:cs="Arial" w:eastAsia="Arial" w:hAnsi="Arial"/>
          <w:color w:val="111111"/>
          <w:sz w:val="18"/>
          <w:szCs w:val="18"/>
        </w:rPr>
        <w:t xml:space="preserve">Sleep in darkness — important for neuroplasticity.</w:t>
      </w:r>
    </w:p>
    <w:p>
      <w:pPr>
        <w:pStyle w:val="Heading2"/>
        <w:spacing w:after="100" w:before="280"/>
      </w:pPr>
      <w:r>
        <w:rPr>
          <w:rFonts w:ascii="Arial" w:cs="Arial" w:eastAsia="Arial" w:hAnsi="Arial"/>
          <w:b/>
          <w:bCs/>
          <w:color w:val="2E75B6"/>
          <w:sz w:val="24"/>
          <w:szCs w:val="24"/>
        </w:rPr>
        <w:t xml:space="preserve">9.2 Recommended centers (by combined factors)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Center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Access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Profile for this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FNKC RR (Negovsky), Lytkino, Solnechnogorsk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out-of-region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Priority #1: own ICU + speech service + close to Zelenograd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CPRiN (Shklovsky), Moscow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(Moscow residents)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Strongest aphasiology; for a targeted speech course at stage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FCMN FMBA, Moscow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all regions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Lead national stroke center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Pirogov NMHC Rehab Clinic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all regions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Robotic base + somatic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'Three Sisters' (MO, Raiki)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Paid / regional OMS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Fast admission, heavy patients, from ~28,500 RUB/day</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Recommended strategy</w:t>
            </w:r>
          </w:p>
          <w:p>
            <w:pPr>
              <w:spacing w:after="0" w:before="0"/>
            </w:pPr>
            <w:r>
              <w:rPr>
                <w:rFonts w:ascii="Arial" w:cs="Arial" w:eastAsia="Arial" w:hAnsi="Arial"/>
                <w:color w:val="222222"/>
                <w:sz w:val="18"/>
                <w:szCs w:val="18"/>
              </w:rPr>
              <w:t xml:space="preserve">Stage 1: apply in parallel via OMS to FNKC RR (Lytkino), FCMN FMBA, and the Pirogov Clinic. Stage 2: targeted aphasia course at CPRiN after somatic stabilization. Backup — paid admission to 'Three Sisters' if OMS places are delayed (neuroplasticity window is the first 3-6 months).</w:t>
            </w:r>
          </w:p>
        </w:tc>
      </w:tr>
    </w:tbl>
    <w:p>
      <w:r>
        <w:br w:type="page"/>
      </w:r>
    </w:p>
    <w:p>
      <w:pPr>
        <w:pStyle w:val="Heading1"/>
        <w:spacing w:after="150" w:before="420"/>
      </w:pPr>
      <w:r>
        <w:rPr>
          <w:rFonts w:ascii="Arial" w:cs="Arial" w:eastAsia="Arial" w:hAnsi="Arial"/>
          <w:b/>
          <w:bCs/>
          <w:color w:val="1F4E79"/>
          <w:sz w:val="30"/>
          <w:szCs w:val="30"/>
        </w:rPr>
        <w:t xml:space="preserve">SECTION 10. QUESTIONS FOR THE TEAM</w:t>
      </w:r>
    </w:p>
    <w:p>
      <w:pPr>
        <w:pStyle w:val="ListParagraph"/>
        <w:numPr>
          <w:ilvl w:val="0"/>
          <w:numId w:val="3"/>
        </w:numPr>
        <w:spacing w:after="45" w:before="40"/>
      </w:pPr>
      <w:r>
        <w:rPr>
          <w:rFonts w:ascii="Arial" w:cs="Arial" w:eastAsia="Arial" w:hAnsi="Arial"/>
          <w:sz w:val="18"/>
          <w:szCs w:val="18"/>
        </w:rPr>
        <w:t xml:space="preserve">Coagulogram result — when does anticoagulation start and with which drug (apixaban often preferred at 83)?</w:t>
      </w:r>
    </w:p>
    <w:p>
      <w:pPr>
        <w:pStyle w:val="ListParagraph"/>
        <w:numPr>
          <w:ilvl w:val="0"/>
          <w:numId w:val="3"/>
        </w:numPr>
        <w:spacing w:after="45" w:before="40"/>
      </w:pPr>
      <w:r>
        <w:rPr>
          <w:rFonts w:ascii="Arial" w:cs="Arial" w:eastAsia="Arial" w:hAnsi="Arial"/>
          <w:sz w:val="18"/>
          <w:szCs w:val="18"/>
        </w:rPr>
        <w:t xml:space="preserve">Current NIHSS on the neurologist's latest assessment?</w:t>
      </w:r>
    </w:p>
    <w:p>
      <w:pPr>
        <w:pStyle w:val="ListParagraph"/>
        <w:numPr>
          <w:ilvl w:val="0"/>
          <w:numId w:val="3"/>
        </w:numPr>
        <w:spacing w:after="45" w:before="40"/>
      </w:pPr>
      <w:r>
        <w:rPr>
          <w:rFonts w:ascii="Arial" w:cs="Arial" w:eastAsia="Arial" w:hAnsi="Arial"/>
          <w:sz w:val="18"/>
          <w:szCs w:val="18"/>
        </w:rPr>
        <w:t xml:space="preserve">When is transfer from ICU to neurology/rehabilitation ward?</w:t>
      </w:r>
    </w:p>
    <w:p>
      <w:pPr>
        <w:pStyle w:val="ListParagraph"/>
        <w:numPr>
          <w:ilvl w:val="0"/>
          <w:numId w:val="3"/>
        </w:numPr>
        <w:spacing w:after="45" w:before="40"/>
      </w:pPr>
      <w:r>
        <w:rPr>
          <w:rFonts w:ascii="Arial" w:cs="Arial" w:eastAsia="Arial" w:hAnsi="Arial"/>
          <w:sz w:val="18"/>
          <w:szCs w:val="18"/>
        </w:rPr>
        <w:t xml:space="preserve">When does speech therapy begin?</w:t>
      </w:r>
    </w:p>
    <w:p>
      <w:pPr>
        <w:pStyle w:val="ListParagraph"/>
        <w:numPr>
          <w:ilvl w:val="0"/>
          <w:numId w:val="3"/>
        </w:numPr>
        <w:spacing w:after="45" w:before="40"/>
      </w:pPr>
      <w:r>
        <w:rPr>
          <w:rFonts w:ascii="Arial" w:cs="Arial" w:eastAsia="Arial" w:hAnsi="Arial"/>
          <w:sz w:val="18"/>
          <w:szCs w:val="18"/>
        </w:rPr>
        <w:t xml:space="preserve">Will rivaroxaban (Xarelto) resume or a different drug?</w:t>
      </w:r>
    </w:p>
    <w:p>
      <w:pPr>
        <w:pStyle w:val="ListParagraph"/>
        <w:numPr>
          <w:ilvl w:val="0"/>
          <w:numId w:val="3"/>
        </w:numPr>
        <w:spacing w:after="45" w:before="40"/>
      </w:pPr>
      <w:r>
        <w:rPr>
          <w:rFonts w:ascii="Arial" w:cs="Arial" w:eastAsia="Arial" w:hAnsi="Arial"/>
          <w:sz w:val="18"/>
          <w:szCs w:val="18"/>
        </w:rPr>
        <w:t xml:space="preserve">Is a cardiology consult and Holter needed (scar, extrasystole)?</w:t>
      </w:r>
    </w:p>
    <w:p>
      <w:pPr>
        <w:pStyle w:val="Heading2"/>
        <w:spacing w:after="100" w:before="280"/>
      </w:pPr>
      <w:r>
        <w:rPr>
          <w:rFonts w:ascii="Arial" w:cs="Arial" w:eastAsia="Arial" w:hAnsi="Arial"/>
          <w:b/>
          <w:bCs/>
          <w:color w:val="2E75B6"/>
          <w:sz w:val="24"/>
          <w:szCs w:val="24"/>
        </w:rPr>
        <w:t xml:space="preserve">Important caveats</w:t>
      </w:r>
    </w:p>
    <w:p>
      <w:pPr>
        <w:pStyle w:val="ListParagraph"/>
        <w:numPr>
          <w:ilvl w:val="0"/>
          <w:numId w:val="2"/>
        </w:numPr>
        <w:spacing w:after="40" w:before="36"/>
      </w:pPr>
      <w:r>
        <w:rPr>
          <w:rFonts w:ascii="Arial" w:cs="Arial" w:eastAsia="Arial" w:hAnsi="Arial"/>
          <w:color w:val="555555"/>
          <w:sz w:val="18"/>
          <w:szCs w:val="18"/>
        </w:rPr>
        <w:t xml:space="preserve">Prognostic percentages are population statistics for ASPECTS 8, not a prediction for this individual.</w:t>
      </w:r>
    </w:p>
    <w:p>
      <w:pPr>
        <w:pStyle w:val="ListParagraph"/>
        <w:numPr>
          <w:ilvl w:val="0"/>
          <w:numId w:val="2"/>
        </w:numPr>
        <w:spacing w:after="40" w:before="36"/>
      </w:pPr>
      <w:r>
        <w:rPr>
          <w:rFonts w:ascii="Arial" w:cs="Arial" w:eastAsia="Arial" w:hAnsi="Arial"/>
          <w:color w:val="555555"/>
          <w:sz w:val="18"/>
          <w:szCs w:val="18"/>
        </w:rPr>
        <w:t xml:space="preserve">Infarct size 'up to 15 mm' is linear per the CT description, not a volume in mL.</w:t>
      </w:r>
    </w:p>
    <w:p>
      <w:pPr>
        <w:pStyle w:val="ListParagraph"/>
        <w:numPr>
          <w:ilvl w:val="0"/>
          <w:numId w:val="2"/>
        </w:numPr>
        <w:spacing w:after="40" w:before="36"/>
      </w:pPr>
      <w:r>
        <w:rPr>
          <w:rFonts w:ascii="Arial" w:cs="Arial" w:eastAsia="Arial" w:hAnsi="Arial"/>
          <w:color w:val="555555"/>
          <w:sz w:val="18"/>
          <w:szCs w:val="18"/>
        </w:rPr>
        <w:t xml:space="preserve">Timing and choice of anticoagulant are determined only by physicians per the full coagulogram and bleeding risk.</w:t>
      </w:r>
    </w:p>
    <w:p>
      <w:pPr>
        <w:pStyle w:val="ListParagraph"/>
        <w:numPr>
          <w:ilvl w:val="0"/>
          <w:numId w:val="2"/>
        </w:numPr>
        <w:spacing w:after="40" w:before="36"/>
      </w:pPr>
      <w:r>
        <w:rPr>
          <w:rFonts w:ascii="Arial" w:cs="Arial" w:eastAsia="Arial" w:hAnsi="Arial"/>
          <w:color w:val="555555"/>
          <w:sz w:val="18"/>
          <w:szCs w:val="18"/>
        </w:rPr>
        <w:t xml:space="preserve">Suspicion of an old myocardial scar is reduced on ECG trend but needs planned echocardiographic verification.</w:t>
      </w:r>
    </w:p>
    <w:p>
      <w:pPr>
        <w:pStyle w:val="ListParagraph"/>
        <w:numPr>
          <w:ilvl w:val="0"/>
          <w:numId w:val="2"/>
        </w:numPr>
        <w:spacing w:after="40" w:before="36"/>
      </w:pPr>
      <w:r>
        <w:rPr>
          <w:rFonts w:ascii="Arial" w:cs="Arial" w:eastAsia="Arial" w:hAnsi="Arial"/>
          <w:color w:val="555555"/>
          <w:sz w:val="18"/>
          <w:szCs w:val="18"/>
        </w:rPr>
        <w:t xml:space="preserve">This document is a summary of available data and analysis, not a medical opinion. All decisions are with the treating physicians.</w:t>
      </w:r>
    </w:p>
    <w:p>
      <w:pPr>
        <w:spacing w:after="60" w:before="50"/>
      </w:pPr>
      <w:r>
        <w:rPr>
          <w:rFonts w:ascii="Arial" w:cs="Arial" w:eastAsia="Arial" w:hAnsi="Arial"/>
          <w:color w:val="111111"/>
          <w:sz w:val="18"/>
          <w:szCs w:val="18"/>
        </w:rPr>
        <w:t xml:space="preserve"/>
      </w:r>
    </w:p>
    <w:p>
      <w:pPr>
        <w:pBdr>
          <w:top w:val="single" w:color="BDC3C7" w:sz="4" w:space="8"/>
        </w:pBdr>
        <w:spacing w:after="60" w:before="200"/>
      </w:pPr>
      <w:r>
        <w:rPr>
          <w:rFonts w:ascii="Arial" w:cs="Arial" w:eastAsia="Arial" w:hAnsi="Arial"/>
          <w:color w:val="888888"/>
          <w:sz w:val="14"/>
          <w:szCs w:val="14"/>
        </w:rPr>
        <w:t xml:space="preserve">Consolidated case history. Sources: 16 studies from EMIAS (CT, MRI, CT angiography, echocardiography, ECG series, vascular/organ ultrasound, discharge summary). Evidence base: ESVS 2023, AHA/ASA 2016, ESO 2025, ELAN 2023, OPTIMAS 2024, CATALYST 2025, AVERT 2015. Compiled 30.05.2026. Not a medical opinion.</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2026-06-04T07:30:34.194Z</dcterms:created>
  <dcterms:modified xsi:type="dcterms:W3CDTF">2026-06-04T07:30:34.194Z</dcterms:modified>
</cp:coreProperties>
</file>

<file path=docProps/custom.xml><?xml version="1.0" encoding="utf-8"?>
<Properties xmlns="http://schemas.openxmlformats.org/officeDocument/2006/custom-properties" xmlns:vt="http://schemas.openxmlformats.org/officeDocument/2006/docPropsVTypes"/>
</file>