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AI SIMULATION SYSTEM — v2 (GENERALIZED)</w:t>
      </w:r>
    </w:p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Stroke &amp; Complex-Comorbidity Recovery: Decision Support, Monitoring, Rehabilitation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Case-agnostic technical knowledge base — generalized from the post-CEA stroke design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Longevity InTime AI Research Institute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CHANGED IN v2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v1 was a single-patient knowledge base (post-CEA stroke, patient OIT). v2 generalizes it into a case-agnostic engine: the patient is now a parameterized model, clinical thresholds are config-driven instead of hard-coded, and the architecture gains a comorbidity gate, an exposure/differential branch (e.g., geographic/tropical history), and a multilingual patient layer. The original clinical evidence base is retained as the seed corpus; v2 adds the retrieval, gating, and generalization layers around it.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GENERALIZATION PRINCIPLES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v1 (single case)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v2 (general)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Hard-coded patient OIT values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Parameterized patient_model object, versioned per assessment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Fixed thresholds (BP, DOAC day)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Config-driven thresholds, gated by comorbidity vector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Post-CEA stroke only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Any stroke/complex-comorbidity case; module set selected by problem 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English patient coach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Multilingual layer (L1 primary; i18n; low-resource-language flag)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Implicit assumptions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Explicit exposure/differential branch (age, smoking, geography)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Single snapshot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Longitudinal trajectory as first-class object (trend reasoning)</w:t>
            </w:r>
          </w:p>
        </w:tc>
      </w:tr>
    </w:tbl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RETAINED CLINICAL EVIDENCE BASE (SEED CORPUS)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The v1 evidence modules are retained unchanged as the seed knowledge base and remain authoritative for stroke cases: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Post-CEA stroke (ESVS 2023 Rec 91-93); ~74% of CEA strokes are post-operative (Huibers, EJVES 2015).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Cerebral hyperperfusion syndrome (van Mook, Lancet Neurol 2005): BP 100-130 only if CHS confirmed; else default &lt;140 mmHg.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Proportional Recovery Rule — use with PREP2/SAFE, not alone (model under re-evaluation).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AVERT III dose-response: short frequent sessions; early high-intensity mobilization harmful.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Anticoagulation timing in AF stroke: ELAN (NEJM 2023), OPTIMAS (Lancet 2024), CATALYST (Lancet 2025); 1-3-6-12 by infarct size.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CRP as outcome predictor (Finck, Front Neurol 2023; Rocco, Neurol Sci 2015): serial CRP; treat infection as part of stroke care.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Nutrition: PROT-AGE (JAMDA 2013) protein 1.2-1.5 g/kg; ESPEN Neurology (Clin Nutr 2018).</w:t>
      </w:r>
    </w:p>
    <w:p>
      <w:r>
        <w:br w:type="pag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v2 ARCHITECTURE (CASE-AGNOSTIC)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Supervisor-orchestrated agents, parameterized by the patient model. Modules activate by problem type; the stroke module set is the v1 logic.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Orchestrator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Task routing, state, guardrail enforcement, citation gate, final assembly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Ingestion &amp; Imaging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Scans + reports → structured, provenance-linked patient 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Comorbidity Gate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Renal/hepatic/bleeding/implant checks run before any recommendation emits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Differential &amp; Hypothesis Gen.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Ranked differentials + recovery hypotheses; keeps exposure branch (geo/smoking/age)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Clinical Decision Support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Config-driven thresholds gated by comorbidity vector (v1 logic generalized)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Recovery &amp; Longevity Planner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Multi-organ prioritized pathway; simultaneous longevity goals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Multilingual Rehab Coach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Patient/family scripts; L1 primary; low-resource-language best-effort flag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Research &amp; Audit Module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Logs decisions, citations, overrides into the lab-in-the-loop research store</w:t>
            </w:r>
          </w:p>
        </w:tc>
      </w:tr>
    </w:tbl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CONFIG-DRIVEN THRESHOLDS (EXAMPLE)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2E75B6" w:sz="4"/>
              <w:bottom w:val="single" w:color="CCCCCC" w:sz="1"/>
              <w:right w:val="single" w:color="CCCCCC" w:sz="1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thresholds: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bp_systolic_max_default: 140      # mmHg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bp_band_if_CHS: [100, 130]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doac_start_rule: "1-3-6-12"       # by infarct size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doac_gate: { eGFR_min: 30, no_hemorrhage: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             aptt_normalized: true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rehab: { mode: "short_frequent",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         early_high_intensity: false }   # AVERT III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crp_serial: ["48h", "day7"]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5"/>
                <w:szCs w:val="15"/>
              </w:rPr>
              <w:t xml:space="preserve">  octogenarian_uncertainty_multiplier: 1.5</w:t>
            </w:r>
          </w:p>
        </w:tc>
      </w:tr>
    </w:tbl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COMORBIDITY GATE (NEW IN v2)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Before any recommendation is emitted, the gate runs hard checks and annotates or blocks: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Renal (eGFR) → DOAC/contrast dose adjustment or block.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Bleeding risk / active surgical site → anticoagulation timing co-decision flag.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MRI-implant status → imaging-modality constraint (e.g., 1.5T MR-conditional).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Drug-drug/drug-food (e.g., statin + grapefruit/pomelo) → nutrition-plan flag.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Hepatic / pulmonary status → drug metabolism and exertion constraints.</w:t>
      </w:r>
    </w:p>
    <w:p>
      <w:r>
        <w:br w:type="pag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EXPOSURE / DIFFERENTIAL BRANCH (NEW IN v2)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Why this branch exists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Moscow-default model silently assumes a Moscow-typical differential. v2 forces an explicit exposure branch driven by age, smoking history, and geography. For a patient with long residence in a tropical-endemic region, the branch keeps low-probability/high-consequence differentials alive (e.g., latent parasitic infection reactivation risk if steroids are considered) and rates them explicitly — as hypotheses to verify, never as diagnoses.</w:t>
            </w:r>
          </w:p>
        </w:tc>
      </w:tr>
    </w:tbl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SAFETY &amp; EVALUATION (UNCHANGED PRINCIPLES, BROADER SET)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No autonomous prescribing; clinician sign-off on every actionable item; full audit log.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Citation gate: uncited clinical claim blocked or labeled speculative.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Confidence tiers: established / emerging / mechanistic / speculative.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Octogenarian and small-trial-evidence bands widened and surfaced.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Eval: board-adjudicated gold set; grounding, calibration, zero unsafe actions; prospective validation before any deployment.</w:t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CAVEATS &amp; LIMITATIONS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v2 generalization does not re-validate the seed evidence; stroke modules remain the validated core, new modules are design-stage.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Age 80+ evidence gap persists across the trial base; all thresholds carry wider uncertainty for octogenarians.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Exposure-branch differentials are hypothesis-generation only; resolve via clinician-ordered testing.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Anticoagulation extrapolation to post-surgical/active-site cases must be co-decided with the relevant surgical team.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This is a technical design brief and knowledge base, not a validated clinical decision-support system. No prescribing.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/>
      </w:r>
    </w:p>
    <w:p>
      <w:pPr>
        <w:pBdr>
          <w:top w:val="single" w:color="BDC3C7" w:sz="4" w:space="8"/>
        </w:pBdr>
        <w:spacing w:after="60" w:before="160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AI Simulation System v2 (generalized). Seed evidence base: ESVS 2023, AHA/ASA 2016, ESO 2025, ELAN (NEJM 2023), OPTIMAS (Lancet 2024), CATALYST (Lancet 2025), AVERT (Lancet 2015/Neurology 2016), PROT-AGE (JAMDA 2013), ESPEN (Clin Nutr 2018), Finck et al. (Front Neurol 2023), van Mook et al. (Lancet Neurol 2005). Design brief and knowledge base only; not medical advice; not a validated clinical tool.</w:t>
      </w:r>
    </w:p>
    <w:sectPr>
      <w:pgSz w:w="11906" w:h="16838" w:orient="portrait"/>
      <w:pgMar w:top="1080" w:right="108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.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4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2026-05-30T14:54:24.833Z</dcterms:created>
  <dcterms:modified xsi:type="dcterms:W3CDTF">2026-05-30T14:54:24.833Z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