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DEVELOPER BRIEF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Multi-Agent AI System for Personalized Recovery &amp; Longevity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Target case: post-stroke elderly patient, 83 y/o, multilingual, complex comorbidity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888888"/>
          <w:sz w:val="17"/>
          <w:szCs w:val="17"/>
        </w:rPr>
        <w:t xml:space="preserve">Longevity InTime AI Research Institute | Engineering specification v1.0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MISSION (verbatim from product owner)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"Develop a multi-agent system to find the cure and better recovery pathways for an elderly patient of 83. Patient data: 83 years old; heavy smoker (1 pack/day); organ status enclosed; lived in Africa for 20 years (Eastern part, 1978-2005); 2 foreign languages (English, Swahili); native Russian. Use the scans and health-statement reports."</w:t>
            </w:r>
          </w:p>
        </w:tc>
      </w:tr>
    </w:tbl>
    <w:p>
      <w:pPr>
        <w:spacing w:after="60" w:before="50"/>
      </w:pPr>
      <w:r>
        <w:rPr>
          <w:rFonts w:ascii="Arial" w:cs="Arial" w:eastAsia="Arial" w:hAnsi="Arial"/>
          <w:color w:val="111111"/>
          <w:sz w:val="18"/>
          <w:szCs w:val="18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BF360C"/>
                <w:sz w:val="20"/>
                <w:szCs w:val="20"/>
              </w:rPr>
              <w:t xml:space="preserve">Scope note — read first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This brief defines an engineering build, not a clinical product. The system is decision-SUPPORT and hypothesis-GENERATION only: it proposes, ranks, and explains recovery pathways for human clinicians to adjudicate. 'Find the cure' is interpreted operationally as: surface and rank evidence-grounded intervention and rehabilitation pathways, flag uncertainty, and generate testable hypotheses — never autonomous prescribing. All outputs are gated by a human-in-the-loop and a clinical board.</w:t>
            </w:r>
          </w:p>
        </w:tc>
      </w:tr>
    </w:tbl>
    <w:p>
      <w:pPr>
        <w:spacing w:after="70" w:before="20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Contents</w:t>
      </w:r>
    </w:p>
    <w:p>
      <w:pPr>
        <w:pStyle w:val="ListParagraph"/>
        <w:numPr>
          <w:ilvl w:val="0"/>
          <w:numId w:val="2"/>
        </w:numPr>
        <w:spacing w:after="40" w:before="36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1. Objective and success criteria</w:t>
      </w:r>
    </w:p>
    <w:p>
      <w:pPr>
        <w:pStyle w:val="ListParagraph"/>
        <w:numPr>
          <w:ilvl w:val="0"/>
          <w:numId w:val="2"/>
        </w:numPr>
        <w:spacing w:after="40" w:before="36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2. Patient model (structured input for this case)</w:t>
      </w:r>
    </w:p>
    <w:p>
      <w:pPr>
        <w:pStyle w:val="ListParagraph"/>
        <w:numPr>
          <w:ilvl w:val="0"/>
          <w:numId w:val="2"/>
        </w:numPr>
        <w:spacing w:after="40" w:before="36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3. System architecture — 6 agents</w:t>
      </w:r>
    </w:p>
    <w:p>
      <w:pPr>
        <w:pStyle w:val="ListParagraph"/>
        <w:numPr>
          <w:ilvl w:val="0"/>
          <w:numId w:val="2"/>
        </w:numPr>
        <w:spacing w:after="40" w:before="36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4. Agent specifications (I/O, tools, prompts)</w:t>
      </w:r>
    </w:p>
    <w:p>
      <w:pPr>
        <w:pStyle w:val="ListParagraph"/>
        <w:numPr>
          <w:ilvl w:val="0"/>
          <w:numId w:val="2"/>
        </w:numPr>
        <w:spacing w:after="40" w:before="36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5. Orchestration and message schema</w:t>
      </w:r>
    </w:p>
    <w:p>
      <w:pPr>
        <w:pStyle w:val="ListParagraph"/>
        <w:numPr>
          <w:ilvl w:val="0"/>
          <w:numId w:val="2"/>
        </w:numPr>
        <w:spacing w:after="40" w:before="36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6. Data ingestion (scans + reports)</w:t>
      </w:r>
    </w:p>
    <w:p>
      <w:pPr>
        <w:pStyle w:val="ListParagraph"/>
        <w:numPr>
          <w:ilvl w:val="0"/>
          <w:numId w:val="2"/>
        </w:numPr>
        <w:spacing w:after="40" w:before="36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7. Knowledge base and retrieval</w:t>
      </w:r>
    </w:p>
    <w:p>
      <w:pPr>
        <w:pStyle w:val="ListParagraph"/>
        <w:numPr>
          <w:ilvl w:val="0"/>
          <w:numId w:val="2"/>
        </w:numPr>
        <w:spacing w:after="40" w:before="36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8. Safety, guardrails, evaluation</w:t>
      </w:r>
    </w:p>
    <w:p>
      <w:pPr>
        <w:pStyle w:val="ListParagraph"/>
        <w:numPr>
          <w:ilvl w:val="0"/>
          <w:numId w:val="2"/>
        </w:numPr>
        <w:spacing w:after="40" w:before="36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9. Tech stack and milestones</w:t>
      </w:r>
    </w:p>
    <w:p>
      <w:pPr>
        <w:pStyle w:val="ListParagraph"/>
        <w:numPr>
          <w:ilvl w:val="0"/>
          <w:numId w:val="2"/>
        </w:numPr>
        <w:spacing w:after="40" w:before="36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10. Open questions and caveats</w:t>
      </w:r>
    </w:p>
    <w:p>
      <w:r>
        <w:br w:type="page"/>
      </w:r>
    </w:p>
    <w:p>
      <w:pPr>
        <w:pStyle w:val="Heading1"/>
        <w:spacing w:after="150" w:before="4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1. OBJECTIVE AND SUCCESS CRITERIA</w:t>
      </w:r>
    </w:p>
    <w:p>
      <w:pPr>
        <w:spacing w:after="60" w:before="50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Build a multi-agent system that ingests a single complex patient's data (imaging, labs, discharge summaries), constructs a longitudinal patient model, and generates ranked, evidence-grounded recovery and longevity pathways with explicit uncertainty. The system serves three audiences: the clinical team, the family/caregivers, and the institute's research loop.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What 'success' means (measurable)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80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Dimension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Acceptance criterion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Grounding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Every recommendation cites a retrievable source (guideline, trial, or the patient's own data). Zero uncited clinical claims.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Calibration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Each output carries a confidence tier and an uncertainty rationale; flagged items separated from asserted ones.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Personalization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Pathways reflect THIS patient's age, smoking, organ status, language profile, and Africa residence (tropical-exposure differential).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Human-in-loop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No autonomous prescribing. 100% of clinical actions require clinician sign-off captured in an audit log.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Hypothesis yield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Generates &gt;=3 testable, novel-to-the-team recovery hypotheses per case, each with a proposed validation design.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Multilingual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Patient-facing output available in Russian (primary), English; Swahili phrasebook-level support flagged as best-effort.</w:t>
            </w:r>
          </w:p>
        </w:tc>
      </w:tr>
    </w:tbl>
    <w:p>
      <w:r>
        <w:br w:type="page"/>
      </w:r>
    </w:p>
    <w:p>
      <w:pPr>
        <w:pStyle w:val="Heading1"/>
        <w:spacing w:after="150" w:before="4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2. PATIENT MODEL (THIS CASE)</w:t>
      </w:r>
    </w:p>
    <w:p>
      <w:pPr>
        <w:spacing w:after="60" w:before="50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The structured input below is the canonical patient object. It is assembled by the ingestion pipeline (Section 6) from the uploaded scans and reports, then frozen as a versioned snapshot per assessment date.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Demographics and exposures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Value / engineering note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Age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83 (octogenarian flag = TRUE → widens all trial-evidence uncertainty bands)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Smoking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~1 pack/day, ~50 pack-years → vascular + pulmonary risk multiplier; cessation node in care plan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Geographic history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East Africa 1978-2005 (20 yrs) → tropical-exposure differential flag (see 2.4)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Languages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Russian (L1, therapy base), English (L2), Swahili (L3) → drives RC-A localization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Current location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Moscow, RF → routing/rehab-center module uses RU healthcare graph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Active neurological problem</w:t>
      </w:r>
    </w:p>
    <w:p>
      <w:pPr>
        <w:pStyle w:val="ListParagraph"/>
        <w:numPr>
          <w:ilvl w:val="0"/>
          <w:numId w:val="2"/>
        </w:numPr>
        <w:spacing w:after="40" w:before="36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Ischemic stroke, terminal branches of left MCA, after left CEA (27.05.2026) complicated by 10 cm ICA thrombus.</w:t>
      </w:r>
    </w:p>
    <w:p>
      <w:pPr>
        <w:pStyle w:val="ListParagraph"/>
        <w:numPr>
          <w:ilvl w:val="0"/>
          <w:numId w:val="2"/>
        </w:numPr>
        <w:spacing w:after="40" w:before="36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CT 28.05: cortical infarct left frontal (M4-M5) up to 15 mm; ASPECTS 8; no hemorrhage; no edema.</w:t>
      </w:r>
    </w:p>
    <w:p>
      <w:pPr>
        <w:pStyle w:val="ListParagraph"/>
        <w:numPr>
          <w:ilvl w:val="0"/>
          <w:numId w:val="2"/>
        </w:numPr>
        <w:spacing w:after="40" w:before="36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Motor (Broca's) aphasia; sensory aphasia resolved; right hemiparesis (arm &gt; leg). NIHSS 15→18→9→7.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2.3 Comorbidity vector (drives multi-organ reasoning)</w:t>
      </w:r>
    </w:p>
    <w:p>
      <w:pPr>
        <w:pStyle w:val="ListParagraph"/>
        <w:numPr>
          <w:ilvl w:val="0"/>
          <w:numId w:val="2"/>
        </w:numPr>
        <w:spacing w:after="40" w:before="36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Cardiac: atrial fibrillation (normosystolic, HR ~87), LVEF 56%, aortic valve calcification, ?old anteroseptal scar (unconfirmed).</w:t>
      </w:r>
    </w:p>
    <w:p>
      <w:pPr>
        <w:pStyle w:val="ListParagraph"/>
        <w:numPr>
          <w:ilvl w:val="0"/>
          <w:numId w:val="2"/>
        </w:numPr>
        <w:spacing w:after="40" w:before="36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Vascular: right ICA plaque 35-40% (RADS III); left ICA occluded post-op; severe lower-limb atherosclerosis, multiple stents, left toe amputation.</w:t>
      </w:r>
    </w:p>
    <w:p>
      <w:pPr>
        <w:pStyle w:val="ListParagraph"/>
        <w:numPr>
          <w:ilvl w:val="0"/>
          <w:numId w:val="2"/>
        </w:numPr>
        <w:spacing w:after="40" w:before="36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Renal: CKD G2 (eGFR ~74) → drug-dose gate. Hepatic/pancreatic diffuse changes. Pulmonary: pneumosclerosis + chronic bronchitis.</w:t>
      </w:r>
    </w:p>
    <w:p>
      <w:pPr>
        <w:pStyle w:val="ListParagraph"/>
        <w:numPr>
          <w:ilvl w:val="0"/>
          <w:numId w:val="2"/>
        </w:numPr>
        <w:spacing w:after="40" w:before="36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Inflammatory: CRP 14.6 mg/L (3x high) + active UTI → confounder and modifiable target. Orthopedic: left hip arthroplasty (MRI-conditional 1.5T).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2.4 Africa-residence differential (do not skip)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BF360C"/>
                <w:sz w:val="20"/>
                <w:szCs w:val="20"/>
              </w:rPr>
              <w:t xml:space="preserve">Why 20 years in East Africa matters to the reasoning engine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 27-year-prior 20-year residence in a malaria/schistosomiasis/strongyloides-endemic region introduces low-probability but high-consequence differentials that a Moscow-default model would miss: latent strongyloidiasis (reactivation risk if steroids are ever used), prior/chronic schistosomiasis (hepatic/renal correlate with the observed diffuse changes — to be weighed, not assumed), and chronic-infection contributions to baseline inflammation. The Differential-Generator agent must keep a 'tropical-exposure' branch alive and explicitly rate it, even if it ends at 'low probability, verify with eosinophil count / serology if steroids considered.' This is a hypothesis to surface for clinicians, NOT a diagnosis.</w:t>
            </w:r>
          </w:p>
        </w:tc>
      </w:tr>
    </w:tbl>
    <w:p>
      <w:r>
        <w:br w:type="page"/>
      </w:r>
    </w:p>
    <w:p>
      <w:pPr>
        <w:pStyle w:val="Heading1"/>
        <w:spacing w:after="150" w:before="4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 SYSTEM ARCHITECTURE — 6 AGENTS</w:t>
      </w:r>
    </w:p>
    <w:p>
      <w:pPr>
        <w:spacing w:after="60" w:before="50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A supervisor-orchestrated multi-agent system. The original design (post-CEA stroke knowledge base) is generalized: agents are now case-agnostic and parameterized by the patient model, with two new agents added for this mandate — a Differential/Hypothesis Generator and a Longevity/Recovery-Pathway Planner.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4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Agent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Role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New / carried over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Orchestrator (ORC)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Routes tasks, holds patient state, enforces guardrails, assembles final report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Carried (expanded)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Ingestion &amp; Imaging (ING)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Parses scans + reports → structured patient model; OCR/vision on DICOM/PDF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New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Differential &amp; Hypothesis Generator (DHG)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Generates ranked differentials and novel recovery hypotheses incl. tropical-exposure branch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New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Clinical Decision Support (CDS)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Maps state → evidence-graded options (anticoagulation timing, BP, rehab dose)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Carried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Recovery &amp; Longevity Planner (RLP)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Builds prioritized multi-organ recovery + longevity pathway; nutrition, secondary prevention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New (merges old RC-A)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Rehab Coach / Multilingual (RCM)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Patient/family-facing daily scripts in RU/EN, Swahili best-effort; aphasia-adapted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Carried (i18n added)</w:t>
            </w:r>
          </w:p>
        </w:tc>
      </w:tr>
    </w:tbl>
    <w:p>
      <w:pPr>
        <w:spacing w:after="60" w:before="5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A seventh non-agent component, the Research &amp; Audit Module, logs every decision, citation, and clinician override into the institute's research loop (lab-in-the-loop).</w:t>
      </w:r>
    </w:p>
    <w:p>
      <w:r>
        <w:br w:type="page"/>
      </w:r>
    </w:p>
    <w:p>
      <w:pPr>
        <w:pStyle w:val="Heading1"/>
        <w:spacing w:after="150" w:before="4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4. AGENT SPECIFICATIONS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Ingestion &amp; Imaging (ING)</w:t>
      </w:r>
    </w:p>
    <w:p>
      <w:pPr>
        <w:pStyle w:val="ListParagraph"/>
        <w:numPr>
          <w:ilvl w:val="0"/>
          <w:numId w:val="2"/>
        </w:numPr>
        <w:spacing w:after="40" w:before="36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Input: DICOM (CT/MRI), PDF/text reports (EMIAS exports), ECG text, lab tables.</w:t>
      </w:r>
    </w:p>
    <w:p>
      <w:pPr>
        <w:pStyle w:val="ListParagraph"/>
        <w:numPr>
          <w:ilvl w:val="0"/>
          <w:numId w:val="2"/>
        </w:numPr>
        <w:spacing w:after="40" w:before="36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Output: validated patient-model JSON (Section 2 schema) + per-finding provenance.</w:t>
      </w:r>
    </w:p>
    <w:p>
      <w:pPr>
        <w:pStyle w:val="ListParagraph"/>
        <w:numPr>
          <w:ilvl w:val="0"/>
          <w:numId w:val="2"/>
        </w:numPr>
        <w:spacing w:after="40" w:before="36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Tools: vision model for scan triage (NOT diagnostic read — extracts ASPECTS/zone text from radiologist report, flags images for human read); table parser for labs; ECG-text normalizer.</w:t>
      </w:r>
    </w:p>
    <w:p>
      <w:pPr>
        <w:pStyle w:val="ListParagraph"/>
        <w:numPr>
          <w:ilvl w:val="0"/>
          <w:numId w:val="2"/>
        </w:numPr>
        <w:spacing w:after="40" w:before="36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Guardrail: ING never invents a radiology finding; it extracts the human radiologist's stated conclusion and links the source page.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Differential &amp; Hypothesis Generator (DHG)</w:t>
      </w:r>
    </w:p>
    <w:p>
      <w:pPr>
        <w:spacing w:after="60" w:before="50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The 'find better pathways' engine. Produces two ranked lists: (a) differentials for unresolved findings (e.g., the ?anteroseptal scar, diffuse hepatic/renal changes), (b) recovery-optimization hypotheses.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CCCCCC" w:sz="1"/>
              <w:left w:val="single" w:color="2E75B6" w:sz="4"/>
              <w:bottom w:val="single" w:color="CCCCCC" w:sz="1"/>
              <w:right w:val="single" w:color="CCCCCC" w:sz="1"/>
            </w:tcBorders>
            <w:shd w:fill="F4F6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2631"/>
                <w:sz w:val="15"/>
                <w:szCs w:val="15"/>
              </w:rPr>
              <w:t xml:space="preserve">INPUT: patient_model, open_questions[]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2631"/>
                <w:sz w:val="15"/>
                <w:szCs w:val="15"/>
              </w:rPr>
              <w:t xml:space="preserve">FOR each open finding: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2631"/>
                <w:sz w:val="15"/>
                <w:szCs w:val="15"/>
              </w:rPr>
              <w:t xml:space="preserve">   generate differentials with prior_probability,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2631"/>
                <w:sz w:val="15"/>
                <w:szCs w:val="15"/>
              </w:rPr>
              <w:t xml:space="preserve">   evidence_for, evidence_against, test_to_resolve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2631"/>
                <w:sz w:val="15"/>
                <w:szCs w:val="15"/>
              </w:rPr>
              <w:t xml:space="preserve">   KEEP tropical_exposure branch if geo_history matches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2631"/>
                <w:sz w:val="15"/>
                <w:szCs w:val="15"/>
              </w:rPr>
              <w:t xml:space="preserve">FOR recovery optimization: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2631"/>
                <w:sz w:val="15"/>
                <w:szCs w:val="15"/>
              </w:rPr>
              <w:t xml:space="preserve">   propose interventions ranked by (expected_benefit 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2631"/>
                <w:sz w:val="15"/>
                <w:szCs w:val="15"/>
              </w:rPr>
              <w:t xml:space="preserve">      risk_given_comorbidity_vector), each with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2631"/>
                <w:sz w:val="15"/>
                <w:szCs w:val="15"/>
              </w:rPr>
              <w:t xml:space="preserve">      validation_design + confidence_tier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2631"/>
                <w:sz w:val="15"/>
                <w:szCs w:val="15"/>
              </w:rPr>
              <w:t xml:space="preserve">OUTPUT: ranked_differentials[], ranked_hypotheses[]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2631"/>
                <w:sz w:val="15"/>
                <w:szCs w:val="15"/>
              </w:rPr>
              <w:t xml:space="preserve">GUARDRAIL: every item cites source or marks 'speculative'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 Clinical Decision Support (CDS)</w:t>
      </w:r>
    </w:p>
    <w:p>
      <w:pPr>
        <w:pStyle w:val="ListParagraph"/>
        <w:numPr>
          <w:ilvl w:val="0"/>
          <w:numId w:val="2"/>
        </w:numPr>
        <w:spacing w:after="40" w:before="36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Carried from original design. Core logic unchanged: anticoagulation timing (1-3-6-12 / ELAN-CATALYST), BP band (default &lt;140 mmHg; 100-130 only if CHS confirmed), rehab dose (AVERT III — short frequent, not high-intensity-early).</w:t>
      </w:r>
    </w:p>
    <w:p>
      <w:pPr>
        <w:pStyle w:val="ListParagraph"/>
        <w:numPr>
          <w:ilvl w:val="0"/>
          <w:numId w:val="2"/>
        </w:numPr>
        <w:spacing w:after="40" w:before="36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Generalization: thresholds are now config-driven, not hard-coded to one patient, and gated by the comorbidity vector (e.g., eGFR gates DOAC dose).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4.4 Recovery &amp; Longevity Planner (RLP)</w:t>
      </w:r>
    </w:p>
    <w:p>
      <w:pPr>
        <w:pStyle w:val="ListParagraph"/>
        <w:numPr>
          <w:ilvl w:val="0"/>
          <w:numId w:val="2"/>
        </w:numPr>
        <w:spacing w:after="40" w:before="36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Builds the prioritized, multi-organ pathway: neuro-recovery + secondary prevention (statin/LDL&lt;1.8, BP, rate control) + nutrition (protein 1.2-1.5 g/kg; statin-grapefruit/pomelo contraindication flag) + smoking cessation + inflammation reduction (treat UTI, serial CRP).</w:t>
      </w:r>
    </w:p>
    <w:p>
      <w:pPr>
        <w:pStyle w:val="ListParagraph"/>
        <w:numPr>
          <w:ilvl w:val="0"/>
          <w:numId w:val="2"/>
        </w:numPr>
        <w:spacing w:after="40" w:before="36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Treats the four longevity goals as simultaneous, not sequential: inflammation reduction, circulation, arrhythmia/stroke prevention, overall longevity.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4.5 Rehab Coach / Multilingual (RCM)</w:t>
      </w:r>
    </w:p>
    <w:p>
      <w:pPr>
        <w:pStyle w:val="ListParagraph"/>
        <w:numPr>
          <w:ilvl w:val="0"/>
          <w:numId w:val="2"/>
        </w:numPr>
        <w:spacing w:after="40" w:before="36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Patient/family-facing daily scripts adapted to NIHSS, preserved function, aphasia type.</w:t>
      </w:r>
    </w:p>
    <w:p>
      <w:pPr>
        <w:pStyle w:val="ListParagraph"/>
        <w:numPr>
          <w:ilvl w:val="0"/>
          <w:numId w:val="2"/>
        </w:numPr>
        <w:spacing w:after="40" w:before="36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i18n: Russian primary (therapy base), English secondary; Swahili best-effort phrasebook with explicit 'not clinically validated for Swahili' banner.</w:t>
      </w:r>
    </w:p>
    <w:p>
      <w:pPr>
        <w:pStyle w:val="ListParagraph"/>
        <w:numPr>
          <w:ilvl w:val="0"/>
          <w:numId w:val="2"/>
        </w:numPr>
        <w:spacing w:after="40" w:before="36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Aphasia mode: short closed prompts, picture-card hooks, MIT/SFA/script-training session templates.</w:t>
      </w:r>
    </w:p>
    <w:p>
      <w:r>
        <w:br w:type="page"/>
      </w:r>
    </w:p>
    <w:p>
      <w:pPr>
        <w:pStyle w:val="Heading1"/>
        <w:spacing w:after="150" w:before="4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5. ORCHESTRATION &amp; MESSAGE SCHEMA</w:t>
      </w:r>
    </w:p>
    <w:p>
      <w:pPr>
        <w:spacing w:after="60" w:before="50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Supervisor pattern. ORC decomposes the case into tasks, dispatches to agents, resolves conflicts by evidence tier, and refuses to finalize if any clinical claim is uncited.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CCCCCC" w:sz="1"/>
              <w:left w:val="single" w:color="2E75B6" w:sz="4"/>
              <w:bottom w:val="single" w:color="CCCCCC" w:sz="1"/>
              <w:right w:val="single" w:color="CCCCCC" w:sz="1"/>
            </w:tcBorders>
            <w:shd w:fill="F4F6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2631"/>
                <w:sz w:val="15"/>
                <w:szCs w:val="15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2631"/>
                <w:sz w:val="15"/>
                <w:szCs w:val="15"/>
              </w:rPr>
              <w:t xml:space="preserve">  "case_id": "OIT-2026-05",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2631"/>
                <w:sz w:val="15"/>
                <w:szCs w:val="15"/>
              </w:rPr>
              <w:t xml:space="preserve">  "from": "DHG", "to": "ORC",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2631"/>
                <w:sz w:val="15"/>
                <w:szCs w:val="15"/>
              </w:rPr>
              <w:t xml:space="preserve">  "task": "differential.cardiac_scar",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2631"/>
                <w:sz w:val="15"/>
                <w:szCs w:val="15"/>
              </w:rPr>
              <w:t xml:space="preserve">  "payload":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2631"/>
                <w:sz w:val="15"/>
                <w:szCs w:val="15"/>
              </w:rPr>
              <w:t xml:space="preserve">    "claim": "possible old anteroseptal MI",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2631"/>
                <w:sz w:val="15"/>
                <w:szCs w:val="15"/>
              </w:rPr>
              <w:t xml:space="preserve">    "confidence": "low",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2631"/>
                <w:sz w:val="15"/>
                <w:szCs w:val="15"/>
              </w:rPr>
              <w:t xml:space="preserve">    "evidence": ["ECG 29.05 text", "not confirmed 30.05"],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2631"/>
                <w:sz w:val="15"/>
                <w:szCs w:val="15"/>
              </w:rPr>
              <w:t xml:space="preserve">    "resolves_with": "echocardiography",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2631"/>
                <w:sz w:val="15"/>
                <w:szCs w:val="15"/>
              </w:rPr>
              <w:t xml:space="preserve">    "requires_human": true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2631"/>
                <w:sz w:val="15"/>
                <w:szCs w:val="15"/>
              </w:rPr>
              <w:t xml:space="preserve">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2631"/>
                <w:sz w:val="15"/>
                <w:szCs w:val="15"/>
              </w:rPr>
              <w:t xml:space="preserve">  "provenance": ["doc:ecg_29", "doc:ecg_30"]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2631"/>
                <w:sz w:val="15"/>
                <w:szCs w:val="15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pacing w:after="150" w:before="4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6. DATA INGESTION (SCANS + REPORTS)</w:t>
      </w:r>
    </w:p>
    <w:p>
      <w:pPr>
        <w:pStyle w:val="ListParagraph"/>
        <w:numPr>
          <w:ilvl w:val="0"/>
          <w:numId w:val="2"/>
        </w:numPr>
        <w:spacing w:after="40" w:before="36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Sources for this case: 16 EMIAS studies (CT x3, MRI, CT-angio, echo, ECG series, vascular/abdominal/renal US, discharge summary).</w:t>
      </w:r>
    </w:p>
    <w:p>
      <w:pPr>
        <w:pStyle w:val="ListParagraph"/>
        <w:numPr>
          <w:ilvl w:val="0"/>
          <w:numId w:val="2"/>
        </w:numPr>
        <w:spacing w:after="40" w:before="36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Pipeline: file → type detection → (DICOM: metadata + linked radiologist report) / (PDF: layout-aware text extract) → entity normalization → patient-model JSON → human verification gate → frozen snapshot.</w:t>
      </w:r>
    </w:p>
    <w:p>
      <w:pPr>
        <w:pStyle w:val="ListParagraph"/>
        <w:numPr>
          <w:ilvl w:val="0"/>
          <w:numId w:val="2"/>
        </w:numPr>
        <w:spacing w:after="40" w:before="36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Privacy: de-identify before any external LLM call; keep PHI in a local store; log every external call.</w:t>
      </w:r>
    </w:p>
    <w:p>
      <w:pPr>
        <w:pStyle w:val="ListParagraph"/>
        <w:numPr>
          <w:ilvl w:val="0"/>
          <w:numId w:val="2"/>
        </w:numPr>
        <w:spacing w:after="40" w:before="36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Versioning: each assessment date is an immutable snapshot; the longitudinal trajectory (NIHSS, ASPECTS, ECG, CRP) is a first-class object for trend reasoning.</w:t>
      </w:r>
    </w:p>
    <w:p>
      <w:pPr>
        <w:pStyle w:val="Heading1"/>
        <w:spacing w:after="150" w:before="4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7. KNOWLEDGE BASE &amp; RETRIEVAL</w:t>
      </w:r>
    </w:p>
    <w:p>
      <w:pPr>
        <w:pStyle w:val="ListParagraph"/>
        <w:numPr>
          <w:ilvl w:val="0"/>
          <w:numId w:val="2"/>
        </w:numPr>
        <w:spacing w:after="40" w:before="36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Curated evidence store: ESVS 2023, AHA/ASA 2016, ESO 2025, ELAN/OPTIMAS/CATALYST, AVERT, PROT-AGE, ESPEN, CRP-outcome papers, multilingual-aphasia corpus (Paradis, Goral 2023, Kuzmina 2019, Kiran &amp; Iakupova).</w:t>
      </w:r>
    </w:p>
    <w:p>
      <w:pPr>
        <w:pStyle w:val="ListParagraph"/>
        <w:numPr>
          <w:ilvl w:val="0"/>
          <w:numId w:val="2"/>
        </w:numPr>
        <w:spacing w:after="40" w:before="36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RAG with citation enforcement: retrieval returns source spans; generation must attach span IDs; uncited clinical sentences are blocked at output.</w:t>
      </w:r>
    </w:p>
    <w:p>
      <w:pPr>
        <w:pStyle w:val="ListParagraph"/>
        <w:numPr>
          <w:ilvl w:val="0"/>
          <w:numId w:val="2"/>
        </w:numPr>
        <w:spacing w:after="40" w:before="36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Tropical-medicine sub-corpus added for the Africa-residence branch (strongyloides reactivation, schistosomiasis sequelae).</w:t>
      </w:r>
    </w:p>
    <w:p>
      <w:r>
        <w:br w:type="page"/>
      </w:r>
    </w:p>
    <w:p>
      <w:pPr>
        <w:pStyle w:val="Heading1"/>
        <w:spacing w:after="150" w:before="4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8. SAFETY, GUARDRAILS, EVALUATION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Guardrail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Rule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No autonomous prescribing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System proposes; clinician disposes. Every actionable item has a sign-off field.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Citation gate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Uncited clinical claim → blocked, returned to agent for grounding or 'speculative' label.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Confidence tiering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Each claim tagged: established / emerging / mechanistic / speculative.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Comorbidity gate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Renal, hepatic, bleeding-risk, MRI-implant checks run before any recommendation is emitted.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Octogenarian band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Age 83 widens uncertainty on all trial-derived thresholds; surfaced, not hidden.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Hallucination flag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Specific doses/trials/stats are verified against the KB or marked 'verify'.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8.1 Evaluation</w:t>
      </w:r>
    </w:p>
    <w:p>
      <w:pPr>
        <w:pStyle w:val="ListParagraph"/>
        <w:numPr>
          <w:ilvl w:val="0"/>
          <w:numId w:val="2"/>
        </w:numPr>
        <w:spacing w:after="40" w:before="36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Gold set: clinician-board-adjudicated answers for the 5 scenarios from the original design + 5 new multi-organ/longevity scenarios.</w:t>
      </w:r>
    </w:p>
    <w:p>
      <w:pPr>
        <w:pStyle w:val="ListParagraph"/>
        <w:numPr>
          <w:ilvl w:val="0"/>
          <w:numId w:val="2"/>
        </w:numPr>
        <w:spacing w:after="40" w:before="36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Metrics: grounding rate, citation precision, calibration (does confidence match correctness), unsafe-action rate (must be 0), hypothesis usefulness (clinician-rated).</w:t>
      </w:r>
    </w:p>
    <w:p>
      <w:pPr>
        <w:pStyle w:val="ListParagraph"/>
        <w:numPr>
          <w:ilvl w:val="0"/>
          <w:numId w:val="2"/>
        </w:numPr>
        <w:spacing w:after="40" w:before="36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No patient-facing deployment before prospective validation on a held-out, board-adjudicated test set.</w:t>
      </w:r>
    </w:p>
    <w:p>
      <w:pPr>
        <w:pStyle w:val="Heading1"/>
        <w:spacing w:after="150" w:before="4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9. TECH STACK &amp; MILESTONES</w:t>
      </w:r>
    </w:p>
    <w:p>
      <w:pPr>
        <w:pStyle w:val="ListParagraph"/>
        <w:numPr>
          <w:ilvl w:val="0"/>
          <w:numId w:val="2"/>
        </w:numPr>
        <w:spacing w:after="40" w:before="36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LLM: Claude (Sonnet for high-throughput agents, Opus for DHG/CDS reasoning) via API; deterministic temperature for clinical agents.</w:t>
      </w:r>
    </w:p>
    <w:p>
      <w:pPr>
        <w:pStyle w:val="ListParagraph"/>
        <w:numPr>
          <w:ilvl w:val="0"/>
          <w:numId w:val="2"/>
        </w:numPr>
        <w:spacing w:after="40" w:before="36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Orchestration: supervisor graph (e.g., LangGraph-style state machine); typed message bus; local PHI store + de-id proxy.</w:t>
      </w:r>
    </w:p>
    <w:p>
      <w:pPr>
        <w:pStyle w:val="ListParagraph"/>
        <w:numPr>
          <w:ilvl w:val="0"/>
          <w:numId w:val="2"/>
        </w:numPr>
        <w:spacing w:after="40" w:before="36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Retrieval: vector store over the curated corpus with span-level citation IDs.</w:t>
      </w:r>
    </w:p>
    <w:p>
      <w:pPr>
        <w:pStyle w:val="ListParagraph"/>
        <w:numPr>
          <w:ilvl w:val="0"/>
          <w:numId w:val="2"/>
        </w:numPr>
        <w:spacing w:after="40" w:before="36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Milestones: (M1) ingestion + patient model on this case; (M2) CDS + RLP with citation gate; (M3) DHG with tropical branch + hypothesis log; (M4) RCM multilingual + aphasia mode; (M5) eval harness + board adjudication; (M6) prospective validation design.</w:t>
      </w:r>
    </w:p>
    <w:p>
      <w:r>
        <w:br w:type="page"/>
      </w:r>
    </w:p>
    <w:p>
      <w:pPr>
        <w:pStyle w:val="Heading1"/>
        <w:spacing w:after="150" w:before="4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10. OPEN QUESTIONS &amp; CAVEATS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Open questions for the product owner</w:t>
      </w:r>
    </w:p>
    <w:p>
      <w:pPr>
        <w:pStyle w:val="ListParagraph"/>
        <w:numPr>
          <w:ilvl w:val="0"/>
          <w:numId w:val="3"/>
        </w:numPr>
        <w:spacing w:after="45" w:before="40"/>
      </w:pPr>
      <w:r>
        <w:rPr>
          <w:rFonts w:ascii="Arial" w:cs="Arial" w:eastAsia="Arial" w:hAnsi="Arial"/>
          <w:sz w:val="18"/>
          <w:szCs w:val="18"/>
        </w:rPr>
        <w:t xml:space="preserve">'Find the cure' — confirm operational scope = ranked evidence-grounded pathways + hypothesis generation, NOT autonomous treatment. (Assumed yes in this brief.)</w:t>
      </w:r>
    </w:p>
    <w:p>
      <w:pPr>
        <w:pStyle w:val="ListParagraph"/>
        <w:numPr>
          <w:ilvl w:val="0"/>
          <w:numId w:val="3"/>
        </w:numPr>
        <w:spacing w:after="45" w:before="40"/>
      </w:pPr>
      <w:r>
        <w:rPr>
          <w:rFonts w:ascii="Arial" w:cs="Arial" w:eastAsia="Arial" w:hAnsi="Arial"/>
          <w:sz w:val="18"/>
          <w:szCs w:val="18"/>
        </w:rPr>
        <w:t xml:space="preserve">Is real Swahili clinical localization required, or is best-effort phrasebook + flag acceptable for v1? (Assumed best-effort.)</w:t>
      </w:r>
    </w:p>
    <w:p>
      <w:pPr>
        <w:pStyle w:val="ListParagraph"/>
        <w:numPr>
          <w:ilvl w:val="0"/>
          <w:numId w:val="3"/>
        </w:numPr>
        <w:spacing w:after="45" w:before="40"/>
      </w:pPr>
      <w:r>
        <w:rPr>
          <w:rFonts w:ascii="Arial" w:cs="Arial" w:eastAsia="Arial" w:hAnsi="Arial"/>
          <w:sz w:val="18"/>
          <w:szCs w:val="18"/>
        </w:rPr>
        <w:t xml:space="preserve">Will the system have live access to EMIAS, or only manual uploads per assessment? (Affects M1 scope.)</w:t>
      </w:r>
    </w:p>
    <w:p>
      <w:pPr>
        <w:pStyle w:val="ListParagraph"/>
        <w:numPr>
          <w:ilvl w:val="0"/>
          <w:numId w:val="3"/>
        </w:numPr>
        <w:spacing w:after="45" w:before="40"/>
      </w:pPr>
      <w:r>
        <w:rPr>
          <w:rFonts w:ascii="Arial" w:cs="Arial" w:eastAsia="Arial" w:hAnsi="Arial"/>
          <w:sz w:val="18"/>
          <w:szCs w:val="18"/>
        </w:rPr>
        <w:t xml:space="preserve">Target deployment: research sandbox only, or clinician-facing pilot? (Gates the validation bar.)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Caveats (carry into the build)</w:t>
      </w:r>
    </w:p>
    <w:p>
      <w:pPr>
        <w:pStyle w:val="ListParagraph"/>
        <w:numPr>
          <w:ilvl w:val="0"/>
          <w:numId w:val="2"/>
        </w:numPr>
        <w:spacing w:after="40" w:before="36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Age 83 evidence gap: AVERT, ELAN, OPTIMAS, craniectomy trials under-recruit octogenarians — wider uncertainty band, mandatory shared decision-making.</w:t>
      </w:r>
    </w:p>
    <w:p>
      <w:pPr>
        <w:pStyle w:val="ListParagraph"/>
        <w:numPr>
          <w:ilvl w:val="0"/>
          <w:numId w:val="2"/>
        </w:numPr>
        <w:spacing w:after="40" w:before="36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Tropical-exposure branch is hypothesis-generation, not diagnosis; resolves only via clinician-ordered tests (eosinophils, serology).</w:t>
      </w:r>
    </w:p>
    <w:p>
      <w:pPr>
        <w:pStyle w:val="ListParagraph"/>
        <w:numPr>
          <w:ilvl w:val="0"/>
          <w:numId w:val="2"/>
        </w:numPr>
        <w:spacing w:after="40" w:before="36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Anticoagulation trials did not enroll post-CEA active surgical sites; extrapolation must be co-decided with vascular surgery.</w:t>
      </w:r>
    </w:p>
    <w:p>
      <w:pPr>
        <w:pStyle w:val="ListParagraph"/>
        <w:numPr>
          <w:ilvl w:val="0"/>
          <w:numId w:val="2"/>
        </w:numPr>
        <w:spacing w:after="40" w:before="36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?Old anteroseptal scar is unconfirmed (ECG-only, not seen 30.05); needs echo before entering any reasoning as fact.</w:t>
      </w:r>
    </w:p>
    <w:p>
      <w:pPr>
        <w:pStyle w:val="ListParagraph"/>
        <w:numPr>
          <w:ilvl w:val="0"/>
          <w:numId w:val="2"/>
        </w:numPr>
        <w:spacing w:after="40" w:before="36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This is a design/engineering brief, not a validated clinical tool. No prescribing. Board validation precedes any deployment.</w:t>
      </w:r>
    </w:p>
    <w:p>
      <w:pPr>
        <w:spacing w:after="60" w:before="50"/>
      </w:pPr>
      <w:r>
        <w:rPr>
          <w:rFonts w:ascii="Arial" w:cs="Arial" w:eastAsia="Arial" w:hAnsi="Arial"/>
          <w:color w:val="111111"/>
          <w:sz w:val="18"/>
          <w:szCs w:val="18"/>
        </w:rPr>
        <w:t xml:space="preserve"/>
      </w:r>
    </w:p>
    <w:p>
      <w:pPr>
        <w:pBdr>
          <w:top w:val="single" w:color="BDC3C7" w:sz="4" w:space="8"/>
        </w:pBdr>
        <w:spacing w:after="60" w:before="160"/>
      </w:pPr>
      <w:r>
        <w:rPr>
          <w:rFonts w:ascii="Arial" w:cs="Arial" w:eastAsia="Arial" w:hAnsi="Arial"/>
          <w:color w:val="888888"/>
          <w:sz w:val="14"/>
          <w:szCs w:val="14"/>
        </w:rPr>
        <w:t xml:space="preserve">Developer brief compiled by Longevity InTime AI Research Institute. Generalizes the post-CEA stroke AI system design to a case-agnostic, comorbidity-gated, multilingual multi-agent architecture for the 83-year-old patient. Decision-support and hypothesis-generation only; not a validated clinical tool; no autonomous prescribing.</w:t>
      </w:r>
    </w:p>
    <w:sectPr>
      <w:pgSz w:w="11906" w:h="16838" w:orient="portrait"/>
      <w:pgMar w:top="1080" w:right="108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.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42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2026-05-30T14:53:30.772Z</dcterms:created>
  <dcterms:modified xsi:type="dcterms:W3CDTF">2026-05-30T14:53:30.787Z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