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Sentiment Classification of Drug Reviews with Hand-Implemented LSTM Variants</w:t>
      </w:r>
    </w:p>
    <w:p>
      <w:r>
        <w:rPr>
          <w:i/>
        </w:rPr>
        <w:t>Advanced NLP: Lab Project on Recurrent Neural Networks, 2026/2027. Team: [TEAM MEMBERS: name 1, name 2, name 3, name 4, name 5]. Code: [GITHUB REPO URL]</w:t>
      </w:r>
    </w:p>
    <w:p>
      <w:pPr>
        <w:pStyle w:val="Heading1"/>
      </w:pPr>
      <w:r>
        <w:t>1. Goal of the task</w:t>
      </w:r>
    </w:p>
    <w:p>
      <w:r>
        <w:t xml:space="preserve">We classify patient reviews from Drugs.com (UCI Drug Review dataset) as </w:t>
      </w:r>
      <w:r>
        <w:rPr>
          <w:b/>
        </w:rPr>
        <w:t>positive</w:t>
      </w:r>
      <w:r>
        <w:t xml:space="preserve"> (rating ≥ 7) or </w:t>
      </w:r>
      <w:r>
        <w:rPr>
          <w:b/>
        </w:rPr>
        <w:t>negative</w:t>
      </w:r>
      <w:r>
        <w:t xml:space="preserve"> (rating ≤ 4); neutral reviews (5–6) are discarded. The goal is to compare a vanilla LSTM baseline with two non-vanilla cells from the appendix, the </w:t>
      </w:r>
      <w:r>
        <w:rPr>
          <w:b/>
        </w:rPr>
        <w:t>Coupled Input-Forget Gate LSTM (CIFG)</w:t>
      </w:r>
      <w:r>
        <w:t xml:space="preserve"> and the </w:t>
      </w:r>
      <w:r>
        <w:rPr>
          <w:b/>
        </w:rPr>
        <w:t>LSTM with recurrent Projection (LSTMP)</w:t>
      </w:r>
      <w:r>
        <w:t xml:space="preserve">, and to study how optimization hyperparameters affect the baseline. All cells are written from scratch with </w:t>
      </w:r>
      <w:r>
        <w:rPr>
          <w:rFonts w:ascii="Consolas" w:hAnsi="Consolas"/>
        </w:rPr>
        <w:t>nn.Linear</w:t>
      </w:r>
      <w:r>
        <w:t xml:space="preserve"> as the only linear operation; no built-in recurrent module (</w:t>
      </w:r>
      <w:r>
        <w:rPr>
          <w:rFonts w:ascii="Consolas" w:hAnsi="Consolas"/>
        </w:rPr>
        <w:t>nn.LSTM</w:t>
      </w:r>
      <w:r>
        <w:t xml:space="preserve">, </w:t>
      </w:r>
      <w:r>
        <w:rPr>
          <w:rFonts w:ascii="Consolas" w:hAnsi="Consolas"/>
        </w:rPr>
        <w:t>nn.LSTMCell</w:t>
      </w:r>
      <w:r>
        <w:t xml:space="preserve">, </w:t>
      </w:r>
      <w:r>
        <w:rPr>
          <w:rFonts w:ascii="Consolas" w:hAnsi="Consolas"/>
        </w:rPr>
        <w:t>nn.RNN</w:t>
      </w:r>
      <w:r>
        <w:t>) is used, which a unit test checks automatically.</w:t>
      </w:r>
    </w:p>
    <w:p>
      <w:pPr>
        <w:pStyle w:val="Heading1"/>
      </w:pPr>
      <w:r>
        <w:t>2. Exploratory data analysis</w:t>
      </w:r>
    </w:p>
    <w:p>
      <w:r>
        <w:t xml:space="preserve">The dataset provides an official train file (161,297 reviews) and test file (53,766 reviews). After dropping the 19,185 neutral reviews, 146,941 train and 48,937 test reviews remain. Ratings are strongly polarized (most reviews are 10 or 1), which makes the binary task well defined, but the classes are </w:t>
      </w:r>
      <w:r>
        <w:rPr>
          <w:b/>
        </w:rPr>
        <w:t>imbalanced</w:t>
      </w:r>
      <w:r>
        <w:t xml:space="preserve">: 72.7% positive in train and 72.4% in test. We therefore use </w:t>
      </w:r>
      <w:r>
        <w:rPr>
          <w:b/>
        </w:rPr>
        <w:t>macro-F1</w:t>
      </w:r>
      <w:r>
        <w:t xml:space="preserve"> as the model-selection and headline metric, since accuracy alone would reward predicting the majority class (a constant "positive" classifier already reaches ≈72.4% accuracy).</w:t>
      </w:r>
    </w:p>
    <w:p>
      <w:r>
        <w:drawing>
          <wp:inline xmlns:a="http://schemas.openxmlformats.org/drawingml/2006/main" xmlns:pic="http://schemas.openxmlformats.org/drawingml/2006/picture">
            <wp:extent cx="2984601" cy="1815806"/>
            <wp:docPr id="1" name="Picture 1"/>
            <wp:cNvGraphicFramePr>
              <a:graphicFrameLocks noChangeAspect="1"/>
            </wp:cNvGraphicFramePr>
            <a:graphic>
              <a:graphicData uri="http://schemas.openxmlformats.org/drawingml/2006/picture">
                <pic:pic>
                  <pic:nvPicPr>
                    <pic:cNvPr id="0" name="rating_distribution.png"/>
                    <pic:cNvPicPr/>
                  </pic:nvPicPr>
                  <pic:blipFill>
                    <a:blip r:embed="rId9"/>
                    <a:stretch>
                      <a:fillRect/>
                    </a:stretch>
                  </pic:blipFill>
                  <pic:spPr>
                    <a:xfrm>
                      <a:off x="0" y="0"/>
                      <a:ext cx="2984601" cy="1815806"/>
                    </a:xfrm>
                    <a:prstGeom prst="rect"/>
                  </pic:spPr>
                </pic:pic>
              </a:graphicData>
            </a:graphic>
          </wp:inline>
        </w:drawing>
      </w:r>
      <w:r>
        <w:drawing>
          <wp:inline xmlns:a="http://schemas.openxmlformats.org/drawingml/2006/main" xmlns:pic="http://schemas.openxmlformats.org/drawingml/2006/picture">
            <wp:extent cx="2984601" cy="1873389"/>
            <wp:docPr id="2" name="Picture 2"/>
            <wp:cNvGraphicFramePr>
              <a:graphicFrameLocks noChangeAspect="1"/>
            </wp:cNvGraphicFramePr>
            <a:graphic>
              <a:graphicData uri="http://schemas.openxmlformats.org/drawingml/2006/picture">
                <pic:pic>
                  <pic:nvPicPr>
                    <pic:cNvPr id="0" name="class_balance.png"/>
                    <pic:cNvPicPr/>
                  </pic:nvPicPr>
                  <pic:blipFill>
                    <a:blip r:embed="rId10"/>
                    <a:stretch>
                      <a:fillRect/>
                    </a:stretch>
                  </pic:blipFill>
                  <pic:spPr>
                    <a:xfrm>
                      <a:off x="0" y="0"/>
                      <a:ext cx="2984601" cy="1873389"/>
                    </a:xfrm>
                    <a:prstGeom prst="rect"/>
                  </pic:spPr>
                </pic:pic>
              </a:graphicData>
            </a:graphic>
          </wp:inline>
        </w:drawing>
      </w:r>
    </w:p>
    <w:p>
      <w:r>
        <w:t xml:space="preserve">Texts are HTML-unescaped (the raw file contains entities such as </w:t>
      </w:r>
      <w:r>
        <w:rPr>
          <w:rFonts w:ascii="Consolas" w:hAnsi="Consolas"/>
        </w:rPr>
        <w:t>&amp;#039;</w:t>
      </w:r>
      <w:r>
        <w:t xml:space="preserve">), lowercased, stripped of quotes and tokenized with a regular expression (words, contractions and the punctuation </w:t>
      </w:r>
      <w:r>
        <w:rPr>
          <w:rFonts w:ascii="Consolas" w:hAnsi="Consolas"/>
        </w:rPr>
        <w:t>! ? . ,</w:t>
      </w:r>
      <w:r>
        <w:t xml:space="preserve">). Reviews have a mean length of 94 tokens (median 93, 95th percentile 162); the distribution has a sharp drop near 160 tokens, which reflects a length limit on Drugs.com. A maximum sequence length of </w:t>
      </w:r>
      <w:r>
        <w:rPr>
          <w:b/>
        </w:rPr>
        <w:t>200</w:t>
      </w:r>
      <w:r>
        <w:t xml:space="preserve"> keeps 99.8% of reviews untruncated. The reviews cover 898 conditions and 3,617 drugs, dominated by birth control, depression and pain.</w:t>
      </w:r>
    </w:p>
    <w:p>
      <w:r>
        <w:drawing>
          <wp:inline xmlns:a="http://schemas.openxmlformats.org/drawingml/2006/main" xmlns:pic="http://schemas.openxmlformats.org/drawingml/2006/picture">
            <wp:extent cx="2984601" cy="1843742"/>
            <wp:docPr id="3" name="Picture 3"/>
            <wp:cNvGraphicFramePr>
              <a:graphicFrameLocks noChangeAspect="1"/>
            </wp:cNvGraphicFramePr>
            <a:graphic>
              <a:graphicData uri="http://schemas.openxmlformats.org/drawingml/2006/picture">
                <pic:pic>
                  <pic:nvPicPr>
                    <pic:cNvPr id="0" name="review_length.png"/>
                    <pic:cNvPicPr/>
                  </pic:nvPicPr>
                  <pic:blipFill>
                    <a:blip r:embed="rId11"/>
                    <a:stretch>
                      <a:fillRect/>
                    </a:stretch>
                  </pic:blipFill>
                  <pic:spPr>
                    <a:xfrm>
                      <a:off x="0" y="0"/>
                      <a:ext cx="2984601" cy="1843742"/>
                    </a:xfrm>
                    <a:prstGeom prst="rect"/>
                  </pic:spPr>
                </pic:pic>
              </a:graphicData>
            </a:graphic>
          </wp:inline>
        </w:drawing>
      </w:r>
      <w:r>
        <w:drawing>
          <wp:inline xmlns:a="http://schemas.openxmlformats.org/drawingml/2006/main" xmlns:pic="http://schemas.openxmlformats.org/drawingml/2006/picture">
            <wp:extent cx="2984601" cy="1722525"/>
            <wp:docPr id="4" name="Picture 4"/>
            <wp:cNvGraphicFramePr>
              <a:graphicFrameLocks noChangeAspect="1"/>
            </wp:cNvGraphicFramePr>
            <a:graphic>
              <a:graphicData uri="http://schemas.openxmlformats.org/drawingml/2006/picture">
                <pic:pic>
                  <pic:nvPicPr>
                    <pic:cNvPr id="0" name="top_conditions.png"/>
                    <pic:cNvPicPr/>
                  </pic:nvPicPr>
                  <pic:blipFill>
                    <a:blip r:embed="rId12"/>
                    <a:stretch>
                      <a:fillRect/>
                    </a:stretch>
                  </pic:blipFill>
                  <pic:spPr>
                    <a:xfrm>
                      <a:off x="0" y="0"/>
                      <a:ext cx="2984601" cy="1722525"/>
                    </a:xfrm>
                    <a:prstGeom prst="rect"/>
                  </pic:spPr>
                </pic:pic>
              </a:graphicData>
            </a:graphic>
          </wp:inline>
        </w:drawing>
      </w:r>
    </w:p>
    <w:p>
      <w:r>
        <w:rPr>
          <w:b/>
        </w:rPr>
        <w:t>Splits and subsampling.</w:t>
      </w:r>
      <w:r>
        <w:t xml:space="preserve"> The official test file is the test set. The official train file is split 90/10 (stratified, seed 42) into train and validation. To fit free-GPU budgets we draw stratified subsamples of </w:t>
      </w:r>
      <w:r>
        <w:rPr>
          <w:b/>
        </w:rPr>
        <w:t>40,000 train / 5,000 validation / 10,000 test</w:t>
      </w:r>
      <w:r>
        <w:t xml:space="preserve"> reviews; stratification preserves the original class ratio, so no artificial imbalance is introduced. The vocabulary (min frequency 2, at most 20k types, </w:t>
      </w:r>
      <w:r>
        <w:rPr>
          <w:rFonts w:ascii="Consolas" w:hAnsi="Consolas"/>
        </w:rPr>
        <w:t>&lt;pad&gt;</w:t>
      </w:r>
      <w:r>
        <w:t xml:space="preserve">=0, </w:t>
      </w:r>
      <w:r>
        <w:rPr>
          <w:rFonts w:ascii="Consolas" w:hAnsi="Consolas"/>
        </w:rPr>
        <w:t>&lt;unk&gt;</w:t>
      </w:r>
      <w:r>
        <w:t>=1) is built on the training subset only, giving 18,664 tokens.</w:t>
      </w:r>
    </w:p>
    <w:p>
      <w:pPr>
        <w:pStyle w:val="Heading1"/>
      </w:pPr>
      <w:r>
        <w:t>3. Modeling approach</w:t>
      </w:r>
    </w:p>
    <w:p>
      <w:r>
        <w:rPr>
          <w:b/>
        </w:rPr>
        <w:t>Architecture.</w:t>
      </w:r>
      <w:r>
        <w:t xml:space="preserve"> Every model shares the same pipeline: token ids → </w:t>
      </w:r>
      <w:r>
        <w:rPr>
          <w:rFonts w:ascii="Consolas" w:hAnsi="Consolas"/>
        </w:rPr>
        <w:t>nn.Embedding</w:t>
      </w:r>
      <w:r>
        <w:t xml:space="preserve"> (128-d) → one recurrent layer built from the chosen cell (hidden size H = 256) → dropout 0.3 → </w:t>
      </w:r>
      <w:r>
        <w:rPr>
          <w:rFonts w:ascii="Consolas" w:hAnsi="Consolas"/>
        </w:rPr>
        <w:t>nn.Linear</w:t>
      </w:r>
      <w:r>
        <w:t xml:space="preserve"> → 2 logits. A generic </w:t>
      </w:r>
      <w:r>
        <w:rPr>
          <w:rFonts w:ascii="Consolas" w:hAnsi="Consolas"/>
        </w:rPr>
        <w:t>RecurrentLayer</w:t>
      </w:r>
      <w:r>
        <w:t xml:space="preserve"> unrolls any cell over time and supports stacking with inter-layer dropout. Sequences are padded per batch; at padded positions the state is frozen with a mask, so the representation fed to the classifier is the hidden state at each review's </w:t>
      </w:r>
      <w:r>
        <w:rPr>
          <w:b/>
        </w:rPr>
        <w:t>true last token</w:t>
      </w:r>
      <w:r>
        <w:t xml:space="preserve">. Gate pre-activations are fused (one </w:t>
      </w:r>
      <w:r>
        <w:rPr>
          <w:rFonts w:ascii="Consolas" w:hAnsi="Consolas"/>
        </w:rPr>
        <w:t>nn.Linear</w:t>
      </w:r>
      <w:r>
        <w:t xml:space="preserve"> for x, one bias-free </w:t>
      </w:r>
      <w:r>
        <w:rPr>
          <w:rFonts w:ascii="Consolas" w:hAnsi="Consolas"/>
        </w:rPr>
        <w:t>nn.Linear</w:t>
      </w:r>
      <w:r>
        <w:t xml:space="preserve"> for h, so each gate has exactly one bias as in the equations), and W_x·x_t is computed for all time steps in a single matrix product before the time loop.</w:t>
      </w:r>
    </w:p>
    <w:p>
      <w:r>
        <w:rPr>
          <w:b/>
        </w:rPr>
        <w:t>Vanilla LSTM (baseline)</w:t>
      </w:r>
    </w:p>
    <w:p>
      <w:pPr>
        <w:spacing w:after="0"/>
      </w:pPr>
      <w:r>
        <w:rPr>
          <w:rFonts w:ascii="Consolas" w:hAnsi="Consolas"/>
          <w:sz w:val="18"/>
        </w:rPr>
        <w:t>i_t = σ(W_hi h_{t-1} + W_xi x_t + b_i)     f_t = σ(W_hf h_{t-1} + W_xf x_t + b_f)</w:t>
      </w:r>
    </w:p>
    <w:p>
      <w:pPr>
        <w:spacing w:after="0"/>
      </w:pPr>
      <w:r>
        <w:rPr>
          <w:rFonts w:ascii="Consolas" w:hAnsi="Consolas"/>
          <w:sz w:val="18"/>
        </w:rPr>
        <w:t>o_t = σ(W_ho h_{t-1} + W_xo x_t + b_o)     g_t = tanh(W_hg h_{t-1} + W_xg x_t + b_g)</w:t>
      </w:r>
    </w:p>
    <w:p>
      <w:pPr>
        <w:spacing w:after="0"/>
      </w:pPr>
      <w:r>
        <w:rPr>
          <w:rFonts w:ascii="Consolas" w:hAnsi="Consolas"/>
          <w:sz w:val="18"/>
        </w:rPr>
        <w:t>c_t = f_t ⊙ c_{t-1} + i_t ⊙ g_t            h_t = o_t ⊙ tanh(c_t)</w:t>
      </w:r>
    </w:p>
    <w:p>
      <w:r>
        <w:rPr>
          <w:b/>
        </w:rPr>
        <w:t>CIFG-LSTM.</w:t>
      </w:r>
      <w:r>
        <w:t xml:space="preserve"> The input gate is tied to the forget gate, i_t = 1 − f_t; the rest is unchanged. The cell can only write new content in proportion to what it forgets, which Greff et al. (2015) found to cost little accuracy while removing a full gate, i.e. </w:t>
      </w:r>
      <w:r>
        <w:rPr>
          <w:b/>
        </w:rPr>
        <w:t>25 % of the recurrent parameters</w:t>
      </w:r>
      <w:r>
        <w:t xml:space="preserve"> (3 instead of 4 gate blocks).</w:t>
      </w:r>
    </w:p>
    <w:p>
      <w:r>
        <w:rPr>
          <w:b/>
        </w:rPr>
        <w:t>LSTMP.</w:t>
      </w:r>
      <w:r>
        <w:t xml:space="preserve"> Gates are computed from x_t and the </w:t>
      </w:r>
      <w:r>
        <w:rPr>
          <w:i/>
        </w:rPr>
        <w:t>projected</w:t>
      </w:r>
      <w:r>
        <w:t xml:space="preserve"> previous state h_{t-1} ∈ ℝ^P; the cell state stays in ℝ^H:</w:t>
      </w:r>
    </w:p>
    <w:p>
      <w:pPr>
        <w:spacing w:after="0"/>
      </w:pPr>
      <w:r>
        <w:rPr>
          <w:rFonts w:ascii="Consolas" w:hAnsi="Consolas"/>
          <w:sz w:val="18"/>
        </w:rPr>
        <w:t>m_t = o_t ⊙ tanh(c_t),     h_t = W_p m_t + b_p,     W_p ∈ ℝ^{P×H}, P &lt; H</w:t>
      </w:r>
    </w:p>
    <w:p>
      <w:r>
        <w:t xml:space="preserve">Because the four recurrent matrices act on a P-dimensional state, their cost drops from 4H² to 4HP, at the price of one H×P projection. With H = 256 and P = 128, LSTMP keeps a 256-d memory with roughly the parameter budget of CIFG. Sak et al. (2014) introduced it to make large acoustic models cheaper. Both variants therefore target </w:t>
      </w:r>
      <w:r>
        <w:rPr>
          <w:b/>
        </w:rPr>
        <w:t>efficiency</w:t>
      </w:r>
      <w:r>
        <w:t>: can we keep the vanilla accuracy with fewer parameters?</w:t>
      </w:r>
    </w:p>
    <w:p>
      <w:r>
        <w:rPr>
          <w:b/>
        </w:rPr>
        <w:t>Parameter counts</w:t>
      </w:r>
      <w:r>
        <w:t xml:space="preserve"> (formulae checked by unit tests; D = 128 input, H = 256, P = 128):</w:t>
      </w:r>
    </w:p>
    <w:tbl>
      <w:tblPr>
        <w:tblStyle w:val="LightGrid-Accent1"/>
        <w:tblW w:type="auto" w:w="0"/>
        <w:tblLook w:firstColumn="1" w:firstRow="1" w:lastColumn="0" w:lastRow="0" w:noHBand="0" w:noVBand="1" w:val="04A0"/>
      </w:tblPr>
      <w:tblGrid>
        <w:gridCol w:w="2484"/>
        <w:gridCol w:w="2484"/>
        <w:gridCol w:w="2484"/>
        <w:gridCol w:w="2484"/>
      </w:tblGrid>
      <w:tr>
        <w:tc>
          <w:tcPr>
            <w:tcW w:type="dxa" w:w="2484"/>
          </w:tcPr>
          <w:p>
            <w:r>
              <w:rPr>
                <w:sz w:val="17"/>
              </w:rPr>
            </w:r>
            <w:r>
              <w:rPr>
                <w:sz w:val="17"/>
              </w:rPr>
              <w:t>Cell</w:t>
            </w:r>
          </w:p>
        </w:tc>
        <w:tc>
          <w:tcPr>
            <w:tcW w:type="dxa" w:w="2484"/>
          </w:tcPr>
          <w:p>
            <w:r>
              <w:rPr>
                <w:sz w:val="17"/>
              </w:rPr>
            </w:r>
            <w:r>
              <w:rPr>
                <w:sz w:val="17"/>
              </w:rPr>
              <w:t>Recurrent params</w:t>
            </w:r>
          </w:p>
        </w:tc>
        <w:tc>
          <w:tcPr>
            <w:tcW w:type="dxa" w:w="2484"/>
          </w:tcPr>
          <w:p>
            <w:r>
              <w:rPr>
                <w:sz w:val="17"/>
              </w:rPr>
            </w:r>
            <w:r>
              <w:rPr>
                <w:sz w:val="17"/>
              </w:rPr>
              <w:t>Total params (incl. embedding + classifier)</w:t>
            </w:r>
          </w:p>
        </w:tc>
        <w:tc>
          <w:tcPr>
            <w:tcW w:type="dxa" w:w="2484"/>
          </w:tcPr>
          <w:p>
            <w:r>
              <w:rPr>
                <w:sz w:val="17"/>
              </w:rPr>
            </w:r>
            <w:r>
              <w:rPr>
                <w:sz w:val="17"/>
              </w:rPr>
              <w:t>vs vanilla (recurrent)</w:t>
            </w:r>
          </w:p>
        </w:tc>
      </w:tr>
      <w:tr>
        <w:tc>
          <w:tcPr>
            <w:tcW w:type="dxa" w:w="2484"/>
          </w:tcPr>
          <w:p>
            <w:r>
              <w:rPr>
                <w:sz w:val="17"/>
              </w:rPr>
            </w:r>
            <w:r>
              <w:rPr>
                <w:sz w:val="17"/>
              </w:rPr>
              <w:t>Vanilla LSTM</w:t>
            </w:r>
          </w:p>
        </w:tc>
        <w:tc>
          <w:tcPr>
            <w:tcW w:type="dxa" w:w="2484"/>
          </w:tcPr>
          <w:p>
            <w:r>
              <w:rPr>
                <w:sz w:val="17"/>
              </w:rPr>
            </w:r>
            <w:r>
              <w:rPr>
                <w:sz w:val="17"/>
              </w:rPr>
              <w:t>394,240</w:t>
            </w:r>
          </w:p>
        </w:tc>
        <w:tc>
          <w:tcPr>
            <w:tcW w:type="dxa" w:w="2484"/>
          </w:tcPr>
          <w:p>
            <w:r>
              <w:rPr>
                <w:sz w:val="17"/>
              </w:rPr>
            </w:r>
            <w:r>
              <w:rPr>
                <w:sz w:val="17"/>
              </w:rPr>
              <w:t>2,783,746</w:t>
            </w:r>
          </w:p>
        </w:tc>
        <w:tc>
          <w:tcPr>
            <w:tcW w:type="dxa" w:w="2484"/>
          </w:tcPr>
          <w:p>
            <w:r>
              <w:rPr>
                <w:sz w:val="17"/>
              </w:rPr>
            </w:r>
            <w:r>
              <w:rPr>
                <w:sz w:val="17"/>
              </w:rPr>
              <w:t>+0.0%</w:t>
            </w:r>
          </w:p>
        </w:tc>
      </w:tr>
      <w:tr>
        <w:tc>
          <w:tcPr>
            <w:tcW w:type="dxa" w:w="2484"/>
          </w:tcPr>
          <w:p>
            <w:r>
              <w:rPr>
                <w:sz w:val="17"/>
              </w:rPr>
            </w:r>
            <w:r>
              <w:rPr>
                <w:sz w:val="17"/>
              </w:rPr>
              <w:t>CIFG-LSTM</w:t>
            </w:r>
          </w:p>
        </w:tc>
        <w:tc>
          <w:tcPr>
            <w:tcW w:type="dxa" w:w="2484"/>
          </w:tcPr>
          <w:p>
            <w:r>
              <w:rPr>
                <w:sz w:val="17"/>
              </w:rPr>
            </w:r>
            <w:r>
              <w:rPr>
                <w:sz w:val="17"/>
              </w:rPr>
              <w:t>295,680</w:t>
            </w:r>
          </w:p>
        </w:tc>
        <w:tc>
          <w:tcPr>
            <w:tcW w:type="dxa" w:w="2484"/>
          </w:tcPr>
          <w:p>
            <w:r>
              <w:rPr>
                <w:sz w:val="17"/>
              </w:rPr>
            </w:r>
            <w:r>
              <w:rPr>
                <w:sz w:val="17"/>
              </w:rPr>
              <w:t>2,685,186</w:t>
            </w:r>
          </w:p>
        </w:tc>
        <w:tc>
          <w:tcPr>
            <w:tcW w:type="dxa" w:w="2484"/>
          </w:tcPr>
          <w:p>
            <w:r>
              <w:rPr>
                <w:sz w:val="17"/>
              </w:rPr>
            </w:r>
            <w:r>
              <w:rPr>
                <w:sz w:val="17"/>
              </w:rPr>
              <w:t>-25.0%</w:t>
            </w:r>
          </w:p>
        </w:tc>
      </w:tr>
      <w:tr>
        <w:tc>
          <w:tcPr>
            <w:tcW w:type="dxa" w:w="2484"/>
          </w:tcPr>
          <w:p>
            <w:r>
              <w:rPr>
                <w:sz w:val="17"/>
              </w:rPr>
            </w:r>
            <w:r>
              <w:rPr>
                <w:sz w:val="17"/>
              </w:rPr>
              <w:t>LSTMP (P=128)</w:t>
            </w:r>
          </w:p>
        </w:tc>
        <w:tc>
          <w:tcPr>
            <w:tcW w:type="dxa" w:w="2484"/>
          </w:tcPr>
          <w:p>
            <w:r>
              <w:rPr>
                <w:sz w:val="17"/>
              </w:rPr>
            </w:r>
            <w:r>
              <w:rPr>
                <w:sz w:val="17"/>
              </w:rPr>
              <w:t>296,064</w:t>
            </w:r>
          </w:p>
        </w:tc>
        <w:tc>
          <w:tcPr>
            <w:tcW w:type="dxa" w:w="2484"/>
          </w:tcPr>
          <w:p>
            <w:r>
              <w:rPr>
                <w:sz w:val="17"/>
              </w:rPr>
            </w:r>
            <w:r>
              <w:rPr>
                <w:sz w:val="17"/>
              </w:rPr>
              <w:t>2,685,314</w:t>
            </w:r>
          </w:p>
        </w:tc>
        <w:tc>
          <w:tcPr>
            <w:tcW w:type="dxa" w:w="2484"/>
          </w:tcPr>
          <w:p>
            <w:r>
              <w:rPr>
                <w:sz w:val="17"/>
              </w:rPr>
            </w:r>
            <w:r>
              <w:rPr>
                <w:sz w:val="17"/>
              </w:rPr>
              <w:t>-24.9%</w:t>
            </w:r>
          </w:p>
        </w:tc>
      </w:tr>
      <w:tr>
        <w:tc>
          <w:tcPr>
            <w:tcW w:type="dxa" w:w="2484"/>
          </w:tcPr>
          <w:p>
            <w:r>
              <w:rPr>
                <w:sz w:val="17"/>
              </w:rPr>
            </w:r>
            <w:r>
              <w:rPr>
                <w:sz w:val="17"/>
              </w:rPr>
              <w:t>LSTMP (P=64)</w:t>
            </w:r>
          </w:p>
        </w:tc>
        <w:tc>
          <w:tcPr>
            <w:tcW w:type="dxa" w:w="2484"/>
          </w:tcPr>
          <w:p>
            <w:r>
              <w:rPr>
                <w:sz w:val="17"/>
              </w:rPr>
            </w:r>
            <w:r>
              <w:rPr>
                <w:sz w:val="17"/>
              </w:rPr>
              <w:t>214,080</w:t>
            </w:r>
          </w:p>
        </w:tc>
        <w:tc>
          <w:tcPr>
            <w:tcW w:type="dxa" w:w="2484"/>
          </w:tcPr>
          <w:p>
            <w:r>
              <w:rPr>
                <w:sz w:val="17"/>
              </w:rPr>
            </w:r>
            <w:r>
              <w:rPr>
                <w:sz w:val="17"/>
              </w:rPr>
              <w:t>2,603,202</w:t>
            </w:r>
          </w:p>
        </w:tc>
        <w:tc>
          <w:tcPr>
            <w:tcW w:type="dxa" w:w="2484"/>
          </w:tcPr>
          <w:p>
            <w:r>
              <w:rPr>
                <w:sz w:val="17"/>
              </w:rPr>
            </w:r>
            <w:r>
              <w:rPr>
                <w:sz w:val="17"/>
              </w:rPr>
              <w:t>-45.7%</w:t>
            </w:r>
          </w:p>
        </w:tc>
      </w:tr>
    </w:tbl>
    <w:p>
      <w:r>
        <w:rPr>
          <w:b/>
        </w:rPr>
        <w:t>Tests.</w:t>
      </w:r>
      <w:r>
        <w:t xml:space="preserve"> </w:t>
      </w:r>
      <w:r>
        <w:rPr>
          <w:rFonts w:ascii="Consolas" w:hAnsi="Consolas"/>
        </w:rPr>
        <w:t>tests/test_cells.py</w:t>
      </w:r>
      <w:r>
        <w:t xml:space="preserve"> checks output shapes, the parameter formulae, i_t = 1 − f_t for CIFG, agreement of the vanilla cell with a direct evaluation of the equations, invariance of the final state to extra padding, and that </w:t>
      </w:r>
      <w:r>
        <w:rPr>
          <w:rFonts w:ascii="Consolas" w:hAnsi="Consolas"/>
        </w:rPr>
        <w:t>src/</w:t>
      </w:r>
      <w:r>
        <w:t xml:space="preserve"> contains no built-in recurrent module.</w:t>
      </w:r>
    </w:p>
    <w:p>
      <w:pPr>
        <w:pStyle w:val="Heading1"/>
      </w:pPr>
      <w:r>
        <w:t>4. Hyperparameter design choices</w:t>
      </w:r>
    </w:p>
    <w:p>
      <w:r>
        <w:rPr>
          <w:b/>
        </w:rPr>
        <w:t>Shared protocol.</w:t>
      </w:r>
      <w:r>
        <w:t xml:space="preserve"> Same splits, same seed (42), same seeded length-bucketed batch order, cross-entropy loss, gradient-norm clipping at 1.0, at most 10 epochs with early stopping on validation macro-F1 (patience 3). The checkpoint with the best validation macro-F1 is evaluated once on the test set. Forget-gate biases are initialised to 1 and other biases to 0. </w:t>
      </w:r>
      <w:r>
        <w:rPr>
          <w:b/>
        </w:rPr>
        <w:t>Baseline:</w:t>
      </w:r>
      <w:r>
        <w:t xml:space="preserve"> Adam, learning rate 10⁻³, batch size 128, Xavier-uniform initialisation, embedding 128, hidden 256, dropout 0.3. These are standard settings for LSTM text classifiers; embedding and hidden sizes were kept moderate so that each run fits a free Colab GPU session.</w:t>
      </w:r>
    </w:p>
    <w:p>
      <w:r>
        <w:rPr>
          <w:b/>
        </w:rPr>
        <w:t>Study (vanilla LSTM, one factor changed at a time):</w:t>
      </w:r>
      <w:r>
        <w:t xml:space="preserve"> learning rate 10⁻³ vs 5·10⁻³; Adam vs SGD (momentum 0.9, lr 0.05); batch size 64 / 128 / 256; Xavier-uniform vs orthogonal recurrent weights.</w:t>
      </w:r>
    </w:p>
    <w:p>
      <w:r>
        <w:rPr>
          <w:b/>
        </w:rPr>
        <w:t>[TO FILL AFTER RUN]</w:t>
      </w:r>
    </w:p>
    <w:p>
      <w:r>
        <w:rPr>
          <w:b/>
        </w:rPr>
        <w:t>[TO FILL AFTER RUN]</w:t>
      </w:r>
      <w:r>
        <w:t xml:space="preserve"> </w:t>
      </w:r>
      <w:r>
        <w:rPr>
          <w:i/>
        </w:rPr>
        <w:t>(figure hparam_comparison.png)</w:t>
      </w:r>
    </w:p>
    <w:p>
      <w:r>
        <w:rPr>
          <w:b/>
        </w:rPr>
        <w:t>[TO FILL AFTER RUN]</w:t>
      </w:r>
    </w:p>
    <w:p>
      <w:pPr>
        <w:pStyle w:val="Heading1"/>
      </w:pPr>
      <w:r>
        <w:t>5. Final model performance and evaluation</w:t>
      </w:r>
    </w:p>
    <w:p>
      <w:r>
        <w:rPr>
          <w:b/>
        </w:rPr>
        <w:t>Architecture comparison</w:t>
      </w:r>
      <w:r>
        <w:t xml:space="preserve"> (identical hyperparameters, test set):</w:t>
      </w:r>
    </w:p>
    <w:p>
      <w:r>
        <w:rPr>
          <w:b/>
        </w:rPr>
        <w:t>[TO FILL AFTER RUN]</w:t>
      </w:r>
    </w:p>
    <w:p>
      <w:r>
        <w:rPr>
          <w:b/>
        </w:rPr>
        <w:t>[TO FILL AFTER RUN]</w:t>
      </w:r>
      <w:r>
        <w:t xml:space="preserve"> </w:t>
      </w:r>
      <w:r>
        <w:rPr>
          <w:i/>
        </w:rPr>
        <w:t>(figure val_curves.png)</w:t>
      </w:r>
    </w:p>
    <w:p>
      <w:r>
        <w:rPr>
          <w:b/>
        </w:rPr>
        <w:t>[TO FILL AFTER RUN]</w:t>
      </w:r>
    </w:p>
    <w:p>
      <w:r>
        <w:rPr>
          <w:b/>
        </w:rPr>
        <w:t>[TO FILL AFTER RUN]</w:t>
      </w:r>
      <w:r>
        <w:t xml:space="preserve"> </w:t>
      </w:r>
      <w:r>
        <w:rPr>
          <w:i/>
        </w:rPr>
        <w:t>(figure params_vs_f1.png)</w:t>
      </w:r>
    </w:p>
    <w:p>
      <w:r>
        <w:rPr>
          <w:b/>
        </w:rPr>
        <w:t>Projection size (bonus).</w:t>
      </w:r>
      <w:r>
        <w:t xml:space="preserve"> </w:t>
      </w:r>
      <w:r>
        <w:rPr>
          <w:b/>
        </w:rPr>
        <w:t>[TO FILL AFTER RUN]</w:t>
      </w:r>
    </w:p>
    <w:p>
      <w:r>
        <w:rPr>
          <w:b/>
        </w:rPr>
        <w:t>Final model.</w:t>
      </w:r>
      <w:r>
        <w:t xml:space="preserve"> </w:t>
      </w:r>
      <w:r>
        <w:rPr>
          <w:b/>
        </w:rPr>
        <w:t>[TO FILL AFTER RUN]</w:t>
      </w:r>
    </w:p>
    <w:p>
      <w:r>
        <w:rPr>
          <w:b/>
        </w:rPr>
        <w:t>[TO FILL AFTER RUN]</w:t>
      </w:r>
      <w:r>
        <w:t xml:space="preserve"> </w:t>
      </w:r>
      <w:r>
        <w:rPr>
          <w:i/>
        </w:rPr>
        <w:t>(figure confusion_matrix.png)</w:t>
      </w:r>
    </w:p>
    <w:p>
      <w:r>
        <w:rPr>
          <w:b/>
        </w:rPr>
        <w:t>[TO FILL AFTER RUN]</w:t>
      </w:r>
    </w:p>
    <w:p>
      <w:pPr>
        <w:pStyle w:val="Heading1"/>
      </w:pPr>
      <w:r>
        <w:t>6. Limitations and potential improvements</w:t>
      </w:r>
    </w:p>
    <w:p>
      <w:pPr>
        <w:pStyle w:val="ListBullet"/>
      </w:pPr>
      <w:r>
        <w:rPr>
          <w:b/>
        </w:rPr>
        <w:t>Context from both directions:</w:t>
      </w:r>
      <w:r>
        <w:t xml:space="preserve"> a bidirectional layer, or attention pooling over all hidden states, would avoid relying on the last state alone, which is a bottleneck for long reviews where the verdict appears early.</w:t>
      </w:r>
    </w:p>
    <w:p>
      <w:pPr>
        <w:pStyle w:val="ListBullet"/>
      </w:pPr>
      <w:r>
        <w:rPr>
          <w:b/>
        </w:rPr>
        <w:t>Pretrained embeddings</w:t>
      </w:r>
      <w:r>
        <w:t xml:space="preserve"> (GloVe, fastText or domain embeddings trained on medical text) would help with rare drug names and side-effect vocabulary that a 40k-review vocabulary covers poorly.</w:t>
      </w:r>
    </w:p>
    <w:p>
      <w:pPr>
        <w:pStyle w:val="ListBullet"/>
      </w:pPr>
      <w:r>
        <w:rPr>
          <w:b/>
        </w:rPr>
        <w:t>Other cells:</w:t>
      </w:r>
      <w:r>
        <w:t xml:space="preserve"> the Working Memory Connections (WMC) cell, which lets the cell state drive the gates, is a natural fourth variant; a stacked 2-layer model is already supported by the code.</w:t>
      </w:r>
    </w:p>
    <w:p>
      <w:pPr>
        <w:pStyle w:val="ListBullet"/>
      </w:pPr>
      <w:r>
        <w:rPr>
          <w:b/>
        </w:rPr>
        <w:t>Class imbalance:</w:t>
      </w:r>
      <w:r>
        <w:t xml:space="preserve"> class-weighted loss or threshold tuning on the validation set could raise recall on the negative class without resampling.</w:t>
      </w:r>
    </w:p>
    <w:p>
      <w:pPr>
        <w:pStyle w:val="ListBullet"/>
      </w:pPr>
      <w:r>
        <w:rPr>
          <w:b/>
        </w:rPr>
        <w:t>Task framing:</w:t>
      </w:r>
      <w:r>
        <w:t xml:space="preserve"> a 3-class setting keeping neutral 5–6 reviews, or rating regression, would be more informative and harder.</w:t>
      </w:r>
    </w:p>
    <w:p>
      <w:pPr>
        <w:pStyle w:val="ListBullet"/>
      </w:pPr>
      <w:r>
        <w:rPr>
          <w:b/>
        </w:rPr>
        <w:t>More data and search:</w:t>
      </w:r>
      <w:r>
        <w:t xml:space="preserve"> training on the full 132k training reviews and a systematic search (several seeds, joint lr/batch-size grid) would give more reliable conclusions; our results come from a single seed, so differences of a few thousandths of F1 should not be over-interpreted.</w:t>
      </w:r>
    </w:p>
    <w:p>
      <w:r>
        <w:rPr>
          <w:b/>
        </w:rPr>
        <w:t>References.</w:t>
      </w:r>
      <w:r>
        <w:t xml:space="preserve"> Greff et al., </w:t>
      </w:r>
      <w:r>
        <w:rPr>
          <w:i/>
        </w:rPr>
        <w:t>LSTM: A Search Space Odyssey</w:t>
      </w:r>
      <w:r>
        <w:t xml:space="preserve">, 2015. Sak et al., </w:t>
      </w:r>
      <w:r>
        <w:rPr>
          <w:i/>
        </w:rPr>
        <w:t>Long Short-Term Memory Recurrent Neural Network Architectures for Large Scale Acoustic Modeling</w:t>
      </w:r>
      <w:r>
        <w:t xml:space="preserve">, Interspeech 2014. Landi et al., </w:t>
      </w:r>
      <w:r>
        <w:rPr>
          <w:i/>
        </w:rPr>
        <w:t>Working Memory Connections for LSTM</w:t>
      </w:r>
      <w:r>
        <w:t xml:space="preserve">, Neural Networks, 2021. Gräßer et al., </w:t>
      </w:r>
      <w:r>
        <w:rPr>
          <w:i/>
        </w:rPr>
        <w:t>Aspect-Based Sentiment Analysis of Drug Reviews Applying Cross-Domain and Cross-Data Learning</w:t>
      </w:r>
      <w:r>
        <w:t>, 2018 (dataset).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