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B47" w:rsidRPr="00EB7321" w:rsidRDefault="00EB7321">
      <w:pPr>
        <w:rPr>
          <w:color w:val="4472C4" w:themeColor="accent5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7321">
        <w:rPr>
          <w:color w:val="4472C4" w:themeColor="accent5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Qu’apportes-tu en termes de clarté </w:t>
      </w:r>
      <w:bookmarkStart w:id="0" w:name="_GoBack"/>
      <w:bookmarkEnd w:id="0"/>
      <w:r w:rsidRPr="00EB7321">
        <w:rPr>
          <w:color w:val="4472C4" w:themeColor="accent5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 de maintenabilité ?</w:t>
      </w:r>
    </w:p>
    <w:p w:rsidR="00EB7321" w:rsidRDefault="00EB7321" w:rsidP="00EB7321">
      <w:pPr>
        <w:rPr>
          <w:sz w:val="24"/>
          <w:szCs w:val="24"/>
        </w:rPr>
      </w:pPr>
      <w:r w:rsidRPr="00EB7321">
        <w:rPr>
          <w:sz w:val="24"/>
          <w:szCs w:val="24"/>
        </w:rPr>
        <w:t>En séparant les responsabilités (routes, contrôleurs, services, modèles), ton API devient plus lisible, plus testable et plus facile à faire évoluer. Chaque fichier a un rôle clair.</w:t>
      </w:r>
    </w:p>
    <w:p w:rsidR="00EB7321" w:rsidRDefault="00EB7321" w:rsidP="00EB7321">
      <w:pPr>
        <w:rPr>
          <w:sz w:val="24"/>
          <w:szCs w:val="24"/>
        </w:rPr>
      </w:pPr>
    </w:p>
    <w:p w:rsidR="00EB7321" w:rsidRDefault="00EB7321" w:rsidP="00EB7321">
      <w:pPr>
        <w:rPr>
          <w:color w:val="4472C4" w:themeColor="accent5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7321">
        <w:rPr>
          <w:color w:val="4472C4" w:themeColor="accent5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Quels fichiers changeraient le plus souvent </w:t>
      </w:r>
      <w:r>
        <w:rPr>
          <w:color w:val="4472C4" w:themeColor="accent5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 l’API évolue ? </w:t>
      </w:r>
    </w:p>
    <w:p w:rsidR="00EB7321" w:rsidRDefault="00EB7321" w:rsidP="00EB7321">
      <w:pPr>
        <w:pStyle w:val="NormalWeb"/>
      </w:pPr>
      <w:r>
        <w:rPr>
          <w:rStyle w:val="lev"/>
        </w:rPr>
        <w:t>Fichiers qui changent le plus si l’API évolue :</w:t>
      </w:r>
    </w:p>
    <w:p w:rsidR="00EB7321" w:rsidRDefault="00EB7321" w:rsidP="00EB7321">
      <w:pPr>
        <w:pStyle w:val="NormalWeb"/>
        <w:numPr>
          <w:ilvl w:val="0"/>
          <w:numId w:val="1"/>
        </w:numPr>
      </w:pPr>
      <w:r>
        <w:rPr>
          <w:rStyle w:val="lev"/>
        </w:rPr>
        <w:t>Routes</w:t>
      </w:r>
      <w:r>
        <w:t xml:space="preserve"> → ajout/modification d’</w:t>
      </w:r>
      <w:proofErr w:type="spellStart"/>
      <w:r>
        <w:t>endpoints</w:t>
      </w:r>
      <w:proofErr w:type="spellEnd"/>
    </w:p>
    <w:p w:rsidR="00EB7321" w:rsidRDefault="00EB7321" w:rsidP="00EB7321">
      <w:pPr>
        <w:pStyle w:val="NormalWeb"/>
        <w:numPr>
          <w:ilvl w:val="0"/>
          <w:numId w:val="1"/>
        </w:numPr>
      </w:pPr>
      <w:r>
        <w:rPr>
          <w:rStyle w:val="lev"/>
        </w:rPr>
        <w:t>Contrôleurs</w:t>
      </w:r>
      <w:r>
        <w:t xml:space="preserve"> → logique de traitement liée aux </w:t>
      </w:r>
      <w:proofErr w:type="spellStart"/>
      <w:r>
        <w:t>endpoints</w:t>
      </w:r>
      <w:proofErr w:type="spellEnd"/>
    </w:p>
    <w:p w:rsidR="00EB7321" w:rsidRDefault="00EB7321" w:rsidP="00EB7321">
      <w:pPr>
        <w:pStyle w:val="NormalWeb"/>
        <w:numPr>
          <w:ilvl w:val="0"/>
          <w:numId w:val="1"/>
        </w:numPr>
      </w:pPr>
      <w:r>
        <w:rPr>
          <w:rStyle w:val="lev"/>
        </w:rPr>
        <w:t>Services</w:t>
      </w:r>
      <w:r>
        <w:t xml:space="preserve"> → règles métier quand les fonctionnalités changent</w:t>
      </w:r>
    </w:p>
    <w:p w:rsidR="00EB7321" w:rsidRDefault="00EB7321" w:rsidP="00EB7321">
      <w:pPr>
        <w:pStyle w:val="NormalWeb"/>
        <w:numPr>
          <w:ilvl w:val="0"/>
          <w:numId w:val="1"/>
        </w:numPr>
      </w:pPr>
      <w:r>
        <w:rPr>
          <w:rStyle w:val="lev"/>
        </w:rPr>
        <w:t>Modèles / schémas</w:t>
      </w:r>
      <w:r>
        <w:t xml:space="preserve"> → si la structure des données évolue</w:t>
      </w:r>
      <w:r>
        <w:t> </w:t>
      </w:r>
    </w:p>
    <w:p w:rsidR="00EB7321" w:rsidRPr="00EB7321" w:rsidRDefault="00EB7321" w:rsidP="00EB7321">
      <w:pPr>
        <w:pStyle w:val="NormalWeb"/>
        <w:rPr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EB7321" w:rsidRDefault="00EB7321" w:rsidP="00EB7321">
      <w:pPr>
        <w:pStyle w:val="NormalWeb"/>
        <w:rPr>
          <w:color w:val="4472C4" w:themeColor="accent5"/>
          <w:sz w:val="32"/>
          <w:szCs w:val="32"/>
        </w:rPr>
      </w:pPr>
      <w:r w:rsidRPr="00EB7321">
        <w:rPr>
          <w:color w:val="4472C4" w:themeColor="accent5"/>
          <w:sz w:val="32"/>
          <w:szCs w:val="32"/>
        </w:rPr>
        <w:t xml:space="preserve">Qu’est-ce qu’un </w:t>
      </w:r>
      <w:proofErr w:type="spellStart"/>
      <w:r w:rsidRPr="00EB7321">
        <w:rPr>
          <w:color w:val="4472C4" w:themeColor="accent5"/>
          <w:sz w:val="32"/>
          <w:szCs w:val="32"/>
        </w:rPr>
        <w:t>endpoint</w:t>
      </w:r>
      <w:proofErr w:type="spellEnd"/>
      <w:r w:rsidRPr="00EB7321">
        <w:rPr>
          <w:color w:val="4472C4" w:themeColor="accent5"/>
          <w:sz w:val="32"/>
          <w:szCs w:val="32"/>
        </w:rPr>
        <w:t xml:space="preserve"> REST bien conçu ?</w:t>
      </w:r>
    </w:p>
    <w:p w:rsidR="00EB7321" w:rsidRPr="00EB7321" w:rsidRDefault="00EB7321" w:rsidP="00EB7321">
      <w:pPr>
        <w:pStyle w:val="NormalWeb"/>
        <w:rPr>
          <w:color w:val="4472C4" w:themeColor="accent5"/>
          <w:sz w:val="32"/>
          <w:szCs w:val="32"/>
        </w:rPr>
      </w:pPr>
      <w:r>
        <w:t xml:space="preserve">Un </w:t>
      </w:r>
      <w:proofErr w:type="spellStart"/>
      <w:r>
        <w:t>endpoint</w:t>
      </w:r>
      <w:proofErr w:type="spellEnd"/>
      <w:r>
        <w:t xml:space="preserve"> REST bien conçu utilise des </w:t>
      </w:r>
      <w:proofErr w:type="spellStart"/>
      <w:r>
        <w:rPr>
          <w:rStyle w:val="lev"/>
        </w:rPr>
        <w:t>URLs</w:t>
      </w:r>
      <w:proofErr w:type="spellEnd"/>
      <w:r>
        <w:rPr>
          <w:rStyle w:val="lev"/>
        </w:rPr>
        <w:t xml:space="preserve"> claires</w:t>
      </w:r>
      <w:r>
        <w:t xml:space="preserve">, basées sur des </w:t>
      </w:r>
      <w:r>
        <w:rPr>
          <w:rStyle w:val="lev"/>
        </w:rPr>
        <w:t>ressources</w:t>
      </w:r>
      <w:r>
        <w:t xml:space="preserve"> (pas des verbes), suit les </w:t>
      </w:r>
      <w:r>
        <w:rPr>
          <w:rStyle w:val="lev"/>
        </w:rPr>
        <w:t>méthodes HTTP standards</w:t>
      </w:r>
      <w:r>
        <w:t xml:space="preserve"> (GET, POST, PUT, DELETE), renvoie des </w:t>
      </w:r>
      <w:r>
        <w:rPr>
          <w:rStyle w:val="lev"/>
        </w:rPr>
        <w:t>statuts HTTP cohérents</w:t>
      </w:r>
      <w:r>
        <w:t xml:space="preserve">, et produit des </w:t>
      </w:r>
      <w:r>
        <w:rPr>
          <w:rStyle w:val="lev"/>
        </w:rPr>
        <w:t>réponses structurées</w:t>
      </w:r>
      <w:r>
        <w:t xml:space="preserve"> et faciles à consommer.</w:t>
      </w:r>
    </w:p>
    <w:p w:rsidR="00EB7321" w:rsidRPr="00EB7321" w:rsidRDefault="00EB7321" w:rsidP="00EB7321">
      <w:pPr>
        <w:pStyle w:val="NormalWeb"/>
        <w:rPr>
          <w:color w:val="4472C4" w:themeColor="accent5"/>
          <w:sz w:val="32"/>
          <w:szCs w:val="32"/>
        </w:rPr>
      </w:pPr>
    </w:p>
    <w:p w:rsidR="00EB7321" w:rsidRPr="00EB7321" w:rsidRDefault="00EB7321" w:rsidP="00EB7321">
      <w:pPr>
        <w:pStyle w:val="NormalWeb"/>
        <w:rPr>
          <w:color w:val="4472C4" w:themeColor="accent5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EB7321">
        <w:rPr>
          <w:color w:val="4472C4" w:themeColor="accent5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Pourquoi l’idempotence est-elle importante dans une API ?</w:t>
      </w:r>
    </w:p>
    <w:p w:rsidR="00EB7321" w:rsidRDefault="009C3C30" w:rsidP="00EB7321">
      <w:r>
        <w:t xml:space="preserve">L’idempotence garantit qu’une même requête répétée plusieurs fois produit </w:t>
      </w:r>
      <w:r>
        <w:rPr>
          <w:rStyle w:val="lev"/>
        </w:rPr>
        <w:t>le même résultat final</w:t>
      </w:r>
      <w:r>
        <w:t>.</w:t>
      </w:r>
      <w:r>
        <w:br/>
        <w:t xml:space="preserve">Cela évite les erreurs (ex. commandes dupliquées), rend l'API </w:t>
      </w:r>
      <w:r>
        <w:rPr>
          <w:rStyle w:val="lev"/>
        </w:rPr>
        <w:t>prévisible</w:t>
      </w:r>
      <w:r>
        <w:t xml:space="preserve">, facilite les </w:t>
      </w:r>
      <w:r>
        <w:rPr>
          <w:rStyle w:val="lev"/>
        </w:rPr>
        <w:t>retries</w:t>
      </w:r>
      <w:r>
        <w:t xml:space="preserve"> côté client, et améliore la </w:t>
      </w:r>
      <w:r>
        <w:rPr>
          <w:rStyle w:val="lev"/>
        </w:rPr>
        <w:t>sécurité des opérations critiques</w:t>
      </w:r>
      <w:r>
        <w:t>.</w:t>
      </w:r>
    </w:p>
    <w:p w:rsidR="009C3C30" w:rsidRDefault="009C3C30" w:rsidP="00EB7321"/>
    <w:p w:rsidR="009C3C30" w:rsidRDefault="009C3C30" w:rsidP="00EB7321"/>
    <w:p w:rsidR="009C3C30" w:rsidRDefault="009C3C30" w:rsidP="00EB7321">
      <w:pPr>
        <w:rPr>
          <w:color w:val="4472C4" w:themeColor="accent5"/>
          <w:sz w:val="32"/>
          <w:szCs w:val="32"/>
        </w:rPr>
      </w:pPr>
      <w:r w:rsidRPr="009C3C30">
        <w:rPr>
          <w:color w:val="4472C4" w:themeColor="accent5"/>
          <w:sz w:val="32"/>
          <w:szCs w:val="32"/>
        </w:rPr>
        <w:t xml:space="preserve">Quelle est la différence entre un middleware global et local ? </w:t>
      </w:r>
    </w:p>
    <w:p w:rsidR="009C3C30" w:rsidRPr="009C3C30" w:rsidRDefault="009C3C30" w:rsidP="009C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C3C30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9C3C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9C3C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Global</w:t>
      </w:r>
      <w:proofErr w:type="gramEnd"/>
      <w:r w:rsidRPr="009C3C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appliqué à </w:t>
      </w:r>
      <w:r w:rsidRPr="009C3C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toutes les routes</w:t>
      </w:r>
      <w:r w:rsidRPr="009C3C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l’application (</w:t>
      </w:r>
      <w:proofErr w:type="spellStart"/>
      <w:r w:rsidRPr="009C3C30">
        <w:rPr>
          <w:rFonts w:ascii="Courier New" w:eastAsia="Times New Roman" w:hAnsi="Courier New" w:cs="Courier New"/>
          <w:sz w:val="20"/>
          <w:szCs w:val="20"/>
          <w:lang w:eastAsia="fr-FR"/>
        </w:rPr>
        <w:t>app.use</w:t>
      </w:r>
      <w:proofErr w:type="spellEnd"/>
      <w:r w:rsidRPr="009C3C30">
        <w:rPr>
          <w:rFonts w:ascii="Courier New" w:eastAsia="Times New Roman" w:hAnsi="Courier New" w:cs="Courier New"/>
          <w:sz w:val="20"/>
          <w:szCs w:val="20"/>
          <w:lang w:eastAsia="fr-FR"/>
        </w:rPr>
        <w:t>(...)</w:t>
      </w:r>
      <w:r w:rsidRPr="009C3C30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9C3C30" w:rsidRPr="009C3C30" w:rsidRDefault="009C3C30" w:rsidP="009C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C3C30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9C3C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9C3C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Local</w:t>
      </w:r>
      <w:proofErr w:type="gramEnd"/>
      <w:r w:rsidRPr="009C3C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appliqué à </w:t>
      </w:r>
      <w:r w:rsidRPr="009C3C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une route spécifique</w:t>
      </w:r>
      <w:r w:rsidRPr="009C3C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un groupe de routes seulement (</w:t>
      </w:r>
      <w:proofErr w:type="spellStart"/>
      <w:r w:rsidRPr="009C3C30">
        <w:rPr>
          <w:rFonts w:ascii="Courier New" w:eastAsia="Times New Roman" w:hAnsi="Courier New" w:cs="Courier New"/>
          <w:sz w:val="20"/>
          <w:szCs w:val="20"/>
          <w:lang w:eastAsia="fr-FR"/>
        </w:rPr>
        <w:t>router.get</w:t>
      </w:r>
      <w:proofErr w:type="spellEnd"/>
      <w:r w:rsidRPr="009C3C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(..., middleware, </w:t>
      </w:r>
      <w:proofErr w:type="spellStart"/>
      <w:r w:rsidRPr="009C3C30">
        <w:rPr>
          <w:rFonts w:ascii="Courier New" w:eastAsia="Times New Roman" w:hAnsi="Courier New" w:cs="Courier New"/>
          <w:sz w:val="20"/>
          <w:szCs w:val="20"/>
          <w:lang w:eastAsia="fr-FR"/>
        </w:rPr>
        <w:t>handler</w:t>
      </w:r>
      <w:proofErr w:type="spellEnd"/>
      <w:r w:rsidRPr="009C3C30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9C3C30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9C3C30" w:rsidRDefault="009C3C30" w:rsidP="00EB7321">
      <w:pPr>
        <w:rPr>
          <w:color w:val="4472C4" w:themeColor="accent5"/>
          <w:sz w:val="32"/>
          <w:szCs w:val="32"/>
        </w:rPr>
      </w:pPr>
    </w:p>
    <w:p w:rsidR="009C3C30" w:rsidRDefault="009C3C30" w:rsidP="00EB7321">
      <w:pPr>
        <w:rPr>
          <w:color w:val="4472C4" w:themeColor="accent5"/>
          <w:sz w:val="32"/>
          <w:szCs w:val="32"/>
        </w:rPr>
      </w:pPr>
    </w:p>
    <w:p w:rsidR="009C3C30" w:rsidRDefault="009C3C30" w:rsidP="00EB7321">
      <w:pPr>
        <w:rPr>
          <w:color w:val="4472C4" w:themeColor="accent5"/>
          <w:sz w:val="32"/>
          <w:szCs w:val="32"/>
        </w:rPr>
      </w:pPr>
      <w:r w:rsidRPr="009C3C30">
        <w:rPr>
          <w:color w:val="4472C4" w:themeColor="accent5"/>
          <w:sz w:val="32"/>
          <w:szCs w:val="32"/>
        </w:rPr>
        <w:t>Pourquoi la réutilisabilité est-elle une force des middlewares ?</w:t>
      </w:r>
    </w:p>
    <w:p w:rsidR="009C3C30" w:rsidRDefault="009C3C30" w:rsidP="009C3C30">
      <w:pPr>
        <w:pStyle w:val="NormalWeb"/>
      </w:pPr>
      <w:r>
        <w:lastRenderedPageBreak/>
        <w:t xml:space="preserve">Parce qu’un middleware encapsule une </w:t>
      </w:r>
      <w:r>
        <w:rPr>
          <w:rStyle w:val="lev"/>
        </w:rPr>
        <w:t>fonctionnalité indépendante</w:t>
      </w:r>
      <w:r>
        <w:t xml:space="preserve"> (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logging</w:t>
      </w:r>
      <w:proofErr w:type="spellEnd"/>
      <w:r>
        <w:t>, validation…).</w:t>
      </w:r>
      <w:r>
        <w:br/>
        <w:t xml:space="preserve">Tu peux le </w:t>
      </w:r>
      <w:r>
        <w:rPr>
          <w:rStyle w:val="lev"/>
        </w:rPr>
        <w:t>réutiliser partout</w:t>
      </w:r>
      <w:r>
        <w:t xml:space="preserve"> sans réécrire le code, ce qui améliore :</w:t>
      </w:r>
    </w:p>
    <w:p w:rsidR="009C3C30" w:rsidRDefault="009C3C30" w:rsidP="009C3C30">
      <w:pPr>
        <w:pStyle w:val="NormalWeb"/>
        <w:numPr>
          <w:ilvl w:val="0"/>
          <w:numId w:val="2"/>
        </w:numPr>
      </w:pPr>
      <w:proofErr w:type="gramStart"/>
      <w:r>
        <w:t>la</w:t>
      </w:r>
      <w:proofErr w:type="gramEnd"/>
      <w:r>
        <w:t xml:space="preserve"> </w:t>
      </w:r>
      <w:r>
        <w:rPr>
          <w:rStyle w:val="lev"/>
        </w:rPr>
        <w:t>cohérence</w:t>
      </w:r>
      <w:r>
        <w:t>,</w:t>
      </w:r>
    </w:p>
    <w:p w:rsidR="009C3C30" w:rsidRDefault="009C3C30" w:rsidP="009C3C30">
      <w:pPr>
        <w:pStyle w:val="NormalWeb"/>
        <w:numPr>
          <w:ilvl w:val="0"/>
          <w:numId w:val="2"/>
        </w:numPr>
      </w:pPr>
      <w:proofErr w:type="gramStart"/>
      <w:r>
        <w:t>la</w:t>
      </w:r>
      <w:proofErr w:type="gramEnd"/>
      <w:r>
        <w:t xml:space="preserve"> </w:t>
      </w:r>
      <w:r>
        <w:rPr>
          <w:rStyle w:val="lev"/>
        </w:rPr>
        <w:t>maintenance</w:t>
      </w:r>
      <w:r>
        <w:t>,</w:t>
      </w:r>
    </w:p>
    <w:p w:rsidR="009C3C30" w:rsidRDefault="009C3C30" w:rsidP="009C3C30">
      <w:pPr>
        <w:pStyle w:val="NormalWeb"/>
        <w:numPr>
          <w:ilvl w:val="0"/>
          <w:numId w:val="2"/>
        </w:numPr>
      </w:pPr>
      <w:proofErr w:type="gramStart"/>
      <w:r>
        <w:t>et</w:t>
      </w:r>
      <w:proofErr w:type="gramEnd"/>
      <w:r>
        <w:t xml:space="preserve"> la </w:t>
      </w:r>
      <w:r>
        <w:rPr>
          <w:rStyle w:val="lev"/>
        </w:rPr>
        <w:t>rapidité de développement</w:t>
      </w:r>
      <w:r>
        <w:t>.</w:t>
      </w:r>
    </w:p>
    <w:p w:rsidR="009C3C30" w:rsidRDefault="009C3C30" w:rsidP="00EB7321">
      <w:pPr>
        <w:rPr>
          <w:color w:val="4472C4" w:themeColor="accent5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C3C30" w:rsidRDefault="009C3C30" w:rsidP="009C3C30">
      <w:pPr>
        <w:spacing w:after="0" w:line="240" w:lineRule="auto"/>
        <w:rPr>
          <w:rFonts w:ascii="Times New Roman" w:eastAsia="Times New Roman" w:hAnsi="Times New Roman" w:cs="Times New Roman"/>
          <w:color w:val="4472C4" w:themeColor="accent5"/>
          <w:sz w:val="32"/>
          <w:szCs w:val="32"/>
          <w:lang w:eastAsia="fr-FR"/>
        </w:rPr>
      </w:pPr>
      <w:r w:rsidRPr="009C3C30">
        <w:rPr>
          <w:rFonts w:ascii="Times New Roman" w:eastAsia="Times New Roman" w:hAnsi="Times New Roman" w:cs="Times New Roman"/>
          <w:color w:val="4472C4" w:themeColor="accent5"/>
          <w:sz w:val="32"/>
          <w:szCs w:val="32"/>
          <w:lang w:eastAsia="fr-FR"/>
        </w:rPr>
        <w:t xml:space="preserve">Pourquoi séparer la logique d’erreur du code métier ? </w:t>
      </w:r>
    </w:p>
    <w:p w:rsidR="009C3C30" w:rsidRDefault="009C3C30" w:rsidP="009C3C30">
      <w:pPr>
        <w:spacing w:after="0" w:line="240" w:lineRule="auto"/>
        <w:rPr>
          <w:rFonts w:ascii="Times New Roman" w:eastAsia="Times New Roman" w:hAnsi="Times New Roman" w:cs="Times New Roman"/>
          <w:color w:val="4472C4" w:themeColor="accent5"/>
          <w:sz w:val="32"/>
          <w:szCs w:val="32"/>
          <w:lang w:eastAsia="fr-FR"/>
        </w:rPr>
      </w:pPr>
    </w:p>
    <w:p w:rsidR="009C3C30" w:rsidRDefault="009C3C30" w:rsidP="009C3C30">
      <w:pPr>
        <w:spacing w:after="0" w:line="240" w:lineRule="auto"/>
        <w:rPr>
          <w:rFonts w:ascii="Times New Roman" w:eastAsia="Times New Roman" w:hAnsi="Times New Roman" w:cs="Times New Roman"/>
          <w:color w:val="4472C4" w:themeColor="accent5"/>
          <w:sz w:val="32"/>
          <w:szCs w:val="32"/>
          <w:lang w:eastAsia="fr-FR"/>
        </w:rPr>
      </w:pPr>
      <w:r>
        <w:t xml:space="preserve">Pour éviter que le code métier soit pollué par des </w:t>
      </w:r>
      <w:proofErr w:type="spellStart"/>
      <w:r>
        <w:rPr>
          <w:rStyle w:val="CodeHTML"/>
          <w:rFonts w:eastAsiaTheme="minorHAnsi"/>
        </w:rPr>
        <w:t>try</w:t>
      </w:r>
      <w:proofErr w:type="spellEnd"/>
      <w:r>
        <w:rPr>
          <w:rStyle w:val="CodeHTML"/>
          <w:rFonts w:eastAsiaTheme="minorHAnsi"/>
        </w:rPr>
        <w:t>/catch</w:t>
      </w:r>
      <w:r>
        <w:t xml:space="preserve"> partout.</w:t>
      </w:r>
      <w:r>
        <w:br/>
        <w:t xml:space="preserve">Un gestionnaire d’erreurs central rend l’API </w:t>
      </w:r>
      <w:r>
        <w:rPr>
          <w:rStyle w:val="lev"/>
        </w:rPr>
        <w:t>plus propre</w:t>
      </w:r>
      <w:r>
        <w:t>, plus lisible et plus facile à maintenir.</w:t>
      </w:r>
    </w:p>
    <w:p w:rsidR="009C3C30" w:rsidRDefault="009C3C30" w:rsidP="009C3C30">
      <w:pPr>
        <w:spacing w:after="0" w:line="240" w:lineRule="auto"/>
        <w:rPr>
          <w:rFonts w:ascii="Times New Roman" w:eastAsia="Times New Roman" w:hAnsi="Times New Roman" w:cs="Times New Roman"/>
          <w:color w:val="4472C4" w:themeColor="accent5"/>
          <w:sz w:val="32"/>
          <w:szCs w:val="32"/>
          <w:lang w:eastAsia="fr-FR"/>
        </w:rPr>
      </w:pPr>
    </w:p>
    <w:p w:rsidR="009C3C30" w:rsidRDefault="009C3C30" w:rsidP="009C3C30">
      <w:pPr>
        <w:spacing w:after="0" w:line="240" w:lineRule="auto"/>
        <w:rPr>
          <w:rFonts w:ascii="Times New Roman" w:eastAsia="Times New Roman" w:hAnsi="Times New Roman" w:cs="Times New Roman"/>
          <w:color w:val="4472C4" w:themeColor="accent5"/>
          <w:sz w:val="32"/>
          <w:szCs w:val="32"/>
          <w:lang w:eastAsia="fr-FR"/>
        </w:rPr>
      </w:pPr>
      <w:r w:rsidRPr="009C3C30">
        <w:rPr>
          <w:rFonts w:ascii="Times New Roman" w:eastAsia="Times New Roman" w:hAnsi="Times New Roman" w:cs="Times New Roman"/>
          <w:color w:val="4472C4" w:themeColor="accent5"/>
          <w:sz w:val="32"/>
          <w:szCs w:val="32"/>
          <w:lang w:eastAsia="fr-FR"/>
        </w:rPr>
        <w:t>Qu’apporte la cohérence des messages d’erreur côté client ?</w:t>
      </w:r>
    </w:p>
    <w:p w:rsidR="009C3C30" w:rsidRPr="009C3C30" w:rsidRDefault="009C3C30" w:rsidP="009C3C30">
      <w:pPr>
        <w:spacing w:after="0" w:line="240" w:lineRule="auto"/>
        <w:rPr>
          <w:rFonts w:ascii="Times New Roman" w:eastAsia="Times New Roman" w:hAnsi="Times New Roman" w:cs="Times New Roman"/>
          <w:color w:val="4472C4" w:themeColor="accent5"/>
          <w:sz w:val="32"/>
          <w:szCs w:val="32"/>
          <w:lang w:eastAsia="fr-FR"/>
        </w:rPr>
      </w:pPr>
    </w:p>
    <w:p w:rsidR="009C3C30" w:rsidRDefault="009C3C30" w:rsidP="00EB7321">
      <w:r>
        <w:t xml:space="preserve">Elle permet au client de comprendre rapidement ce qui s’est passé, d’automatiser les traitements (ex. afficher un message spécifique), et d’avoir une </w:t>
      </w:r>
      <w:r>
        <w:rPr>
          <w:rStyle w:val="lev"/>
        </w:rPr>
        <w:t>expérience prévisible et professionnelle</w:t>
      </w:r>
      <w:r>
        <w:t>.</w:t>
      </w:r>
    </w:p>
    <w:p w:rsidR="00B15C7D" w:rsidRDefault="00B15C7D" w:rsidP="00EB7321"/>
    <w:p w:rsidR="00B15C7D" w:rsidRDefault="00B15C7D" w:rsidP="00B15C7D">
      <w:pPr>
        <w:spacing w:after="0" w:line="240" w:lineRule="auto"/>
        <w:rPr>
          <w:rFonts w:ascii="Times New Roman" w:eastAsia="Times New Roman" w:hAnsi="Times New Roman" w:cs="Times New Roman"/>
          <w:color w:val="4472C4" w:themeColor="accent5"/>
          <w:sz w:val="32"/>
          <w:szCs w:val="32"/>
          <w:lang w:eastAsia="fr-FR"/>
        </w:rPr>
      </w:pPr>
      <w:r w:rsidRPr="00B15C7D">
        <w:rPr>
          <w:rFonts w:ascii="Times New Roman" w:eastAsia="Times New Roman" w:hAnsi="Times New Roman" w:cs="Times New Roman"/>
          <w:color w:val="4472C4" w:themeColor="accent5"/>
          <w:sz w:val="32"/>
          <w:szCs w:val="32"/>
          <w:lang w:eastAsia="fr-FR"/>
        </w:rPr>
        <w:t xml:space="preserve">Comment éviter le blocage du thread lors de la lecture de fichier ? </w:t>
      </w:r>
    </w:p>
    <w:p w:rsidR="00B15C7D" w:rsidRDefault="00B15C7D" w:rsidP="00B15C7D">
      <w:pPr>
        <w:spacing w:after="0" w:line="240" w:lineRule="auto"/>
        <w:rPr>
          <w:rFonts w:ascii="Times New Roman" w:eastAsia="Times New Roman" w:hAnsi="Times New Roman" w:cs="Times New Roman"/>
          <w:color w:val="4472C4" w:themeColor="accent5"/>
          <w:sz w:val="32"/>
          <w:szCs w:val="32"/>
          <w:lang w:eastAsia="fr-FR"/>
        </w:rPr>
      </w:pPr>
    </w:p>
    <w:p w:rsidR="00B15C7D" w:rsidRDefault="00B15C7D" w:rsidP="00B15C7D">
      <w:pPr>
        <w:spacing w:after="0" w:line="240" w:lineRule="auto"/>
        <w:rPr>
          <w:rFonts w:ascii="Times New Roman" w:eastAsia="Times New Roman" w:hAnsi="Times New Roman" w:cs="Times New Roman"/>
          <w:color w:val="4472C4" w:themeColor="accent5"/>
          <w:sz w:val="32"/>
          <w:szCs w:val="32"/>
          <w:lang w:eastAsia="fr-FR"/>
        </w:rPr>
      </w:pPr>
      <w:r>
        <w:t xml:space="preserve">En utilisant des </w:t>
      </w:r>
      <w:r>
        <w:rPr>
          <w:rStyle w:val="lev"/>
        </w:rPr>
        <w:t>opérations asynchrones</w:t>
      </w:r>
      <w:r>
        <w:t xml:space="preserve"> (callbacks, Promises ou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>).</w:t>
      </w:r>
      <w:r>
        <w:br/>
        <w:t>Cela permet à Node.js de continuer à traiter d’autres requêtes sans attendre la fin de la lecture.</w:t>
      </w:r>
    </w:p>
    <w:p w:rsidR="00B15C7D" w:rsidRDefault="00B15C7D" w:rsidP="00B15C7D">
      <w:pPr>
        <w:spacing w:after="0" w:line="240" w:lineRule="auto"/>
        <w:rPr>
          <w:rFonts w:ascii="Times New Roman" w:eastAsia="Times New Roman" w:hAnsi="Times New Roman" w:cs="Times New Roman"/>
          <w:color w:val="4472C4" w:themeColor="accent5"/>
          <w:sz w:val="32"/>
          <w:szCs w:val="32"/>
          <w:lang w:eastAsia="fr-FR"/>
        </w:rPr>
      </w:pPr>
    </w:p>
    <w:p w:rsidR="00B15C7D" w:rsidRPr="00B15C7D" w:rsidRDefault="00B15C7D" w:rsidP="00B15C7D">
      <w:pPr>
        <w:spacing w:after="0" w:line="240" w:lineRule="auto"/>
        <w:rPr>
          <w:rFonts w:ascii="Times New Roman" w:eastAsia="Times New Roman" w:hAnsi="Times New Roman" w:cs="Times New Roman"/>
          <w:color w:val="4472C4" w:themeColor="accent5"/>
          <w:sz w:val="32"/>
          <w:szCs w:val="32"/>
          <w:lang w:eastAsia="fr-FR"/>
        </w:rPr>
      </w:pPr>
      <w:r w:rsidRPr="00B15C7D">
        <w:rPr>
          <w:rFonts w:ascii="Times New Roman" w:eastAsia="Times New Roman" w:hAnsi="Times New Roman" w:cs="Times New Roman"/>
          <w:color w:val="4472C4" w:themeColor="accent5"/>
          <w:sz w:val="32"/>
          <w:szCs w:val="32"/>
          <w:lang w:eastAsia="fr-FR"/>
        </w:rPr>
        <w:t xml:space="preserve">Quelle est la différence entre </w:t>
      </w:r>
      <w:proofErr w:type="spellStart"/>
      <w:r w:rsidRPr="00B15C7D">
        <w:rPr>
          <w:rFonts w:ascii="Times New Roman" w:eastAsia="Times New Roman" w:hAnsi="Times New Roman" w:cs="Times New Roman"/>
          <w:color w:val="4472C4" w:themeColor="accent5"/>
          <w:sz w:val="32"/>
          <w:szCs w:val="32"/>
          <w:lang w:eastAsia="fr-FR"/>
        </w:rPr>
        <w:t>readFileSync</w:t>
      </w:r>
      <w:proofErr w:type="spellEnd"/>
      <w:r w:rsidRPr="00B15C7D">
        <w:rPr>
          <w:rFonts w:ascii="Times New Roman" w:eastAsia="Times New Roman" w:hAnsi="Times New Roman" w:cs="Times New Roman"/>
          <w:color w:val="4472C4" w:themeColor="accent5"/>
          <w:sz w:val="32"/>
          <w:szCs w:val="32"/>
          <w:lang w:eastAsia="fr-FR"/>
        </w:rPr>
        <w:t xml:space="preserve"> et </w:t>
      </w:r>
      <w:proofErr w:type="spellStart"/>
      <w:proofErr w:type="gramStart"/>
      <w:r w:rsidRPr="00B15C7D">
        <w:rPr>
          <w:rFonts w:ascii="Times New Roman" w:eastAsia="Times New Roman" w:hAnsi="Times New Roman" w:cs="Times New Roman"/>
          <w:color w:val="4472C4" w:themeColor="accent5"/>
          <w:sz w:val="32"/>
          <w:szCs w:val="32"/>
          <w:lang w:eastAsia="fr-FR"/>
        </w:rPr>
        <w:t>fs.promises</w:t>
      </w:r>
      <w:proofErr w:type="gramEnd"/>
      <w:r w:rsidRPr="00B15C7D">
        <w:rPr>
          <w:rFonts w:ascii="Times New Roman" w:eastAsia="Times New Roman" w:hAnsi="Times New Roman" w:cs="Times New Roman"/>
          <w:color w:val="4472C4" w:themeColor="accent5"/>
          <w:sz w:val="32"/>
          <w:szCs w:val="32"/>
          <w:lang w:eastAsia="fr-FR"/>
        </w:rPr>
        <w:t>.readFile</w:t>
      </w:r>
      <w:proofErr w:type="spellEnd"/>
      <w:r w:rsidRPr="00B15C7D">
        <w:rPr>
          <w:rFonts w:ascii="Times New Roman" w:eastAsia="Times New Roman" w:hAnsi="Times New Roman" w:cs="Times New Roman"/>
          <w:color w:val="4472C4" w:themeColor="accent5"/>
          <w:sz w:val="32"/>
          <w:szCs w:val="32"/>
          <w:lang w:eastAsia="fr-FR"/>
        </w:rPr>
        <w:t xml:space="preserve"> ?</w:t>
      </w:r>
    </w:p>
    <w:p w:rsidR="00B15C7D" w:rsidRDefault="00B15C7D" w:rsidP="00EB7321">
      <w:pPr>
        <w:rPr>
          <w:color w:val="4472C4" w:themeColor="accent5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15C7D" w:rsidRPr="00B15C7D" w:rsidRDefault="00B15C7D" w:rsidP="00B15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B15C7D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B15C7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B15C7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readFileSync</w:t>
      </w:r>
      <w:proofErr w:type="spellEnd"/>
      <w:proofErr w:type="gramEnd"/>
      <w:r w:rsidRPr="00B15C7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lecture </w:t>
      </w:r>
      <w:r w:rsidRPr="00B15C7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synchrone</w:t>
      </w:r>
      <w:r w:rsidRPr="00B15C7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B15C7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bloque</w:t>
      </w:r>
      <w:r w:rsidRPr="00B15C7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thread.</w:t>
      </w:r>
    </w:p>
    <w:p w:rsidR="00B15C7D" w:rsidRPr="00B15C7D" w:rsidRDefault="00B15C7D" w:rsidP="00B15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B15C7D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B15C7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B15C7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fs</w:t>
      </w:r>
      <w:proofErr w:type="gramEnd"/>
      <w:r w:rsidRPr="00B15C7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.promises.readFile</w:t>
      </w:r>
      <w:proofErr w:type="spellEnd"/>
      <w:r w:rsidRPr="00B15C7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lecture </w:t>
      </w:r>
      <w:r w:rsidRPr="00B15C7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asynchrone</w:t>
      </w:r>
      <w:r w:rsidRPr="00B15C7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B15C7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non bloquante</w:t>
      </w:r>
      <w:r w:rsidRPr="00B15C7D">
        <w:rPr>
          <w:rFonts w:ascii="Times New Roman" w:eastAsia="Times New Roman" w:hAnsi="Times New Roman" w:cs="Times New Roman"/>
          <w:sz w:val="24"/>
          <w:szCs w:val="24"/>
          <w:lang w:eastAsia="fr-FR"/>
        </w:rPr>
        <w:t>, adaptée aux APIs.</w:t>
      </w:r>
    </w:p>
    <w:p w:rsidR="00B15C7D" w:rsidRPr="009C3C30" w:rsidRDefault="00B15C7D" w:rsidP="00EB7321">
      <w:pPr>
        <w:rPr>
          <w:color w:val="4472C4" w:themeColor="accent5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B15C7D" w:rsidRPr="009C3C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A0F84"/>
    <w:multiLevelType w:val="multilevel"/>
    <w:tmpl w:val="E5F4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7E36CB"/>
    <w:multiLevelType w:val="multilevel"/>
    <w:tmpl w:val="7A84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321"/>
    <w:rsid w:val="009C3C30"/>
    <w:rsid w:val="00B15C7D"/>
    <w:rsid w:val="00E71B47"/>
    <w:rsid w:val="00EB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164F9"/>
  <w15:chartTrackingRefBased/>
  <w15:docId w15:val="{62100577-DE26-4256-B758-3092C8740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7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EB7321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9C3C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5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28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5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10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117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0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99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3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17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90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1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409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IPS</dc:creator>
  <cp:keywords/>
  <dc:description/>
  <cp:lastModifiedBy>IPS</cp:lastModifiedBy>
  <cp:revision>1</cp:revision>
  <dcterms:created xsi:type="dcterms:W3CDTF">2025-11-04T21:06:00Z</dcterms:created>
  <dcterms:modified xsi:type="dcterms:W3CDTF">2025-11-04T21:32:00Z</dcterms:modified>
</cp:coreProperties>
</file>