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26"/>
      </w:tblGrid>
      <w:tr>
        <w:tc>
          <w:tcPr>
            <w:tcW w:type="dxa" w:w="9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220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8"/>
                <w:sz w:val="40"/>
                <w:szCs w:val="40"/>
              </w:rPr>
              <w:t xml:space="preserve">BVMT AlgoTrader — Technical README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7A9BB5"/>
                <w:sz w:val="21"/>
                <w:szCs w:val="21"/>
              </w:rPr>
              <w:t xml:space="preserve">Developer Documentation · Integration Guide · Legal Compliance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007A6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007A6E"/>
          <w:sz w:val="26"/>
          <w:szCs w:val="26"/>
        </w:rPr>
        <w:t xml:space="preserve">Quick Start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1220"/>
          <w:sz w:val="22"/>
          <w:szCs w:val="22"/>
        </w:rPr>
        <w:t xml:space="preserve">1. Prerequisites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0D1220"/>
          <w:sz w:val="21"/>
          <w:szCs w:val="21"/>
        </w:rPr>
        <w:t xml:space="preserve">Python 3.11 ou supérieur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0D1220"/>
          <w:sz w:val="21"/>
          <w:szCs w:val="21"/>
        </w:rPr>
        <w:t xml:space="preserve">pip (inclus avec Python)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0D1220"/>
          <w:sz w:val="21"/>
          <w:szCs w:val="21"/>
        </w:rPr>
        <w:t xml:space="preserve">Navigateur moderne (Chrome, Firefox, Edge)</w:t>
      </w:r>
    </w:p>
    <w:p>
      <w:pPr>
        <w:spacing w:before="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1220"/>
          <w:sz w:val="22"/>
          <w:szCs w:val="22"/>
        </w:rPr>
        <w:t xml:space="preserve">2. Installation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cd bvmt-trader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# Créer les sous-dossiers et fichiers __init__.py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mkdir core strategies risk ui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type nul &gt; core\__init__.py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type nul &gt; strategies\__init__.py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type nul &gt; risk\__init__.py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# Installer les dépendances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pip install numpy pandas requests beautifulsoup4 lxml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1220"/>
          <w:sz w:val="22"/>
          <w:szCs w:val="22"/>
        </w:rPr>
        <w:t xml:space="preserve">3. Placement des fichiers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Taille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Destination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data_feed.py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16 Ko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core\data_feed.py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execution.py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18 Ko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core\execution.py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engine.py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14 Ko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strategies\engine.py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risk_manager.py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15 Ko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risk\risk_manager.py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main.py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9 Ko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main.py (racine)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requirements.txt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 Ko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requirements.txt (racine)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bvmt-full-dashboard.html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42 Ko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ui\bvmt-full-dashboard.html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1220"/>
          <w:sz w:val="22"/>
          <w:szCs w:val="22"/>
        </w:rPr>
        <w:t xml:space="preserve">4. Commandes de lancement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python main.py --mode scan           # Scan signaux tous les titres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python main.py --mode paper          # Paper trading simulation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python main.py --mode paper --cycles 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python main.py --mode backtest       # Backtest 1 an de données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python main.py --mode risk           # Rapport de risque uniquement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1220"/>
          <w:sz w:val="22"/>
          <w:szCs w:val="22"/>
        </w:rPr>
        <w:t xml:space="preserve">5. Dashboard (aucun serveur requis)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# Option A — Ouvrir directement dans le navigateur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# Double-clic sur : ui\bvmt-full-dashboard.html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# Option B — Serveur local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python -m http.server 8080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# Ouvrir : http://localhost:8080/ui/bvmt-full-dashboard.html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007A6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007A6E"/>
          <w:sz w:val="26"/>
          <w:szCs w:val="26"/>
        </w:rPr>
        <w:t xml:space="preserve">Architecture du Projet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bvmt-trader/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├── core/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│   ├── __init__.py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│   ├── data_feed.py       Phase 1 — BVMTDataFeed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│   └── execution.py       Phase 3 — PaperTradingEngine, AutoTrader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├── strategies/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│   ├── __init__.py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│   └── engine.py          Phase 2 — 4 stratégies + StrategyEngine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├── risk/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│   ├── __init__.py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│   └── risk_manager.py    Phase 4 — KellyCriterion, DrawdownGuard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├── ui/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│   └── bvmt-full-dashboard.html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├── main.py                Orchestrateur CLI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└── requirements.txt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007A6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007A6E"/>
          <w:sz w:val="26"/>
          <w:szCs w:val="26"/>
        </w:rPr>
        <w:t xml:space="preserve">Phase 1 — BVMTDataFeed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from core.data_feed import BVMTDataFeed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feed = BVMTDataFeed(cache_ttl_seconds=60)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df      = feed.get_ohlcv('BIAT', period='1M')      # pd.DataFrame OHLCV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quote   = feed.get_quote('BIAT')                   # {price, change_pct, ...}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book    = feed.get_order_book('BIAT', depth=10)    # {asks, bids, spread}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filings = feed.get_company_filings('BIAT')         # Publications CMF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snap    = feed.get_market_snapshot()               # 15 titres DataFrame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sched   = feed.get_trading_schedule()              # Session courante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A6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Session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A6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Horaires (UTC+1)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19"/>
                <w:szCs w:val="19"/>
              </w:rPr>
              <w:t xml:space="preserve">Pré-ouverture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09:00 – 09:30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19"/>
                <w:szCs w:val="19"/>
              </w:rPr>
              <w:t xml:space="preserve">Fixing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09:30 – 10:00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19"/>
                <w:szCs w:val="19"/>
              </w:rPr>
              <w:t xml:space="preserve">Continu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10:00 – 14:00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19"/>
                <w:szCs w:val="19"/>
              </w:rPr>
              <w:t xml:space="preserve">Clôture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14:00 – 14:10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007A6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007A6E"/>
          <w:sz w:val="26"/>
          <w:szCs w:val="26"/>
        </w:rPr>
        <w:t xml:space="preserve">Phase 2 — Strategy Engine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from strategies.engine import StrategyEngine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engine = StrategyEngine(feed)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signal = engine.run_all('BIAT')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print(signal.direction)      # Direction.BUY | SELL | HOLD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print(signal.confidence)     # 0.74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print(signal.entry)          # 145.200 TND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print(signal.stop_loss)      # 141.820 TND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print(signal.take_profit)    # 150.620 TND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print(signal.risk_reward)    # 1.94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# Scanner plusieurs titres (retourne seulement conf &gt; 55%)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signals = engine.scan_all_tickers(['BIAT','ATB','SFBT','TPR','OTT'])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007A6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007A6E"/>
          <w:sz w:val="26"/>
          <w:szCs w:val="26"/>
        </w:rPr>
        <w:t xml:space="preserve">Phase 3 — Execution Layer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from core.execution import PaperTradingEngine, AutoTrader, Order, Side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exec_engine = PaperTradingEngine()   # Capital initial : 100,000 TND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trader = AutoTrader(exec_engine, max_position_pct=0.10)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# Exécuter un signal automatiquement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order = trader.execute_signal(signal, current_price=145.20)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# Ordre manuel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order = Order(order_id=str(uuid.uuid4()), ticker='BIAT',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              side=Side.BUY, qty=100, price=145.200,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              stop_loss=142.00, take_profit=150.00)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exec_engine.place_order(order)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# Résumé portefeuille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summary = exec_engine.get_portfolio_summary(current_prices)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# Vérifier SL/TP toutes les positions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trader.check_stop_loss_take_profit(current_prices)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1220"/>
          <w:sz w:val="22"/>
          <w:szCs w:val="22"/>
        </w:rPr>
        <w:t xml:space="preserve">Règles BVMT appliquées automatiquement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0D1220"/>
          <w:sz w:val="21"/>
          <w:szCs w:val="21"/>
        </w:rPr>
        <w:t xml:space="preserve">Tick size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— 0.100 TND (prix &gt; 5 TND) · 0.010 TND (prix ≤ 5 TND)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0D1220"/>
          <w:sz w:val="21"/>
          <w:szCs w:val="21"/>
        </w:rPr>
        <w:t xml:space="preserve">Bande de prix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— ±6% du cours de clôture précédent (coupe-circuit BVMT)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0D1220"/>
          <w:sz w:val="21"/>
          <w:szCs w:val="21"/>
        </w:rPr>
        <w:t xml:space="preserve">Horaires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— Ordres acceptés 09:00–14:10 uniquement (lundi–vendredi)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0D1220"/>
          <w:sz w:val="21"/>
          <w:szCs w:val="21"/>
        </w:rPr>
        <w:t xml:space="preserve">Valeur max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— 500,000 TND par ordre (configurable)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0D1220"/>
          <w:sz w:val="21"/>
          <w:szCs w:val="21"/>
        </w:rPr>
        <w:t xml:space="preserve">Règlement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— T+3 jours — suivi dans la gestion de trésorerie</w:t>
      </w:r>
    </w:p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007A6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007A6E"/>
          <w:sz w:val="26"/>
          <w:szCs w:val="26"/>
        </w:rPr>
        <w:t xml:space="preserve">Phase 4 — Risk Manager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from risk.risk_manager import RiskManager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rm = RiskManager(initial_equity=100_000.0, feed=feed)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decision = rm.evaluate(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    ticker='BIAT', signal_confidence=0.74,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    current_price=145.20,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    current_positions=exec_engine.positions,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    portfolio_value=127_450,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if decision['allow']: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    print(decision['recommended_shares'])   # ex: 87 actions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    print(decision['order_value'])           # ex: 12,647 TND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    print(decision['max_loss_tnd'])          # ex: 278 TND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    print(decision['reason'])  # 'Sector Banking at 34%'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# Rapport de risque quotidien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print(rm.daily_report(positions, portfolio_value))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1220"/>
          <w:sz w:val="22"/>
          <w:szCs w:val="22"/>
        </w:rPr>
        <w:t xml:space="preserve">Limites de risque (toutes configurables)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0D1220"/>
          <w:sz w:val="21"/>
          <w:szCs w:val="21"/>
        </w:rPr>
        <w:t xml:space="preserve">Drawdown journalier dur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— −3.0% → trading suspendu pour la journée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0D1220"/>
          <w:sz w:val="21"/>
          <w:szCs w:val="21"/>
        </w:rPr>
        <w:t xml:space="preserve">Drawdown journalier doux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— −1.5% → tailles de positions divisées par 2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0D1220"/>
          <w:sz w:val="21"/>
          <w:szCs w:val="21"/>
        </w:rPr>
        <w:t xml:space="preserve">Drawdown portefeuille dur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— −15.0% → arrêt d'urgence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0D1220"/>
          <w:sz w:val="21"/>
          <w:szCs w:val="21"/>
        </w:rPr>
        <w:t xml:space="preserve">Drawdown portefeuille doux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— −8.0% → tailles de positions divisées par 2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0D1220"/>
          <w:sz w:val="21"/>
          <w:szCs w:val="21"/>
        </w:rPr>
        <w:t xml:space="preserve">Plafond secteur Banking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— 35% du portefeuille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0D1220"/>
          <w:sz w:val="21"/>
          <w:szCs w:val="21"/>
        </w:rPr>
        <w:t xml:space="preserve">Plafond titre unique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— 10% du portefeuille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0D1220"/>
          <w:sz w:val="21"/>
          <w:szCs w:val="21"/>
        </w:rPr>
        <w:t xml:space="preserve">Confiance signal minimum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— 55% requis pour trader</w:t>
      </w:r>
    </w:p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007A6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007A6E"/>
          <w:sz w:val="26"/>
          <w:szCs w:val="26"/>
        </w:rPr>
        <w:t xml:space="preserve">Intégration Broker Réel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6" w:val="clear"/>
            <w:tcMar>
              <w:top w:type="dxa" w:w="150"/>
              <w:left w:type="dxa" w:w="240"/>
              <w:bottom w:type="dxa" w:w="150"/>
              <w:right w:type="dxa" w:w="24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1"/>
                <w:szCs w:val="21"/>
              </w:rPr>
              <w:t xml:space="preserve">L'execution layer est conçu comme un pont. Remplacer PaperTradingEngine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1"/>
                <w:szCs w:val="21"/>
              </w:rPr>
              <w:t xml:space="preserve">par un client broker réel en implémentant la même interface (3 méthodes).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class BIATCapitalBroker: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    def place_order(self, order: Order) -&gt; Order: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        response = self.api_client.submit_order({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            'symbol': order.ticker,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            'side': order.side.value,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            'quantity': order.qty,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            'price': order.price,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            'type': 'LIMIT',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    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        order.status = OrderStatus.SUBMITTED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        return order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    def cancel_order(self, order_id: str) -&gt; bool: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        return self.api_client.cancel(order_id)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    def get_portfolio_summary(self, prices) -&gt; dict: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0D4A8"/>
                <w:sz w:val="18"/>
                <w:szCs w:val="18"/>
              </w:rPr>
              <w:t xml:space="preserve">        return self.api_client.get_account()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C0392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Cadre Juridique et Conformité Réglementaire</w:t>
      </w:r>
    </w:p>
    <w:p>
      <w:pPr>
        <w:spacing w:before="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DECEA" w:val="clear"/>
            <w:tcMar>
              <w:top w:type="dxa" w:w="150"/>
              <w:left w:type="dxa" w:w="240"/>
              <w:bottom w:type="dxa" w:w="150"/>
              <w:right w:type="dxa" w:w="24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⚖  NOTICE JURIDIQUE — À LIRE AVANT TOUTE UTILISATION EN PRODUCTION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1"/>
                <w:szCs w:val="21"/>
              </w:rPr>
              <w:t xml:space="preserve"/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1"/>
                <w:szCs w:val="21"/>
              </w:rPr>
              <w:t xml:space="preserve">Ce logiciel est un outil technologique. Il ne constitue pas un service financier.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1"/>
                <w:szCs w:val="21"/>
              </w:rPr>
              <w:t xml:space="preserve">Toute utilisation pour l'exécution d'ordres réels sur la BVMT engage la seule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1"/>
                <w:szCs w:val="21"/>
              </w:rPr>
              <w:t xml:space="preserve">responsabilité de l'opérateur, conformément à la réglementation CMF en vigueur.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1220"/>
          <w:sz w:val="22"/>
          <w:szCs w:val="22"/>
        </w:rPr>
        <w:t xml:space="preserve">Tableau de conformité par usage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026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19"/>
                <w:szCs w:val="19"/>
              </w:rPr>
              <w:t xml:space="default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8"/>
                <w:szCs w:val="18"/>
              </w:rPr>
              <w:t xml:space="preserve"/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19"/>
                <w:szCs w:val="19"/>
              </w:rPr>
              <w:t xml:space="default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8"/>
                <w:szCs w:val="18"/>
              </w:rPr>
              <w:t xml:space="preserve"/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19"/>
                <w:szCs w:val="19"/>
              </w:rPr>
              <w:t xml:space="default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8"/>
                <w:szCs w:val="18"/>
              </w:rPr>
              <w:t xml:space="preserve"/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19"/>
                <w:szCs w:val="19"/>
              </w:rPr>
              <w:t xml:space="default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8"/>
                <w:szCs w:val="18"/>
              </w:rPr>
              <w:t xml:space="preserve"/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19"/>
                <w:szCs w:val="19"/>
              </w:rPr>
              <w:t xml:space="default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8"/>
                <w:szCs w:val="18"/>
              </w:rPr>
              <w:t xml:space="preserve"/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19"/>
                <w:szCs w:val="19"/>
              </w:rPr>
              <w:t xml:space="default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8"/>
                <w:szCs w:val="18"/>
              </w:rPr>
              <w:t xml:space="preserve"/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19"/>
                <w:szCs w:val="19"/>
              </w:rPr>
              <w:t xml:space="default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8"/>
                <w:szCs w:val="18"/>
              </w:rPr>
              <w:t xml:space="preserve"/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1220"/>
          <w:sz w:val="22"/>
          <w:szCs w:val="22"/>
        </w:rPr>
        <w:t xml:space="preserve">Ce qui est légal sans démarche préalable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7E34" w:sz="6"/>
              <w:left w:val="single" w:color="1E7E34" w:sz="6"/>
              <w:bottom w:val="single" w:color="1E7E34" w:sz="6"/>
              <w:right w:val="single" w:color="1E7E34" w:sz="6"/>
            </w:tcBorders>
            <w:shd w:fill="E8F5E9" w:val="clear"/>
            <w:tcMar>
              <w:top w:type="dxa" w:w="150"/>
              <w:left w:type="dxa" w:w="240"/>
              <w:bottom w:type="dxa" w:w="150"/>
              <w:right w:type="dxa" w:w="24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E7E34"/>
                <w:sz w:val="21"/>
                <w:szCs w:val="21"/>
              </w:rPr>
              <w:t xml:space="preserve">✓  Utiliser ce logiciel pour du paper trading et de la simulation : LÉGAL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E7E34"/>
                <w:sz w:val="21"/>
                <w:szCs w:val="21"/>
              </w:rPr>
              <w:t xml:space="preserve">✓  Utiliser ce logiciel comme outil d'analyse et d'aide à la décision : LÉGAL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E7E34"/>
                <w:sz w:val="21"/>
                <w:szCs w:val="21"/>
              </w:rPr>
              <w:t xml:space="preserve">✓  Vendre ou redistribuer ce code source : LÉGAL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E7E34"/>
                <w:sz w:val="21"/>
                <w:szCs w:val="21"/>
              </w:rPr>
              <w:t xml:space="preserve">✓  Modifier et adapter le code pour des besoins internes : LÉGAL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1220"/>
          <w:sz w:val="22"/>
          <w:szCs w:val="22"/>
        </w:rPr>
        <w:t xml:space="preserve">Ce qui requiert des démarches réglementaires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D4E00" w:sz="6"/>
              <w:left w:val="single" w:color="7D4E00" w:sz="6"/>
              <w:bottom w:val="single" w:color="7D4E00" w:sz="6"/>
              <w:right w:val="single" w:color="7D4E00" w:sz="6"/>
            </w:tcBorders>
            <w:shd w:fill="FFF3CD" w:val="clear"/>
            <w:tcMar>
              <w:top w:type="dxa" w:w="150"/>
              <w:left w:type="dxa" w:w="240"/>
              <w:bottom w:type="dxa" w:w="150"/>
              <w:right w:type="dxa" w:w="24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7D4E00"/>
                <w:sz w:val="21"/>
                <w:szCs w:val="21"/>
              </w:rPr>
              <w:t xml:space="preserve">⚠  Exécution d'ordres réels sur la BVMT :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   Doit transiter par un intermédiaire agréé CMF.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   Le système automatisé doit être déclaré au CMF avant mise en production.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   Référence légale : Loi n°94-117 du 14/11/1994 et amendements.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1"/>
                <w:szCs w:val="21"/>
              </w:rPr>
              <w:t xml:space="preserve"/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7D4E00"/>
                <w:sz w:val="21"/>
                <w:szCs w:val="21"/>
              </w:rPr>
              <w:t xml:space="preserve">⚠  Service de trading fourni à des tiers :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   Nécessite une licence d'intermédiaire en bourse délivrée par le CMF.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   Contact CMF : www.cmf.tn | +216 71 340 700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1"/>
                <w:szCs w:val="21"/>
              </w:rPr>
              <w:t xml:space="preserve"/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7D4E00"/>
                <w:sz w:val="21"/>
                <w:szCs w:val="21"/>
              </w:rPr>
              <w:t xml:space="preserve">⚠  Usage commercial des données BVMT :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   Requiert une convention data vendor avec la BVMT.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1"/>
                <w:szCs w:val="21"/>
              </w:rPr>
              <w:t xml:space="preserve">   Contact BVMT : info@bvmt.com.tn | +216 71 789 249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0D1220"/>
          <w:sz w:val="22"/>
          <w:szCs w:val="22"/>
        </w:rPr>
        <w:t xml:space="preserve">Clause de non-responsabilité à inclure dans tout contrat d'utilisation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50"/>
              <w:left w:type="dxa" w:w="240"/>
              <w:bottom w:type="dxa" w:w="150"/>
              <w:right w:type="dxa" w:w="24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1"/>
                <w:szCs w:val="21"/>
              </w:rPr>
              <w:t xml:space="preserve">« Ce logiciel est fourni en tant qu'outil d'analyse technique à titre informatif.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1"/>
                <w:szCs w:val="21"/>
              </w:rPr>
              <w:t xml:space="preserve">  Il ne constitue pas un conseil en investissement ni un service financier réglementé.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1"/>
                <w:szCs w:val="21"/>
              </w:rPr>
              <w:t xml:space="preserve">  Le vendeur/développeur décline toute responsabilité quant aux décisions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1"/>
                <w:szCs w:val="21"/>
              </w:rPr>
              <w:t xml:space="preserve">  d'investissement prises sur la base des signaux générés, et quant à toute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1"/>
                <w:szCs w:val="21"/>
              </w:rPr>
              <w:t xml:space="preserve">  violation réglementaire résultant de l'utilisation du présent logiciel.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1"/>
                <w:szCs w:val="21"/>
              </w:rPr>
              <w:t xml:space="preserve">  L'utilisateur est seul responsable de la conformité de son usage avec la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0D1220"/>
                <w:sz w:val="21"/>
                <w:szCs w:val="21"/>
              </w:rPr>
              <w:t xml:space="preserve">  réglementation du Conseil du Marché Financier (CMF) de Tunisie. »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007A6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007A6E"/>
          <w:sz w:val="26"/>
          <w:szCs w:val="26"/>
        </w:rPr>
        <w:t xml:space="preserve">Limitations Connues et Développements Futurs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A6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Limitation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A6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Solution recommandée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19"/>
                <w:szCs w:val="19"/>
              </w:rPr>
              <w:t xml:space="preserve">Données synthétiques hors heures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Convention data vendor BVMT officielle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19"/>
                <w:szCs w:val="19"/>
              </w:rPr>
              <w:t xml:space="preserve">Paper trading uniquement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Intégration API broker (BIAT Capital, Attijari)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19"/>
                <w:szCs w:val="19"/>
              </w:rPr>
              <w:t xml:space="preserve">Backtest sur données synthétiques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Historique BVMT réel pour résultats fiables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19"/>
                <w:szCs w:val="19"/>
              </w:rPr>
              <w:t xml:space="preserve">Pas d'authentification multi-users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Ajout système login (Flask/Django)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19"/>
                <w:szCs w:val="19"/>
              </w:rPr>
              <w:t xml:space="preserve">Dashboard polling 2.5s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Backend WebSocket pour vrai temps réel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0D1220"/>
                <w:sz w:val="19"/>
                <w:szCs w:val="19"/>
              </w:rPr>
              <w:t xml:space="preserve">Pas d'agrément CMF inclus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Démarche réglementaire acheteur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007A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2026-03-04T00:33:28.189Z</dcterms:created>
  <dcterms:modified xsi:type="dcterms:W3CDTF">2026-03-04T00:33:28.190Z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