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center"/>
      </w:pPr>
      <w:r>
        <w:rPr>
          <w:rFonts w:ascii="Arial" w:cs="Arial" w:eastAsia="Arial" w:hAnsi="Arial"/>
          <w:b/>
          <w:bCs/>
          <w:caps/>
          <w:color w:val="888888"/>
          <w:sz w:val="22"/>
          <w:szCs w:val="22"/>
        </w:rPr>
        <w:t xml:space="preserve">BLIND SYSTEMS</w:t>
      </w:r>
    </w:p>
    <w:p>
      <w:pPr>
        <w:spacing w:before="0" w:after="800"/>
        <w:jc w:val="center"/>
      </w:pPr>
      <w:r>
        <w:rPr>
          <w:rFonts w:ascii="Arial" w:cs="Arial" w:eastAsia="Arial" w:hAnsi="Arial"/>
          <w:color w:val="888888"/>
          <w:sz w:val="26"/>
          <w:szCs w:val="26"/>
        </w:rPr>
        <w:t xml:space="preserve">BLDC Simulator — Contrôle FOC Sensorless</w:t>
      </w:r>
    </w:p>
    <w:p>
      <w:pPr>
        <w:pBdr>
          <w:bottom w:val="single" w:color="1F4E79" w:sz="8" w:space="1"/>
        </w:pBdr>
      </w:pPr>
    </w:p>
    <w:p>
      <w:pPr>
        <w:spacing w:before="600" w:after="200"/>
        <w:jc w:val="center"/>
      </w:pPr>
      <w:r>
        <w:rPr>
          <w:rFonts w:ascii="Arial" w:cs="Arial" w:eastAsia="Arial" w:hAnsi="Arial"/>
          <w:caps/>
          <w:color w:val="2E75B6"/>
          <w:sz w:val="26"/>
          <w:szCs w:val="26"/>
        </w:rPr>
        <w:t xml:space="preserve">Rapport Technique</w:t>
      </w:r>
    </w:p>
    <w:p>
      <w:pPr>
        <w:spacing w:before="0" w:after="600"/>
        <w:jc w:val="center"/>
      </w:pPr>
      <w:r>
        <w:rPr>
          <w:rFonts w:ascii="Arial" w:cs="Arial" w:eastAsia="Arial" w:hAnsi="Arial"/>
          <w:b/>
          <w:bCs/>
          <w:color w:val="1F4E79"/>
          <w:sz w:val="44"/>
          <w:szCs w:val="44"/>
        </w:rPr>
        <w:t xml:space="preserve">Amélioration des Observateurs Sensorless
(PLL et SMO) sur Toute la Plage de Vitesse
y Compris en Zone d’Affaiblissement de Flux</w:t>
      </w:r>
    </w:p>
    <w:p>
      <w:pPr>
        <w:pBdr>
          <w:bottom w:val="single" w:color="2E75B6" w:sz="4" w:space="1"/>
        </w:pBdr>
      </w:pPr>
    </w:p>
    <w:p>
      <w:pPr>
        <w:spacing w:before="400" w:after="100"/>
        <w:jc w:val="center"/>
      </w:pPr>
      <w:r>
        <w:rPr>
          <w:rFonts w:ascii="Arial" w:cs="Arial" w:eastAsia="Arial" w:hAnsi="Arial"/>
          <w:color w:val="666666"/>
          <w:sz w:val="24"/>
          <w:szCs w:val="24"/>
        </w:rPr>
        <w:t xml:space="preserve">Version 1.0 — Analyse du problème et critères de sélection</w:t>
      </w:r>
    </w:p>
    <w:p>
      <w:pPr>
        <w:spacing w:before="0" w:after="2000"/>
        <w:jc w:val="center"/>
      </w:pPr>
      <w:r>
        <w:rPr>
          <w:rFonts w:ascii="Arial" w:cs="Arial" w:eastAsia="Arial" w:hAnsi="Arial"/>
          <w:color w:val="888888"/>
          <w:sz w:val="22"/>
          <w:szCs w:val="22"/>
        </w:rPr>
        <w:t xml:space="preserve">Avril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Rubrique</w:t>
            </w:r>
          </w:p>
        </w:tc>
        <w:tc>
          <w:tcPr>
            <w:tcW w:type="dxa" w:w="64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Contenu</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Moteur de référence</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Nanotec DB57M012 12 V  —  5 paires de pôles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Plateforme cible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Microcontrôleur (MCU) — contraintes CPU et mémoire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Exigence robustesse</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Résistant à la saillance magnétique (Ld ≠ Lq)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Statut actuel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PLL et SMO validés hors-FW (θ RMS &lt; 10°) — défaillants en zone FW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Objectif</w:t>
            </w:r>
          </w:p>
        </w:tc>
        <w:tc>
          <w:tcPr>
            <w:tcW w:type="dxa" w:w="6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Erreur vitesse quasi-nulle sur toute la plage, y compris FW actif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Auteur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Amine Khettat — Blind Systems</w:t>
            </w:r>
          </w:p>
        </w:tc>
      </w:tr>
    </w:tbl>
    <w:p>
      <w:r>
        <w:br w:type="page"/>
      </w:r>
    </w:p>
    <w:p>
      <w:pPr>
        <w:pStyle w:val="Heading1"/>
        <w:spacing w:before="0" w:after="20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Contexte et objectifs</w:t>
      </w:r>
    </w:p>
    <w:p>
      <w:pPr>
        <w:spacing w:before="60" w:after="80"/>
      </w:pPr>
      <w:r>
        <w:rPr>
          <w:rFonts w:ascii="Arial" w:cs="Arial" w:eastAsia="Arial" w:hAnsi="Arial"/>
          <w:sz w:val="22"/>
          <w:szCs w:val="22"/>
        </w:rPr>
        <w:t xml:space="preserve">Ce rapport documente l’analyse technique et les voies d’amélioration des observateurs sensorless (sans capteur de position) pour le contrôle FOC (Field-Oriented Control) d’un moteur PMSM (Permanent Magnet Synchronous Motor), avec une attention particulière portée sur la zone d’affaiblissement de flux (FW, </w:t>
      </w:r>
      <w:r>
        <w:rPr>
          <w:rFonts w:ascii="Arial" w:cs="Arial" w:eastAsia="Arial" w:hAnsi="Arial"/>
          <w:i/>
          <w:iCs/>
          <w:sz w:val="22"/>
          <w:szCs w:val="22"/>
        </w:rPr>
        <w:t xml:space="preserve">Field Weakening</w:t>
      </w:r>
      <w:r>
        <w:rPr>
          <w:rFonts w:ascii="Arial" w:cs="Arial" w:eastAsia="Arial" w:hAnsi="Arial"/>
          <w:sz w:val="22"/>
          <w:szCs w:val="22"/>
        </w:rPr>
        <w:t xml:space="preserve">), où les performances actuelles sont insuffisantes.</w:t>
      </w:r>
    </w:p>
    <w:p>
      <w:pPr>
        <w:spacing w:before="0" w:after="80"/>
      </w:pPr>
      <w:r>
        <w:t xml:space="preserve"/>
      </w:r>
    </w:p>
    <w:p>
      <w:pPr>
        <w:spacing w:before="60" w:after="80"/>
      </w:pPr>
      <w:r>
        <w:rPr>
          <w:rFonts w:ascii="Arial" w:cs="Arial" w:eastAsia="Arial" w:hAnsi="Arial"/>
          <w:sz w:val="22"/>
          <w:szCs w:val="22"/>
        </w:rPr>
        <w:t xml:space="preserve">Le simulateur BLDC implémente deux observateurs de type EMF back-EMF reconstruite : un observateur PLL (Phase-Locked Loop, boucle à verrouillage de phase) et un observateur SMO (Sliding Mode Observer, mode glissant). Les deux répondent aux critères de validation hors zone FW (vitesse stable à 1 500 tr/min)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600"/>
        <w:gridCol w:w="1626"/>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Métrique</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PLL</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SMO</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Seuil</w:t>
            </w:r>
          </w:p>
        </w:tc>
        <w:tc>
          <w:tcPr>
            <w:tcW w:type="dxa" w:w="16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Statut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θ erreur RMS (hors FW)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6,61°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7,33°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&lt; 10°</w:t>
            </w:r>
          </w:p>
        </w:tc>
        <w:tc>
          <w:tcPr>
            <w:tcW w:type="dxa" w:w="1626"/>
            <w:tcBorders>
              <w:top w:val="single" w:color="CCCCCC" w:sz="1"/>
              <w:left w:val="single" w:color="CCCCCC" w:sz="1"/>
              <w:bottom w:val="single" w:color="CCCCCC" w:sz="1"/>
              <w:right w:val="single" w:color="CCCCCC" w:sz="1"/>
            </w:tcBorders>
            <w:shd w:fill="D9F0D9" w:val="clear"/>
            <w:tcMar>
              <w:top w:type="dxa" w:w="80"/>
              <w:left w:type="dxa" w:w="120"/>
              <w:bottom w:type="dxa" w:w="80"/>
              <w:right w:type="dxa" w:w="120"/>
            </w:tcMar>
          </w:tcPr>
          <w:p>
            <w:r>
              <w:rPr>
                <w:rFonts w:ascii="Arial" w:cs="Arial" w:eastAsia="Arial" w:hAnsi="Arial"/>
                <w:b/>
                <w:bCs/>
                <w:color w:val="1D6B1D"/>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Erreur EMF relative (hors FW)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18,1 %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20 %</w:t>
            </w:r>
          </w:p>
        </w:tc>
        <w:tc>
          <w:tcPr>
            <w:tcW w:type="dxa" w:w="1626"/>
            <w:tcBorders>
              <w:top w:val="single" w:color="CCCCCC" w:sz="1"/>
              <w:left w:val="single" w:color="CCCCCC" w:sz="1"/>
              <w:bottom w:val="single" w:color="CCCCCC" w:sz="1"/>
              <w:right w:val="single" w:color="CCCCCC" w:sz="1"/>
            </w:tcBorders>
            <w:shd w:fill="D9F0D9" w:val="clear"/>
            <w:tcMar>
              <w:top w:type="dxa" w:w="80"/>
              <w:left w:type="dxa" w:w="120"/>
              <w:bottom w:type="dxa" w:w="80"/>
              <w:right w:type="dxa" w:w="120"/>
            </w:tcMar>
          </w:tcPr>
          <w:p>
            <w:r>
              <w:rPr>
                <w:rFonts w:ascii="Arial" w:cs="Arial" w:eastAsia="Arial" w:hAnsi="Arial"/>
                <w:b/>
                <w:bCs/>
                <w:color w:val="1D6B1D"/>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Erreur vitesse RMS (hors FW)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240 tr/min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236 tr/min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300 tr/min</w:t>
            </w:r>
          </w:p>
        </w:tc>
        <w:tc>
          <w:tcPr>
            <w:tcW w:type="dxa" w:w="1626"/>
            <w:tcBorders>
              <w:top w:val="single" w:color="CCCCCC" w:sz="1"/>
              <w:left w:val="single" w:color="CCCCCC" w:sz="1"/>
              <w:bottom w:val="single" w:color="CCCCCC" w:sz="1"/>
              <w:right w:val="single" w:color="CCCCCC" w:sz="1"/>
            </w:tcBorders>
            <w:shd w:fill="D9F0D9" w:val="clear"/>
            <w:tcMar>
              <w:top w:type="dxa" w:w="80"/>
              <w:left w:type="dxa" w:w="120"/>
              <w:bottom w:type="dxa" w:w="80"/>
              <w:right w:type="dxa" w:w="120"/>
            </w:tcMar>
          </w:tcPr>
          <w:p>
            <w:r>
              <w:rPr>
                <w:rFonts w:ascii="Arial" w:cs="Arial" w:eastAsia="Arial" w:hAnsi="Arial"/>
                <w:b/>
                <w:bCs/>
                <w:color w:val="1D6B1D"/>
                <w:sz w:val="20"/>
                <w:szCs w:val="20"/>
              </w:rPr>
              <w:t xml:space="preserve">✅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θ erreur RMS (zone FW, 3 000 tr/min)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13,45°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10°</w:t>
            </w:r>
          </w:p>
        </w:tc>
        <w:tc>
          <w:tcPr>
            <w:tcW w:type="dxa" w:w="1626"/>
            <w:tcBorders>
              <w:top w:val="single" w:color="CCCCCC" w:sz="1"/>
              <w:left w:val="single" w:color="CCCCCC" w:sz="1"/>
              <w:bottom w:val="single" w:color="CCCCCC" w:sz="1"/>
              <w:right w:val="single" w:color="CCCCCC" w:sz="1"/>
            </w:tcBorders>
            <w:shd w:fill="F9D9D9" w:val="clear"/>
            <w:tcMar>
              <w:top w:type="dxa" w:w="80"/>
              <w:left w:type="dxa" w:w="120"/>
              <w:bottom w:type="dxa" w:w="80"/>
              <w:right w:type="dxa" w:w="120"/>
            </w:tcMar>
          </w:tcPr>
          <w:p>
            <w:r>
              <w:rPr>
                <w:rFonts w:ascii="Arial" w:cs="Arial" w:eastAsia="Arial" w:hAnsi="Arial"/>
                <w:b/>
                <w:bCs/>
                <w:color w:val="7B0000"/>
                <w:sz w:val="20"/>
                <w:szCs w:val="20"/>
              </w:rPr>
              <w:t xml:space="preserve">❌ ÉCHEC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Erreur vitesse RMS (zone FW)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617 tr/min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618 tr/min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300 tr/min</w:t>
            </w:r>
          </w:p>
        </w:tc>
        <w:tc>
          <w:tcPr>
            <w:tcW w:type="dxa" w:w="1626"/>
            <w:tcBorders>
              <w:top w:val="single" w:color="CCCCCC" w:sz="1"/>
              <w:left w:val="single" w:color="CCCCCC" w:sz="1"/>
              <w:bottom w:val="single" w:color="CCCCCC" w:sz="1"/>
              <w:right w:val="single" w:color="CCCCCC" w:sz="1"/>
            </w:tcBorders>
            <w:shd w:fill="F9D9D9" w:val="clear"/>
            <w:tcMar>
              <w:top w:type="dxa" w:w="80"/>
              <w:left w:type="dxa" w:w="120"/>
              <w:bottom w:type="dxa" w:w="80"/>
              <w:right w:type="dxa" w:w="120"/>
            </w:tcMar>
          </w:tcPr>
          <w:p>
            <w:r>
              <w:rPr>
                <w:rFonts w:ascii="Arial" w:cs="Arial" w:eastAsia="Arial" w:hAnsi="Arial"/>
                <w:b/>
                <w:bCs/>
                <w:color w:val="7B0000"/>
                <w:sz w:val="20"/>
                <w:szCs w:val="20"/>
              </w:rPr>
              <w:t xml:space="preserve">❌ ÉCHEC</w:t>
            </w:r>
          </w:p>
        </w:tc>
      </w:tr>
    </w:tbl>
    <w:p>
      <w:pPr>
        <w:spacing w:before="0" w:after="80"/>
      </w:pPr>
      <w:r>
        <w:t xml:space="preserve"/>
      </w:r>
    </w:p>
    <w:p>
      <w:pPr>
        <w:spacing w:before="0" w:after="80"/>
      </w:pPr>
      <w:r>
        <w:t xml:space="preserve"/>
      </w:r>
    </w:p>
    <w:p>
      <w:pPr>
        <w:spacing w:before="60" w:after="80"/>
      </w:pPr>
      <w:r>
        <w:rPr>
          <w:rFonts w:ascii="Arial" w:cs="Arial" w:eastAsia="Arial" w:hAnsi="Arial"/>
          <w:sz w:val="22"/>
          <w:szCs w:val="22"/>
        </w:rPr>
        <w:t xml:space="preserve">L’objectif de ce rapport est double :</w:t>
      </w:r>
    </w:p>
    <w:p>
      <w:pPr>
        <w:pStyle w:val="ListParagraph"/>
        <w:numPr>
          <w:ilvl w:val="0"/>
          <w:numId w:val="2"/>
        </w:numPr>
        <w:spacing w:before="40" w:after="60"/>
      </w:pPr>
      <w:r>
        <w:rPr>
          <w:rFonts w:ascii="Arial" w:cs="Arial" w:eastAsia="Arial" w:hAnsi="Arial"/>
          <w:sz w:val="22"/>
          <w:szCs w:val="22"/>
        </w:rPr>
        <w:t xml:space="preserve">Identifier et quantifier les causes racines des erreurs en zone FW.</w:t>
      </w:r>
    </w:p>
    <w:p>
      <w:pPr>
        <w:pStyle w:val="ListParagraph"/>
        <w:numPr>
          <w:ilvl w:val="0"/>
          <w:numId w:val="2"/>
        </w:numPr>
        <w:spacing w:before="40" w:after="60"/>
      </w:pPr>
      <w:r>
        <w:rPr>
          <w:rFonts w:ascii="Arial" w:cs="Arial" w:eastAsia="Arial" w:hAnsi="Arial"/>
          <w:sz w:val="22"/>
          <w:szCs w:val="22"/>
        </w:rPr>
        <w:t xml:space="preserve">Sélectionner, parmi la littérature récente, les solutions adaptables à une implémentation MCU tout en restant robustes à la saillance magnétique (Ld ≠ Lq).</w:t>
      </w:r>
    </w:p>
    <w:p>
      <w:pPr>
        <w:spacing w:before="0" w:after="80"/>
      </w:pPr>
      <w:r>
        <w:t xml:space="preserve"/>
      </w:r>
    </w:p>
    <w:p>
      <w:pPr>
        <w:pStyle w:val="Heading1"/>
        <w:spacing w:before="360" w:after="200"/>
      </w:pPr>
      <w:r>
        <w:rPr>
          <w:rFonts w:ascii="Arial" w:cs="Arial" w:eastAsia="Arial" w:hAnsi="Arial"/>
          <w:b/>
          <w:bCs/>
          <w:color w:val="1F4E79"/>
          <w:sz w:val="32"/>
          <w:szCs w:val="32"/>
        </w:rPr>
        <w:t xml:space="preserve">2. Architecture actuelle des observateurs</w:t>
      </w:r>
    </w:p>
    <w:p>
      <w:pPr>
        <w:pStyle w:val="Heading2"/>
        <w:spacing w:before="280" w:after="160"/>
      </w:pPr>
      <w:r>
        <w:rPr>
          <w:rFonts w:ascii="Arial" w:cs="Arial" w:eastAsia="Arial" w:hAnsi="Arial"/>
          <w:b/>
          <w:bCs/>
          <w:color w:val="2E75B6"/>
          <w:sz w:val="26"/>
          <w:szCs w:val="26"/>
        </w:rPr>
        <w:t xml:space="preserve">2.1  Modèle back-EMF statorique (αβ)</w:t>
      </w:r>
    </w:p>
    <w:p>
      <w:pPr>
        <w:spacing w:before="60" w:after="80"/>
      </w:pPr>
      <w:r>
        <w:rPr>
          <w:rFonts w:ascii="Arial" w:cs="Arial" w:eastAsia="Arial" w:hAnsi="Arial"/>
          <w:sz w:val="22"/>
          <w:szCs w:val="22"/>
        </w:rPr>
        <w:t xml:space="preserve">La force électromotrice (back-EMF) est reconstruite dans le repère stationnaire αβ à partir des tensions et courants de stator mesurés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eα = vα − R · iα − L · diα/dt</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(2.1)</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eβ = vβ − R · iβ − L · diβ/dt</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(2.2)</w:t>
            </w:r>
          </w:p>
        </w:tc>
      </w:tr>
    </w:tbl>
    <w:p>
      <w:pPr>
        <w:spacing w:before="0" w:after="80"/>
      </w:pPr>
      <w:r>
        <w:t xml:space="preserve"/>
      </w:r>
    </w:p>
    <w:p>
      <w:pPr>
        <w:spacing w:before="60" w:after="80"/>
      </w:pPr>
      <w:r>
        <w:rPr>
          <w:rFonts w:ascii="Arial" w:cs="Arial" w:eastAsia="Arial" w:hAnsi="Arial"/>
          <w:sz w:val="22"/>
          <w:szCs w:val="22"/>
        </w:rPr>
        <w:t xml:space="preserve">Pour un SPMSM (saillance nulle, Ld = Lq = L), en régime permanent les composantes de la back-EMF sont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eα = − Ke · ωe · sin(θe)</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(2.3)</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eβ = + Ke · ωe · cos(θe)</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(2.4)</w:t>
            </w:r>
          </w:p>
        </w:tc>
      </w:tr>
    </w:tbl>
    <w:p>
      <w:pPr>
        <w:spacing w:before="0" w:after="80"/>
      </w:pPr>
      <w:r>
        <w:t xml:space="preserve"/>
      </w:r>
    </w:p>
    <w:p>
      <w:pPr>
        <w:spacing w:before="60" w:after="80"/>
      </w:pPr>
      <w:r>
        <w:rPr>
          <w:rFonts w:ascii="Arial" w:cs="Arial" w:eastAsia="Arial" w:hAnsi="Arial"/>
          <w:sz w:val="22"/>
          <w:szCs w:val="22"/>
        </w:rPr>
        <w:t xml:space="preserve">L’angle électrique est extrait par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θe = arctan2(−eα, eβ)</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(2.5)</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4"/>
              <w:bottom w:val="single" w:color="C55A11" w:sz="4"/>
              <w:right w:val="single" w:color="C55A11" w:sz="4"/>
            </w:tcBorders>
            <w:shd w:fill="FFF3CD" w:val="clear"/>
            <w:tcMar>
              <w:top w:type="dxa" w:w="120"/>
              <w:left w:type="dxa" w:w="200"/>
              <w:bottom w:type="dxa" w:w="120"/>
              <w:right w:type="dxa" w:w="200"/>
            </w:tcMar>
          </w:tcPr>
          <w:p>
            <w:r>
              <w:rPr>
                <w:rFonts w:ascii="Arial" w:cs="Arial" w:eastAsia="Arial" w:hAnsi="Arial"/>
                <w:b/>
                <w:bCs/>
                <w:color w:val="C55A11"/>
                <w:sz w:val="22"/>
                <w:szCs w:val="22"/>
              </w:rPr>
              <w:t xml:space="preserve">⚠️  Limitation pour les IPMSM (Ld ≠ Lq)</w:t>
            </w:r>
          </w:p>
          <w:p>
            <w:pPr>
              <w:spacing w:before="60"/>
            </w:pPr>
            <w:r>
              <w:rPr>
                <w:rFonts w:ascii="Arial" w:cs="Arial" w:eastAsia="Arial" w:hAnsi="Arial"/>
                <w:sz w:val="21"/>
                <w:szCs w:val="21"/>
              </w:rPr>
              <w:t xml:space="preserve">Ce modèle scalaire ne sépare pas les contributions du flux rotorique PM et du flux de reluctance. Pour un IPMSM, eα et eβ contiennent des termes supplémentaires en (Ld−Lq)·ωe·id et (Ld−Lq)·diq/dt, ce qui fausse l’estimation de θe et de la vitesse si ces termes ne sont pas compensés.</w:t>
            </w:r>
          </w:p>
        </w:tc>
      </w:tr>
    </w:tbl>
    <w:p>
      <w:pPr>
        <w:spacing w:before="0" w:after="80"/>
      </w:pPr>
      <w:r>
        <w:t xml:space="preserve"/>
      </w:r>
    </w:p>
    <w:p>
      <w:pPr>
        <w:spacing w:before="0" w:after="80"/>
      </w:pPr>
      <w:r>
        <w:t xml:space="preserve"/>
      </w:r>
    </w:p>
    <w:p>
      <w:pPr>
        <w:spacing w:before="60" w:after="80"/>
      </w:pPr>
      <w:r>
        <w:rPr>
          <w:rFonts w:ascii="Arial" w:cs="Arial" w:eastAsia="Arial" w:hAnsi="Arial"/>
          <w:sz w:val="22"/>
          <w:szCs w:val="22"/>
        </w:rPr>
        <w:t xml:space="preserve">Un filtre passe-bas (LPF) de premier ordre est appliqué après la reconstruction, avec une constante de temps τ_lpf = DT = 10⁻⁴ s. Ce filtre atténue le bruit de la dérivée di/dt mais introduit un déphasage dépendant de la fréquence électrique ƒe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φ_LPF(fe) = arctan(2π · fe · τ_lpf)</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(2.6)</w:t>
            </w:r>
          </w:p>
        </w:tc>
      </w:tr>
    </w:tbl>
    <w:p>
      <w:pPr>
        <w:spacing w:before="0" w:after="80"/>
      </w:pPr>
      <w:r>
        <w:t xml:space="preserve"/>
      </w:r>
    </w:p>
    <w:p>
      <w:pPr>
        <w:spacing w:before="60" w:after="80"/>
      </w:pPr>
      <w:r>
        <w:rPr>
          <w:rFonts w:ascii="Arial" w:cs="Arial" w:eastAsia="Arial" w:hAnsi="Arial"/>
          <w:sz w:val="22"/>
          <w:szCs w:val="22"/>
        </w:rPr>
        <w:t xml:space="preserve">Ce déphasage (calculé à partir des paramètres du moteur Nanotec DB57M012 avec Pp = 5) augmente proportionnellement à la vitesse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13"/>
        <w:gridCol w:w="3613"/>
      </w:tblGrid>
      <w:tr>
        <w:trPr>
          <w:tblHeader/>
        </w:trP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Vitesse (tr/min)</w:t>
            </w:r>
          </w:p>
        </w:tc>
        <w:tc>
          <w:tcPr>
            <w:tcW w:type="dxa" w:w="2813"/>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fréquence électrique fe (Hz)</w:t>
            </w:r>
          </w:p>
        </w:tc>
        <w:tc>
          <w:tcPr>
            <w:tcW w:type="dxa" w:w="3613"/>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Déphasage LPF φ (°)</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800 tr/min (transition OL → CL)</w:t>
            </w:r>
          </w:p>
        </w:tc>
        <w:tc>
          <w:tcPr>
            <w:tcW w:type="dxa" w:w="2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67 Hz</w:t>
            </w:r>
          </w:p>
        </w:tc>
        <w:tc>
          <w:tcPr>
            <w:tcW w:type="dxa" w:w="36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1 500 tr/min (régime hors-FW)</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125 Hz</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2 363 tr/min (seuil FW)</w:t>
            </w:r>
          </w:p>
        </w:tc>
        <w:tc>
          <w:tcPr>
            <w:tcW w:type="dxa" w:w="28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197 Hz</w:t>
            </w:r>
          </w:p>
        </w:tc>
        <w:tc>
          <w:tcPr>
            <w:tcW w:type="dxa" w:w="36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7,0°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3 000 tr/min (cible FW)</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250 Hz</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9,0°</w:t>
            </w:r>
          </w:p>
        </w:tc>
      </w:tr>
    </w:tbl>
    <w:p>
      <w:pPr>
        <w:spacing w:before="0" w:after="80"/>
      </w:pPr>
      <w:r>
        <w:t xml:space="preserve"/>
      </w:r>
    </w:p>
    <w:p>
      <w:pPr>
        <w:spacing w:before="60" w:after="80"/>
      </w:pPr>
      <w:r>
        <w:rPr>
          <w:rFonts w:ascii="Arial" w:cs="Arial" w:eastAsia="Arial" w:hAnsi="Arial"/>
          <w:sz w:val="22"/>
          <w:szCs w:val="22"/>
        </w:rPr>
        <w:t xml:space="preserve">Ce seul terme de déphasage représente déjà 9° à la fréquence maximale, ce qui est proche du seuil de 10° requis.</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2.2  Observateur PLL (Phase-Locked Loop)</w:t>
      </w:r>
    </w:p>
    <w:p>
      <w:pPr>
        <w:spacing w:before="60" w:after="80"/>
      </w:pPr>
      <w:r>
        <w:rPr>
          <w:rFonts w:ascii="Arial" w:cs="Arial" w:eastAsia="Arial" w:hAnsi="Arial"/>
          <w:sz w:val="22"/>
          <w:szCs w:val="22"/>
        </w:rPr>
        <w:t xml:space="preserve">Le PLL est un observateur de type 2 (intégrateur double) qui suit l’angle θ_meas extrait de l’EMF reconstruite. L’équation d’état est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ε(t) = wrap(θ_meas − θ̂_PLL)</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(2.7)</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θ̂_PLL(t+dt) = θ̂_PLL(t) + (ω_ff + kp·ε + ki·∫ε) · dt</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(2.8)</w:t>
            </w:r>
          </w:p>
        </w:tc>
      </w:tr>
    </w:tbl>
    <w:p>
      <w:pPr>
        <w:spacing w:before="0" w:after="80"/>
      </w:pPr>
      <w:r>
        <w:t xml:space="preserve"/>
      </w:r>
    </w:p>
    <w:p>
      <w:pPr>
        <w:spacing w:before="60" w:after="80"/>
      </w:pPr>
      <w:r>
        <w:rPr>
          <w:rFonts w:ascii="Arial" w:cs="Arial" w:eastAsia="Arial" w:hAnsi="Arial"/>
          <w:sz w:val="22"/>
          <w:szCs w:val="22"/>
        </w:rPr>
        <w:t xml:space="preserve">Les gains sont calculés analytiquement avec ζ = 0,9 et ωn = ωe_max / 10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kp = 2ζωn = 330  ;  ki = ωn² = 33 584  (ωe_max = 1 833 rad/s)</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(2.9)</w:t>
            </w:r>
          </w:p>
        </w:tc>
      </w:tr>
    </w:tbl>
    <w:p>
      <w:pPr>
        <w:spacing w:before="0" w:after="80"/>
      </w:pPr>
      <w:r>
        <w:t xml:space="preserve"/>
      </w:r>
    </w:p>
    <w:p>
      <w:pPr>
        <w:spacing w:before="60" w:after="80"/>
      </w:pPr>
      <w:r>
        <w:rPr>
          <w:rFonts w:ascii="Arial" w:cs="Arial" w:eastAsia="Arial" w:hAnsi="Arial"/>
          <w:sz w:val="22"/>
          <w:szCs w:val="22"/>
        </w:rPr>
        <w:t xml:space="preserve">La bande passante fixée à ωn = 183 rad/s est adaptée à la vitesse nominale mais insuffisante pour suivre les transitoires rapides en zone FW (où ωe &gt; 1 000 rad/s).</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2.3  Observateur SMO (Sliding Mode Observer)</w:t>
      </w:r>
    </w:p>
    <w:p>
      <w:pPr>
        <w:spacing w:before="60" w:after="80"/>
      </w:pPr>
      <w:r>
        <w:rPr>
          <w:rFonts w:ascii="Arial" w:cs="Arial" w:eastAsia="Arial" w:hAnsi="Arial"/>
          <w:sz w:val="22"/>
          <w:szCs w:val="22"/>
        </w:rPr>
        <w:t xml:space="preserve">Le SMO utilise une loi de commande discontinue (fonction sign) pour faire converger l’erreur de courant vers zéro, générant implicitement une estimation de la back-EMF. L’équation du mode glissant est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dîα/dt = (vα − R·îα) / L − k_slide·sign(îα−iα) / L</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(2.10)</w:t>
            </w:r>
          </w:p>
        </w:tc>
      </w:tr>
    </w:tbl>
    <w:p>
      <w:pPr>
        <w:spacing w:before="0" w:after="80"/>
      </w:pPr>
      <w:r>
        <w:t xml:space="preserve"/>
      </w:r>
    </w:p>
    <w:p>
      <w:pPr>
        <w:spacing w:before="60" w:after="80"/>
      </w:pPr>
      <w:r>
        <w:rPr>
          <w:rFonts w:ascii="Arial" w:cs="Arial" w:eastAsia="Arial" w:hAnsi="Arial"/>
          <w:sz w:val="22"/>
          <w:szCs w:val="22"/>
        </w:rPr>
        <w:t xml:space="preserve">La back-EMF est extraite après un LPF appliqué au terme de commutation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êα = LPF[ k_slide · sign(îα − iα) ]</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(2.11)</w:t>
            </w:r>
          </w:p>
        </w:tc>
      </w:tr>
    </w:tbl>
    <w:p>
      <w:pPr>
        <w:spacing w:before="0" w:after="80"/>
      </w:pPr>
      <w:r>
        <w:t xml:space="preserve"/>
      </w:r>
    </w:p>
    <w:p>
      <w:pPr>
        <w:spacing w:before="60" w:after="80"/>
      </w:pPr>
      <w:r>
        <w:rPr>
          <w:rFonts w:ascii="Arial" w:cs="Arial" w:eastAsia="Arial" w:hAnsi="Arial"/>
          <w:sz w:val="22"/>
          <w:szCs w:val="22"/>
        </w:rPr>
        <w:t xml:space="preserve">Les gains sont calculés analytiquement : k_slide = 5·ωe_max·Ke = 9 163, α_lpf = dt / (dt + 3τe) = 0,026. L’usage de sign() impose un LPF obligatoire, source du même déphasage que pour le PLL, aggravé par le chattering.</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2.4  Estimation de vitesse corrigée (zone FW)</w:t>
      </w:r>
    </w:p>
    <w:p>
      <w:pPr>
        <w:spacing w:before="60" w:after="80"/>
      </w:pPr>
      <w:r>
        <w:rPr>
          <w:rFonts w:ascii="Arial" w:cs="Arial" w:eastAsia="Arial" w:hAnsi="Arial"/>
          <w:sz w:val="22"/>
          <w:szCs w:val="22"/>
        </w:rPr>
        <w:t xml:space="preserve">En zone FW, un courant négatif id &lt; 0 est injecté pour réduire le flux de l’aimant permanent et permettre la montée en vitesse. Ceci réduit le flux effectif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λ_eff = λpm + Ld · id   avec id &lt; 0 en FW</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(2.12)</w:t>
            </w:r>
          </w:p>
        </w:tc>
      </w:tr>
    </w:tbl>
    <w:p>
      <w:pPr>
        <w:spacing w:before="0" w:after="80"/>
      </w:pPr>
      <w:r>
        <w:t xml:space="preserve"/>
      </w:r>
    </w:p>
    <w:p>
      <w:pPr>
        <w:spacing w:before="60" w:after="80"/>
      </w:pPr>
      <w:r>
        <w:rPr>
          <w:rFonts w:ascii="Arial" w:cs="Arial" w:eastAsia="Arial" w:hAnsi="Arial"/>
          <w:sz w:val="22"/>
          <w:szCs w:val="22"/>
        </w:rPr>
        <w:t xml:space="preserve">La magnitude de l’EMF reconstruite vaut alors  |E| ≈ ωe · λ_eff (en ignorant le terme de couplage croisé Lq·iq), et la vitesse estimée est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ω̂e = |E| / λ_eff = |E| / (λpm + Ld·id_est)</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(2.13)</w:t>
            </w:r>
          </w:p>
        </w:tc>
      </w:tr>
    </w:tbl>
    <w:p>
      <w:pPr>
        <w:spacing w:before="0" w:after="80"/>
      </w:pPr>
      <w:r>
        <w:t xml:space="preserve"/>
      </w:r>
    </w:p>
    <w:p>
      <w:pPr>
        <w:spacing w:before="60" w:after="80"/>
      </w:pPr>
      <w:r>
        <w:rPr>
          <w:rFonts w:ascii="Arial" w:cs="Arial" w:eastAsia="Arial" w:hAnsi="Arial"/>
          <w:sz w:val="22"/>
          <w:szCs w:val="22"/>
        </w:rPr>
        <w:t xml:space="preserve">id_est est projecté depuis les courants αβ mesurés en utilisant θ_meas_emf : id_est = iα·cos(θe) + iβ·sin(θe). Ce couplage crée une dépendance circulaire angle → vitesse → feedforward PLL → angle (voir section 3.2).</w:t>
      </w:r>
    </w:p>
    <w:p>
      <w:r>
        <w:br w:type="page"/>
      </w:r>
    </w:p>
    <w:p>
      <w:pPr>
        <w:pStyle w:val="Heading1"/>
        <w:spacing w:before="360" w:after="200"/>
      </w:pPr>
      <w:r>
        <w:rPr>
          <w:rFonts w:ascii="Arial" w:cs="Arial" w:eastAsia="Arial" w:hAnsi="Arial"/>
          <w:b/>
          <w:bCs/>
          <w:color w:val="1F4E79"/>
          <w:sz w:val="32"/>
          <w:szCs w:val="32"/>
        </w:rPr>
        <w:t xml:space="preserve">3. Analyse des causes d’erreur en zone FW</w:t>
      </w:r>
    </w:p>
    <w:p>
      <w:pPr>
        <w:pStyle w:val="Heading2"/>
        <w:spacing w:before="280" w:after="160"/>
      </w:pPr>
      <w:r>
        <w:rPr>
          <w:rFonts w:ascii="Arial" w:cs="Arial" w:eastAsia="Arial" w:hAnsi="Arial"/>
          <w:b/>
          <w:bCs/>
          <w:color w:val="2E75B6"/>
          <w:sz w:val="26"/>
          <w:szCs w:val="26"/>
        </w:rPr>
        <w:t xml:space="preserve">3.1  Déphasage du filtre LPF fixe</w:t>
      </w:r>
    </w:p>
    <w:p>
      <w:pPr>
        <w:spacing w:before="60" w:after="80"/>
      </w:pPr>
      <w:r>
        <w:rPr>
          <w:rFonts w:ascii="Arial" w:cs="Arial" w:eastAsia="Arial" w:hAnsi="Arial"/>
          <w:sz w:val="22"/>
          <w:szCs w:val="22"/>
        </w:rPr>
        <w:t xml:space="preserve">Le LPF de premier ordre utilisé pour lisser l’EMF reconstruite (et le terme sign() du SMO) introduit un déphasage qui augmente avec la fréquence. Comme il est appliqué avant l’extraction d’angle, ce déphasage se traduit directement en une erreur angulaire systématique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Δθ_LPF = arctan(2π · fe · τ_lpf)  ⇒  +9° à 3 000 tr/min</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(3.1)</w:t>
            </w:r>
          </w:p>
        </w:tc>
      </w:tr>
    </w:tbl>
    <w:p>
      <w:pPr>
        <w:spacing w:before="0" w:after="80"/>
      </w:pPr>
      <w:r>
        <w:t xml:space="preserve"/>
      </w:r>
    </w:p>
    <w:p>
      <w:pPr>
        <w:spacing w:before="60" w:after="80"/>
      </w:pPr>
      <w:r>
        <w:rPr>
          <w:rFonts w:ascii="Arial" w:cs="Arial" w:eastAsia="Arial" w:hAnsi="Arial"/>
          <w:sz w:val="22"/>
          <w:szCs w:val="22"/>
        </w:rPr>
        <w:t xml:space="preserve">Ce déphasage est fixe et prédictible, mais il n’est pas compensé dans l’implémentation actuelle. De plus, comme la constante de temps τ_lpf est fixée (= DT), le déphasage croît continument avec la vitesse.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r>
              <w:rPr>
                <w:rFonts w:ascii="Arial" w:cs="Arial" w:eastAsia="Arial" w:hAnsi="Arial"/>
                <w:b/>
                <w:bCs/>
                <w:color w:val="2E75B6"/>
                <w:sz w:val="22"/>
                <w:szCs w:val="22"/>
              </w:rPr>
              <w:t xml:space="preserve">Impact mesuré en simulation</w:t>
            </w:r>
          </w:p>
          <w:p>
            <w:pPr>
              <w:spacing w:before="60"/>
            </w:pPr>
            <w:r>
              <w:rPr>
                <w:rFonts w:ascii="Arial" w:cs="Arial" w:eastAsia="Arial" w:hAnsi="Arial"/>
                <w:sz w:val="21"/>
                <w:szCs w:val="21"/>
              </w:rPr>
              <w:t xml:space="preserve">Zone hors-FW (1 500 tr/min) : erreur angle RMS = 6,6° (4,5° de LPF + 2,1° de PLL).
Zone FW (3 000 tr/min) : erreur angle RMS = 12,6° (9,0° de LPF + 3,6° de PLL/SMO dynamique).</w:t>
            </w:r>
          </w:p>
        </w:tc>
      </w:tr>
    </w:tbl>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3.2  Couplage circulaire vitesse–angle–flux</w:t>
      </w:r>
    </w:p>
    <w:p>
      <w:pPr>
        <w:spacing w:before="60" w:after="80"/>
      </w:pPr>
      <w:r>
        <w:rPr>
          <w:rFonts w:ascii="Arial" w:cs="Arial" w:eastAsia="Arial" w:hAnsi="Arial"/>
          <w:sz w:val="22"/>
          <w:szCs w:val="22"/>
        </w:rPr>
        <w:t xml:space="preserve">En zone FW, l’estimation de vitesse utilise id_est, qui dépend lui-même de l’estimation d’angle. Cette dépendance circulaire crée une instabilité en transitoire :</w:t>
      </w:r>
    </w:p>
    <w:p>
      <w:pPr>
        <w:spacing w:before="0" w:after="80"/>
      </w:pPr>
      <w:r>
        <w:t xml:space="preserve"/>
      </w:r>
    </w:p>
    <w:p>
      <w:pPr>
        <w:pStyle w:val="ListParagraph"/>
        <w:numPr>
          <w:ilvl w:val="0"/>
          <w:numId w:val="2"/>
        </w:numPr>
        <w:spacing w:before="40" w:after="60"/>
      </w:pPr>
      <w:r>
        <w:rPr>
          <w:rFonts w:ascii="Arial" w:cs="Arial" w:eastAsia="Arial" w:hAnsi="Arial"/>
          <w:sz w:val="22"/>
          <w:szCs w:val="22"/>
        </w:rPr>
        <w:t xml:space="preserve">Si θ̂ est en retard de Δθ → id_est est erroné → λ_eff mal estimé → ω̂e biaisé → feedforward PLL erroné → θ̂ dérive davantage.</w:t>
      </w:r>
    </w:p>
    <w:p>
      <w:pPr>
        <w:pStyle w:val="ListParagraph"/>
        <w:numPr>
          <w:ilvl w:val="0"/>
          <w:numId w:val="2"/>
        </w:numPr>
        <w:spacing w:before="40" w:after="60"/>
      </w:pPr>
      <w:r>
        <w:rPr>
          <w:rFonts w:ascii="Arial" w:cs="Arial" w:eastAsia="Arial" w:hAnsi="Arial"/>
          <w:sz w:val="22"/>
          <w:szCs w:val="22"/>
        </w:rPr>
        <w:t xml:space="preserve">Le moteur ne parvient pas à atteindre la vitesse de consigne car le régulateur de vitesse reçoit une estimation biaisée et injecte un id sous-optimal.</w:t>
      </w:r>
    </w:p>
    <w:p>
      <w:pPr>
        <w:pStyle w:val="ListParagraph"/>
        <w:numPr>
          <w:ilvl w:val="0"/>
          <w:numId w:val="2"/>
        </w:numPr>
        <w:spacing w:before="40" w:after="60"/>
      </w:pPr>
      <w:r>
        <w:rPr>
          <w:rFonts w:ascii="Arial" w:cs="Arial" w:eastAsia="Arial" w:hAnsi="Arial"/>
          <w:sz w:val="22"/>
          <w:szCs w:val="22"/>
        </w:rPr>
        <w:t xml:space="preserve">L’observation en simulation confirme : à t = 3,0 s (début de la zone FW stable), |E|_est = 4,15 V contre |E|_true = 7,53 V, soit une sous-estimation de 45 %.</w:t>
      </w:r>
    </w:p>
    <w:p>
      <w:pPr>
        <w:spacing w:before="0" w:after="80"/>
      </w:pPr>
      <w:r>
        <w:t xml:space="preserve"/>
      </w:r>
    </w:p>
    <w:p>
      <w:pPr>
        <w:spacing w:before="60" w:after="80"/>
      </w:pPr>
      <w:r>
        <w:rPr>
          <w:rFonts w:ascii="Arial" w:cs="Arial" w:eastAsia="Arial" w:hAnsi="Arial"/>
          <w:sz w:val="22"/>
          <w:szCs w:val="22"/>
        </w:rPr>
        <w:t xml:space="preserve">Ce couplage n’existe pas en dehors de la zone FW (id = 0 → λ_eff = λpm constant, indépendant de l’angle), ce qui explique le comportement correct hors-FW.</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3.3  Non-robustesse à la saillance magnétique (Ld ≠ Lq)</w:t>
      </w:r>
    </w:p>
    <w:p>
      <w:pPr>
        <w:spacing w:before="60" w:after="80"/>
      </w:pPr>
      <w:r>
        <w:rPr>
          <w:rFonts w:ascii="Arial" w:cs="Arial" w:eastAsia="Arial" w:hAnsi="Arial"/>
          <w:sz w:val="22"/>
          <w:szCs w:val="22"/>
        </w:rPr>
        <w:t xml:space="preserve">Le modèle back-EMF scalaire actuel (2.1–2.4) est exact uniquement pour un SPMSM (« surface-mounted») où Ld = Lq. Pour un IPMSM (« interior») ou tout moteur à saillance significative, les équations doivent inclure les termes de réluctance. Le modèle scalaire voit alors l’EEMF (« Extended EMF»)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EEMFα = −ωe·ψpm·sinθe − (Ld−Lq)[ωe·id·sinθe − diq/dt·cosθe]</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(3.2)</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EEMFβ = +ωe·ψpm·cosθe + (Ld−Lq)[ωe·id·cosθe + diq/dt·sinθe]</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(3.3)</w:t>
            </w:r>
          </w:p>
        </w:tc>
      </w:tr>
    </w:tbl>
    <w:p>
      <w:pPr>
        <w:spacing w:before="0" w:after="80"/>
      </w:pPr>
      <w:r>
        <w:t xml:space="preserve"/>
      </w:r>
    </w:p>
    <w:p>
      <w:pPr>
        <w:spacing w:before="60" w:after="80"/>
      </w:pPr>
      <w:r>
        <w:rPr>
          <w:rFonts w:ascii="Arial" w:cs="Arial" w:eastAsia="Arial" w:hAnsi="Arial"/>
          <w:sz w:val="22"/>
          <w:szCs w:val="22"/>
        </w:rPr>
        <w:t xml:space="preserve">Si (Ld−Lq) est non nul et que le modèle ne l’intègre pas, l’arctan2 donne un angle faux d’autant plus que la vitesse et le courant id sont élevés — précisément les conditions de la zone FW. Le Nanotec DB57M012 est un SPMSM avec Ld ≈ Lq, mais tout changement de motorisation vers un IPMSM invaliderait l’observateur actuel.</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3.4  Dérive de la résistance statorique avec la température</w:t>
      </w:r>
    </w:p>
    <w:p>
      <w:pPr>
        <w:spacing w:before="60" w:after="80"/>
      </w:pPr>
      <w:r>
        <w:rPr>
          <w:rFonts w:ascii="Arial" w:cs="Arial" w:eastAsia="Arial" w:hAnsi="Arial"/>
          <w:sz w:val="22"/>
          <w:szCs w:val="22"/>
        </w:rPr>
        <w:t xml:space="preserve">La reconstruction EMF est : e = v − R·i − L·di/dt. En zone FW, les courants sont élevés, entraînant un échauffement du bobinage. La résistance statorique varie typiquement de +20 à +40 % entre 20°C et 100°C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26"/>
        <w:gridCol w:w="1300"/>
      </w:tblGrid>
      <w:tr>
        <w:tc>
          <w:tcPr>
            <w:tcW w:type="dxa" w:w="7726"/>
            <w:tcBorders>
              <w:top w:val="single" w:color="BDD7EE" w:sz="1"/>
              <w:left w:val="single" w:color="BDD7EE" w:sz="1"/>
              <w:bottom w:val="single" w:color="BDD7EE" w:sz="1"/>
              <w:right w:val="single" w:color="BDD7EE" w:sz="1"/>
            </w:tcBorders>
            <w:shd w:fill="D6E4F0" w:val="clear"/>
            <w:tcMar>
              <w:top w:type="dxa" w:w="100"/>
              <w:left w:type="dxa" w:w="200"/>
              <w:bottom w:type="dxa" w:w="100"/>
              <w:right w:type="dxa" w:w="120"/>
            </w:tcMar>
            <w:vAlign w:val="center"/>
          </w:tcPr>
          <w:p>
            <w:pPr>
              <w:jc w:val="left"/>
            </w:pPr>
            <w:r>
              <w:rPr>
                <w:rFonts w:ascii="Cambria Math" w:cs="Cambria Math" w:eastAsia="Cambria Math" w:hAnsi="Cambria Math"/>
                <w:color w:val="1F4E79"/>
                <w:sz w:val="22"/>
                <w:szCs w:val="22"/>
              </w:rPr>
              <w:t xml:space="preserve">R(T) = R_{20°C} · [1 + α_{Cu} · (T − 20)]   avec α_{Cu} ≈ 0,00393 /°C</w:t>
            </w:r>
          </w:p>
        </w:tc>
        <w:tc>
          <w:tcPr>
            <w:tcW w:type="dxa" w:w="1300"/>
            <w:tcBorders>
              <w:top w:val="single" w:color="BDD7EE" w:sz="1"/>
              <w:left w:val="single" w:color="BDD7EE" w:sz="1"/>
              <w:bottom w:val="single" w:color="BDD7EE" w:sz="1"/>
              <w:right w:val="single" w:color="BDD7EE" w:sz="1"/>
            </w:tcBorders>
            <w:shd w:fill="D6E4F0" w:val="clear"/>
            <w:tcMar>
              <w:top w:type="dxa" w:w="100"/>
              <w:left w:type="dxa" w:w="120"/>
              <w:bottom w:type="dxa" w:w="100"/>
              <w:right w:type="dxa" w:w="120"/>
            </w:tcMar>
            <w:vAlign w:val="center"/>
          </w:tcPr>
          <w:p>
            <w:pPr>
              <w:jc w:val="right"/>
            </w:pPr>
            <w:r>
              <w:rPr>
                <w:rFonts w:ascii="Arial" w:cs="Arial" w:eastAsia="Arial" w:hAnsi="Arial"/>
                <w:color w:val="888888"/>
                <w:sz w:val="20"/>
                <w:szCs w:val="20"/>
              </w:rPr>
              <w:t xml:space="preserve">(3.4)</w:t>
            </w:r>
          </w:p>
        </w:tc>
      </w:tr>
    </w:tbl>
    <w:p>
      <w:pPr>
        <w:spacing w:before="0" w:after="80"/>
      </w:pPr>
      <w:r>
        <w:t xml:space="preserve"/>
      </w:r>
    </w:p>
    <w:p>
      <w:pPr>
        <w:spacing w:before="60" w:after="80"/>
      </w:pPr>
      <w:r>
        <w:rPr>
          <w:rFonts w:ascii="Arial" w:cs="Arial" w:eastAsia="Arial" w:hAnsi="Arial"/>
          <w:sz w:val="22"/>
          <w:szCs w:val="22"/>
        </w:rPr>
        <w:t xml:space="preserve">Une erreur de +30 % sur R entraîne une erreur de R·Δi ≈ 0,12×0,3×4A = 0,14 V sur l’EMF reconstruite à pleine charge, soit une erreur de vitesse de ~100 tr/min à 1 500 tr/min (∼ 7 %). L’implémentation actuelle utilise R nominal constant.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3.5  Synthèse des causes racines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700"/>
        <w:gridCol w:w="1600"/>
        <w:gridCol w:w="1326"/>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Cause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Mécanisme</w:t>
            </w:r>
          </w:p>
        </w:tc>
        <w:tc>
          <w:tcPr>
            <w:tcW w:type="dxa" w:w="1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Erreur angulaire</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Erreur vitesse</w:t>
            </w:r>
          </w:p>
        </w:tc>
        <w:tc>
          <w:tcPr>
            <w:tcW w:type="dxa" w:w="13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Présence zone FW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LPF fixe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Déphasage croissant avec fe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+9° à 3 000 tr/min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Indirecte</w:t>
            </w:r>
          </w:p>
        </w:tc>
        <w:tc>
          <w:tcPr>
            <w:tcW w:type="dxa" w:w="1326"/>
            <w:tcBorders>
              <w:top w:val="single" w:color="CCCCCC" w:sz="1"/>
              <w:left w:val="single" w:color="CCCCCC" w:sz="1"/>
              <w:bottom w:val="single" w:color="CCCCCC" w:sz="1"/>
              <w:right w:val="single" w:color="CCCCCC" w:sz="1"/>
            </w:tcBorders>
            <w:shd w:fill="F9D9D9" w:val="clear"/>
            <w:tcMar>
              <w:top w:type="dxa" w:w="80"/>
              <w:left w:type="dxa" w:w="120"/>
              <w:bottom w:type="dxa" w:w="80"/>
              <w:right w:type="dxa" w:w="120"/>
            </w:tcMar>
          </w:tcPr>
          <w:p>
            <w:r>
              <w:rPr>
                <w:rFonts w:ascii="Arial" w:cs="Arial" w:eastAsia="Arial" w:hAnsi="Arial"/>
                <w:b/>
                <w:bCs/>
                <w:color w:val="7B0000"/>
                <w:sz w:val="20"/>
                <w:szCs w:val="20"/>
              </w:rPr>
              <w:t xml:space="preserve">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Couplage circulaire θ–ω</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id_est dépend de θ̂</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Amplifie le LPF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45 % en pic</w:t>
            </w:r>
          </w:p>
        </w:tc>
        <w:tc>
          <w:tcPr>
            <w:tcW w:type="dxa" w:w="1326"/>
            <w:tcBorders>
              <w:top w:val="single" w:color="CCCCCC" w:sz="1"/>
              <w:left w:val="single" w:color="CCCCCC" w:sz="1"/>
              <w:bottom w:val="single" w:color="CCCCCC" w:sz="1"/>
              <w:right w:val="single" w:color="CCCCCC" w:sz="1"/>
            </w:tcBorders>
            <w:shd w:fill="F9D9D9" w:val="clear"/>
            <w:tcMar>
              <w:top w:type="dxa" w:w="80"/>
              <w:left w:type="dxa" w:w="120"/>
              <w:bottom w:type="dxa" w:w="80"/>
              <w:right w:type="dxa" w:w="120"/>
            </w:tcMar>
          </w:tcPr>
          <w:p>
            <w:r>
              <w:rPr>
                <w:rFonts w:ascii="Arial" w:cs="Arial" w:eastAsia="Arial" w:hAnsi="Arial"/>
                <w:b/>
                <w:bCs/>
                <w:color w:val="7B0000"/>
                <w:sz w:val="20"/>
                <w:szCs w:val="20"/>
              </w:rPr>
              <w:t xml:space="preserve">Critique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Modèle scalaire (saillance)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EEMF non pris en compte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Variable (Ld−Lq)·id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Proportionnel à id</w:t>
            </w:r>
          </w:p>
        </w:tc>
        <w:tc>
          <w:tcPr>
            <w:tcW w:type="dxa" w:w="13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Modérée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Dérive R (temp.)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R·Δi additif sur e_est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2° typ.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tr/min</w:t>
            </w:r>
          </w:p>
        </w:tc>
        <w:tc>
          <w:tcPr>
            <w:tcW w:type="dxa" w:w="13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C55A11"/>
                <w:sz w:val="20"/>
                <w:szCs w:val="20"/>
              </w:rPr>
              <w:t xml:space="preserve">Modérée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BW PLL fixe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Suivi insuffisant en transitoire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3–5° dyn.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tr/min</w:t>
            </w:r>
          </w:p>
        </w:tc>
        <w:tc>
          <w:tcPr>
            <w:tcW w:type="dxa" w:w="1326"/>
            <w:tcBorders>
              <w:top w:val="single" w:color="CCCCCC" w:sz="1"/>
              <w:left w:val="single" w:color="CCCCCC" w:sz="1"/>
              <w:bottom w:val="single" w:color="CCCCCC" w:sz="1"/>
              <w:right w:val="single" w:color="CCCCCC" w:sz="1"/>
            </w:tcBorders>
            <w:shd w:fill="D9F0D9" w:val="clear"/>
            <w:tcMar>
              <w:top w:type="dxa" w:w="80"/>
              <w:left w:type="dxa" w:w="120"/>
              <w:bottom w:type="dxa" w:w="80"/>
              <w:right w:type="dxa" w:w="120"/>
            </w:tcMar>
          </w:tcPr>
          <w:p>
            <w:r>
              <w:rPr>
                <w:rFonts w:ascii="Arial" w:cs="Arial" w:eastAsia="Arial" w:hAnsi="Arial"/>
                <w:b/>
                <w:bCs/>
                <w:color w:val="375623"/>
                <w:sz w:val="20"/>
                <w:szCs w:val="20"/>
              </w:rPr>
              <w:t xml:space="preserve">Faible</w:t>
            </w:r>
          </w:p>
        </w:tc>
      </w:tr>
    </w:tbl>
    <w:p>
      <w:r>
        <w:br w:type="page"/>
      </w:r>
    </w:p>
    <w:p>
      <w:pPr>
        <w:pStyle w:val="Heading1"/>
        <w:spacing w:before="360" w:after="200"/>
      </w:pPr>
      <w:r>
        <w:rPr>
          <w:rFonts w:ascii="Arial" w:cs="Arial" w:eastAsia="Arial" w:hAnsi="Arial"/>
          <w:b/>
          <w:bCs/>
          <w:color w:val="1F4E79"/>
          <w:sz w:val="32"/>
          <w:szCs w:val="32"/>
        </w:rPr>
        <w:t xml:space="preserve">4. Critères de sélection des solutions</w:t>
      </w:r>
    </w:p>
    <w:p>
      <w:pPr>
        <w:spacing w:before="60" w:after="80"/>
      </w:pPr>
      <w:r>
        <w:rPr>
          <w:rFonts w:ascii="Arial" w:cs="Arial" w:eastAsia="Arial" w:hAnsi="Arial"/>
          <w:sz w:val="22"/>
          <w:szCs w:val="22"/>
        </w:rPr>
        <w:t xml:space="preserve">Les solutions issues de la littérature ont été filtrées selon deux critères non négociables, puis classées par impact attendu :</w:t>
      </w:r>
    </w:p>
    <w:p>
      <w:pPr>
        <w:spacing w:before="0" w:after="80"/>
      </w:pPr>
      <w:r>
        <w:t xml:space="preserve"/>
      </w:r>
    </w:p>
    <w:p>
      <w:pPr>
        <w:pStyle w:val="Heading3"/>
        <w:spacing w:before="200" w:after="120"/>
      </w:pPr>
      <w:r>
        <w:rPr>
          <w:rFonts w:ascii="Arial" w:cs="Arial" w:eastAsia="Arial" w:hAnsi="Arial"/>
          <w:b/>
          <w:bCs/>
          <w:color w:val="C55A11"/>
          <w:sz w:val="24"/>
          <w:szCs w:val="24"/>
        </w:rPr>
        <w:t xml:space="preserve">Critère 1 — Implémentable sur MCU</w:t>
      </w:r>
    </w:p>
    <w:p>
      <w:pPr>
        <w:pStyle w:val="ListParagraph"/>
        <w:numPr>
          <w:ilvl w:val="0"/>
          <w:numId w:val="2"/>
        </w:numPr>
        <w:spacing w:before="40" w:after="60"/>
      </w:pPr>
      <w:r>
        <w:rPr>
          <w:rFonts w:ascii="Arial" w:cs="Arial" w:eastAsia="Arial" w:hAnsi="Arial"/>
          <w:sz w:val="22"/>
          <w:szCs w:val="22"/>
        </w:rPr>
        <w:t xml:space="preserve">Pas de matrices à inverser à chaque période (EKF/UKF éliminé).</w:t>
      </w:r>
    </w:p>
    <w:p>
      <w:pPr>
        <w:pStyle w:val="ListParagraph"/>
        <w:numPr>
          <w:ilvl w:val="0"/>
          <w:numId w:val="2"/>
        </w:numPr>
        <w:spacing w:before="40" w:after="60"/>
      </w:pPr>
      <w:r>
        <w:rPr>
          <w:rFonts w:ascii="Arial" w:cs="Arial" w:eastAsia="Arial" w:hAnsi="Arial"/>
          <w:sz w:val="22"/>
          <w:szCs w:val="22"/>
        </w:rPr>
        <w:t xml:space="preserve">Nombre d’opérations en virgule flottante compatible avec une exécution à 10 kHz (DT = 100 μs).</w:t>
      </w:r>
    </w:p>
    <w:p>
      <w:pPr>
        <w:pStyle w:val="ListParagraph"/>
        <w:numPr>
          <w:ilvl w:val="0"/>
          <w:numId w:val="2"/>
        </w:numPr>
        <w:spacing w:before="40" w:after="60"/>
      </w:pPr>
      <w:r>
        <w:rPr>
          <w:rFonts w:ascii="Arial" w:cs="Arial" w:eastAsia="Arial" w:hAnsi="Arial"/>
          <w:sz w:val="22"/>
          <w:szCs w:val="22"/>
        </w:rPr>
        <w:t xml:space="preserve">Pas de look-up tables volumineuses ni de procédures de calibration hors-ligne complexes.</w:t>
      </w:r>
    </w:p>
    <w:p>
      <w:pPr>
        <w:spacing w:before="0" w:after="80"/>
      </w:pPr>
      <w:r>
        <w:t xml:space="preserve"/>
      </w:r>
    </w:p>
    <w:p>
      <w:pPr>
        <w:pStyle w:val="Heading3"/>
        <w:spacing w:before="200" w:after="120"/>
      </w:pPr>
      <w:r>
        <w:rPr>
          <w:rFonts w:ascii="Arial" w:cs="Arial" w:eastAsia="Arial" w:hAnsi="Arial"/>
          <w:b/>
          <w:bCs/>
          <w:color w:val="C55A11"/>
          <w:sz w:val="24"/>
          <w:szCs w:val="24"/>
        </w:rPr>
        <w:t xml:space="preserve">Critère 2 — Robuste à la saillance magnétique</w:t>
      </w:r>
    </w:p>
    <w:p>
      <w:pPr>
        <w:pStyle w:val="ListParagraph"/>
        <w:numPr>
          <w:ilvl w:val="0"/>
          <w:numId w:val="2"/>
        </w:numPr>
        <w:spacing w:before="40" w:after="60"/>
      </w:pPr>
      <w:r>
        <w:rPr>
          <w:rFonts w:ascii="Arial" w:cs="Arial" w:eastAsia="Arial" w:hAnsi="Arial"/>
          <w:sz w:val="22"/>
          <w:szCs w:val="22"/>
        </w:rPr>
        <w:t xml:space="preserve">Doit fonctionner correctement lorsque Ld ≠ Lq (cas IPMSM général).</w:t>
      </w:r>
    </w:p>
    <w:p>
      <w:pPr>
        <w:pStyle w:val="ListParagraph"/>
        <w:numPr>
          <w:ilvl w:val="0"/>
          <w:numId w:val="2"/>
        </w:numPr>
        <w:spacing w:before="40" w:after="60"/>
      </w:pPr>
      <w:r>
        <w:rPr>
          <w:rFonts w:ascii="Arial" w:cs="Arial" w:eastAsia="Arial" w:hAnsi="Arial"/>
          <w:sz w:val="22"/>
          <w:szCs w:val="22"/>
        </w:rPr>
        <w:t xml:space="preserve">L’erreur d’angle doit rester &lt; 10° RMS même avec une saillance typique de 30 % (Ld/Lq = 0,7).</w:t>
      </w:r>
    </w:p>
    <w:p>
      <w:pPr>
        <w:pStyle w:val="ListParagraph"/>
        <w:numPr>
          <w:ilvl w:val="0"/>
          <w:numId w:val="2"/>
        </w:numPr>
        <w:spacing w:before="40" w:after="60"/>
      </w:pPr>
      <w:r>
        <w:rPr>
          <w:rFonts w:ascii="Arial" w:cs="Arial" w:eastAsia="Arial" w:hAnsi="Arial"/>
          <w:sz w:val="22"/>
          <w:szCs w:val="22"/>
        </w:rPr>
        <w:t xml:space="preserve">Ne doit pas écarter les termes de réluctance par hypothèse simplificatrice.</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4.1  Solutions retenues (après filtrage)</w:t>
      </w:r>
    </w:p>
    <w:p>
      <w:pPr>
        <w:spacing w:before="60" w:after="80"/>
      </w:pPr>
      <w:r>
        <w:rPr>
          <w:rFonts w:ascii="Arial" w:cs="Arial" w:eastAsia="Arial" w:hAnsi="Arial"/>
          <w:sz w:val="22"/>
          <w:szCs w:val="22"/>
        </w:rPr>
        <w:t xml:space="preserve">Les solutions suivantes répondent aux deux critères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200"/>
        <w:gridCol w:w="1300"/>
        <w:gridCol w:w="2326"/>
      </w:tblGrid>
      <w:tr>
        <w:trPr>
          <w:tblHeader/>
        </w:trPr>
        <w:tc>
          <w:tcPr>
            <w:tcW w:type="dxa" w:w="2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Solution</w:t>
            </w:r>
          </w:p>
        </w:tc>
        <w:tc>
          <w:tcPr>
            <w:tcW w:type="dxa" w:w="2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Cause(s) traitée(s)</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MCU ?</w:t>
            </w:r>
          </w:p>
        </w:tc>
        <w:tc>
          <w:tcPr>
            <w:tcW w:type="dxa" w:w="1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Saillance ?</w:t>
            </w:r>
          </w:p>
        </w:tc>
        <w:tc>
          <w:tcPr>
            <w:tcW w:type="dxa" w:w="2326"/>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Impact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Filtre SOGI adaptatif</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LPF fixe (C1)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Flux (Boldea)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Couplage, saillance (C2+C3)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Natif</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Modèle EEMF complet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Saillance (C3)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Super-Twisting SMO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LPF, chattering (C1)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Feedforward ω depuis vq</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Couplage circulaire (C2)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 Partiel</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MRAS adaptation 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Dérive R (C4)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PLL BW adaptative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BW PLL fixe (C5)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Trivial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EKF / UKF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0000"/>
                <w:sz w:val="20"/>
                <w:szCs w:val="20"/>
              </w:rPr>
              <w:t xml:space="preserve">❌ Trop lourd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Oui</w:t>
            </w:r>
          </w:p>
        </w:tc>
        <w:tc>
          <w:tcPr>
            <w:tcW w:type="dxa" w:w="2326"/>
            <w:tcBorders>
              <w:top w:val="single" w:color="CCCCCC" w:sz="1"/>
              <w:left w:val="single" w:color="CCCCCC" w:sz="1"/>
              <w:bottom w:val="single" w:color="CCCCCC" w:sz="1"/>
              <w:right w:val="single" w:color="CCCCCC" w:sz="1"/>
            </w:tcBorders>
            <w:shd w:fill="F9D9D9" w:val="clear"/>
            <w:tcMar>
              <w:top w:type="dxa" w:w="80"/>
              <w:left w:type="dxa" w:w="120"/>
              <w:bottom w:type="dxa" w:w="80"/>
              <w:right w:type="dxa" w:w="120"/>
            </w:tcMar>
          </w:tcPr>
          <w:p>
            <w:r>
              <w:rPr>
                <w:rFonts w:ascii="Arial" w:cs="Arial" w:eastAsia="Arial" w:hAnsi="Arial"/>
                <w:b/>
                <w:bCs/>
                <w:color w:val="7B0000"/>
                <w:sz w:val="20"/>
                <w:szCs w:val="20"/>
              </w:rPr>
              <w:t xml:space="preserve">❌ Éliminé</w:t>
            </w:r>
          </w:p>
        </w:tc>
      </w:tr>
    </w:tbl>
    <w:p>
      <w:pPr>
        <w:spacing w:before="0" w:after="80"/>
      </w:pPr>
      <w:r>
        <w:t xml:space="preserve"/>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4"/>
              <w:left w:val="single" w:color="375623" w:sz="4"/>
              <w:bottom w:val="single" w:color="375623" w:sz="4"/>
              <w:right w:val="single" w:color="375623" w:sz="4"/>
            </w:tcBorders>
            <w:shd w:fill="D9F0D9" w:val="clear"/>
            <w:tcMar>
              <w:top w:type="dxa" w:w="120"/>
              <w:left w:type="dxa" w:w="200"/>
              <w:bottom w:type="dxa" w:w="120"/>
              <w:right w:type="dxa" w:w="200"/>
            </w:tcMar>
          </w:tcPr>
          <w:p>
            <w:r>
              <w:rPr>
                <w:rFonts w:ascii="Arial" w:cs="Arial" w:eastAsia="Arial" w:hAnsi="Arial"/>
                <w:b/>
                <w:bCs/>
                <w:color w:val="375623"/>
                <w:sz w:val="22"/>
                <w:szCs w:val="22"/>
              </w:rPr>
              <w:t xml:space="preserve">🎯  Stratégie recommandée</w:t>
            </w:r>
          </w:p>
          <w:p>
            <w:pPr>
              <w:spacing w:before="60"/>
            </w:pPr>
            <w:r>
              <w:rPr>
                <w:rFonts w:ascii="Arial" w:cs="Arial" w:eastAsia="Arial" w:hAnsi="Arial"/>
                <w:sz w:val="21"/>
                <w:szCs w:val="21"/>
              </w:rPr>
              <w:t xml:space="preserve">La combinaison SOGI + Active Flux adresse les deux causes critiques (LPF et couplage circulaire) tout en assurant la robustesse à la saillance par construction. L’ajout du MRAS-R et du feedforward vq complète l’ensemble pour une erreur de vitesse quasi-nulle sur toute la plage.</w:t>
            </w:r>
          </w:p>
        </w:tc>
      </w:tr>
    </w:tbl>
    <w:p>
      <w:r>
        <w:br w:type="page"/>
      </w:r>
    </w:p>
    <w:p>
      <w:pPr>
        <w:pStyle w:val="Heading1"/>
        <w:spacing w:before="360" w:after="200"/>
      </w:pPr>
      <w:r>
        <w:rPr>
          <w:rFonts w:ascii="Arial" w:cs="Arial" w:eastAsia="Arial" w:hAnsi="Arial"/>
          <w:b/>
          <w:bCs/>
          <w:color w:val="1F4E79"/>
          <w:sz w:val="32"/>
          <w:szCs w:val="32"/>
        </w:rPr>
        <w:t xml:space="preserve">5. Solutions retenues — description et implémentation</w:t>
      </w:r>
    </w:p>
    <w:p>
      <w:pPr>
        <w:spacing w:before="60" w:after="80"/>
      </w:pPr>
      <w:r>
        <w:rPr>
          <w:rFonts w:ascii="Arial" w:cs="Arial" w:eastAsia="Arial" w:hAnsi="Arial"/>
          <w:sz w:val="22"/>
          <w:szCs w:val="22"/>
        </w:rPr>
        <w:t xml:space="preserve">Cette section sera complétée itérativement, au fur et à mesure des résultats de simulation. Chaque solution fera l’objet d’une sous-section dédiée comprenant :</w:t>
      </w:r>
    </w:p>
    <w:p>
      <w:pPr>
        <w:pStyle w:val="ListParagraph"/>
        <w:numPr>
          <w:ilvl w:val="0"/>
          <w:numId w:val="2"/>
        </w:numPr>
        <w:spacing w:before="40" w:after="60"/>
      </w:pPr>
      <w:r>
        <w:rPr>
          <w:rFonts w:ascii="Arial" w:cs="Arial" w:eastAsia="Arial" w:hAnsi="Arial"/>
          <w:sz w:val="22"/>
          <w:szCs w:val="22"/>
        </w:rPr>
        <w:t xml:space="preserve">Description mathématique complète (equations de l’observateur).</w:t>
      </w:r>
    </w:p>
    <w:p>
      <w:pPr>
        <w:pStyle w:val="ListParagraph"/>
        <w:numPr>
          <w:ilvl w:val="0"/>
          <w:numId w:val="2"/>
        </w:numPr>
        <w:spacing w:before="40" w:after="60"/>
      </w:pPr>
      <w:r>
        <w:rPr>
          <w:rFonts w:ascii="Arial" w:cs="Arial" w:eastAsia="Arial" w:hAnsi="Arial"/>
          <w:sz w:val="22"/>
          <w:szCs w:val="22"/>
        </w:rPr>
        <w:t xml:space="preserve">Calibration analytique des gains (formules closes en fonction de R, L, Ke, Pp, DT).</w:t>
      </w:r>
    </w:p>
    <w:p>
      <w:pPr>
        <w:pStyle w:val="ListParagraph"/>
        <w:numPr>
          <w:ilvl w:val="0"/>
          <w:numId w:val="2"/>
        </w:numPr>
        <w:spacing w:before="40" w:after="60"/>
      </w:pPr>
      <w:r>
        <w:rPr>
          <w:rFonts w:ascii="Arial" w:cs="Arial" w:eastAsia="Arial" w:hAnsi="Arial"/>
          <w:sz w:val="22"/>
          <w:szCs w:val="22"/>
        </w:rPr>
        <w:t xml:space="preserve">Résultats de simulation : métriques angle, vitesse et EMF sur toute la plage.</w:t>
      </w:r>
    </w:p>
    <w:p>
      <w:pPr>
        <w:pStyle w:val="ListParagraph"/>
        <w:numPr>
          <w:ilvl w:val="0"/>
          <w:numId w:val="2"/>
        </w:numPr>
        <w:spacing w:before="40" w:after="60"/>
      </w:pPr>
      <w:r>
        <w:rPr>
          <w:rFonts w:ascii="Arial" w:cs="Arial" w:eastAsia="Arial" w:hAnsi="Arial"/>
          <w:sz w:val="22"/>
          <w:szCs w:val="22"/>
        </w:rPr>
        <w:t xml:space="preserve">Comparaison avant / après la solution.</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5.1  Filtre SOGI adaptatif  —  à compléter</w:t>
      </w:r>
    </w:p>
    <w:p>
      <w:pPr>
        <w:spacing w:before="60" w:after="80"/>
      </w:pPr>
      <w:r>
        <w:rPr>
          <w:rFonts w:ascii="Arial" w:cs="Arial" w:eastAsia="Arial" w:hAnsi="Arial"/>
          <w:sz w:val="22"/>
          <w:szCs w:val="22"/>
        </w:rPr>
        <w:t xml:space="preserve">[En cours de développement]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5.2  Observateur Active Flux (Boldea)  —  à compléter</w:t>
      </w:r>
    </w:p>
    <w:p>
      <w:pPr>
        <w:spacing w:before="60" w:after="80"/>
      </w:pPr>
      <w:r>
        <w:rPr>
          <w:rFonts w:ascii="Arial" w:cs="Arial" w:eastAsia="Arial" w:hAnsi="Arial"/>
          <w:sz w:val="22"/>
          <w:szCs w:val="22"/>
        </w:rPr>
        <w:t xml:space="preserve">[En cours de développement]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5.3  Modèle EEMF avec termes de saillance  —  à compléter</w:t>
      </w:r>
    </w:p>
    <w:p>
      <w:pPr>
        <w:spacing w:before="60" w:after="80"/>
      </w:pPr>
      <w:r>
        <w:rPr>
          <w:rFonts w:ascii="Arial" w:cs="Arial" w:eastAsia="Arial" w:hAnsi="Arial"/>
          <w:sz w:val="22"/>
          <w:szCs w:val="22"/>
        </w:rPr>
        <w:t xml:space="preserve">[En cours de développement]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5.4  Super-Twisting SMO  —  à compléter</w:t>
      </w:r>
    </w:p>
    <w:p>
      <w:pPr>
        <w:spacing w:before="60" w:after="80"/>
      </w:pPr>
      <w:r>
        <w:rPr>
          <w:rFonts w:ascii="Arial" w:cs="Arial" w:eastAsia="Arial" w:hAnsi="Arial"/>
          <w:sz w:val="22"/>
          <w:szCs w:val="22"/>
        </w:rPr>
        <w:t xml:space="preserve">[En cours de développement]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5.5  Feedforward ω depuis le modèle de tension (vq)  —  à compléter</w:t>
      </w:r>
    </w:p>
    <w:p>
      <w:pPr>
        <w:spacing w:before="60" w:after="80"/>
      </w:pPr>
      <w:r>
        <w:rPr>
          <w:rFonts w:ascii="Arial" w:cs="Arial" w:eastAsia="Arial" w:hAnsi="Arial"/>
          <w:sz w:val="22"/>
          <w:szCs w:val="22"/>
        </w:rPr>
        <w:t xml:space="preserve">[En cours de développement]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5.6  Adaptation MRAS de la résistance statorique  —  à compléter</w:t>
      </w:r>
    </w:p>
    <w:p>
      <w:pPr>
        <w:spacing w:before="60" w:after="80"/>
      </w:pPr>
      <w:r>
        <w:rPr>
          <w:rFonts w:ascii="Arial" w:cs="Arial" w:eastAsia="Arial" w:hAnsi="Arial"/>
          <w:sz w:val="22"/>
          <w:szCs w:val="22"/>
        </w:rPr>
        <w:t xml:space="preserve">[En cours de développement]</w:t>
      </w:r>
    </w:p>
    <w:p>
      <w:pPr>
        <w:spacing w:before="0" w:after="80"/>
      </w:pPr>
      <w:r>
        <w:t xml:space="preserve"/>
      </w:r>
    </w:p>
    <w:p>
      <w:pPr>
        <w:spacing w:before="0" w:after="80"/>
      </w:pPr>
      <w:r>
        <w:t xml:space="preserve"/>
      </w:r>
    </w:p>
    <w:p>
      <w:pPr>
        <w:pStyle w:val="Heading2"/>
        <w:spacing w:before="280" w:after="160"/>
      </w:pPr>
      <w:r>
        <w:rPr>
          <w:rFonts w:ascii="Arial" w:cs="Arial" w:eastAsia="Arial" w:hAnsi="Arial"/>
          <w:b/>
          <w:bCs/>
          <w:color w:val="2E75B6"/>
          <w:sz w:val="26"/>
          <w:szCs w:val="26"/>
        </w:rPr>
        <w:t xml:space="preserve">5.7  PLL à bande passante adaptative  —  à compléter</w:t>
      </w:r>
    </w:p>
    <w:p>
      <w:pPr>
        <w:spacing w:before="60" w:after="80"/>
      </w:pPr>
      <w:r>
        <w:rPr>
          <w:rFonts w:ascii="Arial" w:cs="Arial" w:eastAsia="Arial" w:hAnsi="Arial"/>
          <w:sz w:val="22"/>
          <w:szCs w:val="22"/>
        </w:rPr>
        <w:t xml:space="preserve">[En cours de développement]</w:t>
      </w:r>
    </w:p>
    <w:p>
      <w:r>
        <w:br w:type="page"/>
      </w:r>
    </w:p>
    <w:p>
      <w:pPr>
        <w:pStyle w:val="Heading1"/>
        <w:spacing w:before="360" w:after="200"/>
      </w:pPr>
      <w:r>
        <w:rPr>
          <w:rFonts w:ascii="Arial" w:cs="Arial" w:eastAsia="Arial" w:hAnsi="Arial"/>
          <w:b/>
          <w:bCs/>
          <w:color w:val="1F4E79"/>
          <w:sz w:val="32"/>
          <w:szCs w:val="32"/>
        </w:rPr>
        <w:t xml:space="preserve">6. Références bibliographiques</w:t>
      </w:r>
    </w:p>
    <w:p>
      <w:pPr>
        <w:spacing w:before="60" w:after="80"/>
      </w:pPr>
      <w:r>
        <w:rPr>
          <w:rFonts w:ascii="Arial" w:cs="Arial" w:eastAsia="Arial" w:hAnsi="Arial"/>
          <w:sz w:val="22"/>
          <w:szCs w:val="22"/>
        </w:rPr>
        <w:t xml:space="preserve">Les références sont classées par thème.</w:t>
      </w:r>
    </w:p>
    <w:p>
      <w:pPr>
        <w:spacing w:before="0" w:after="80"/>
      </w:pPr>
      <w:r>
        <w:t xml:space="preserve"/>
      </w:r>
    </w:p>
    <w:p>
      <w:pPr>
        <w:pStyle w:val="Heading2"/>
        <w:spacing w:before="280" w:after="160"/>
      </w:pPr>
      <w:r>
        <w:rPr>
          <w:rFonts w:ascii="Arial" w:cs="Arial" w:eastAsia="Arial" w:hAnsi="Arial"/>
          <w:b/>
          <w:bCs/>
          <w:color w:val="2E75B6"/>
          <w:sz w:val="26"/>
          <w:szCs w:val="26"/>
        </w:rPr>
        <w:t xml:space="preserve">LPF et filtres adaptatifs — SOGI</w:t>
      </w:r>
    </w:p>
    <w:p>
      <w:pPr>
        <w:pStyle w:val="ListParagraph"/>
        <w:numPr>
          <w:ilvl w:val="0"/>
          <w:numId w:val="3"/>
        </w:numPr>
        <w:spacing w:before="60" w:after="80"/>
      </w:pPr>
      <w:r>
        <w:rPr>
          <w:rFonts w:ascii="Arial" w:cs="Arial" w:eastAsia="Arial" w:hAnsi="Arial"/>
          <w:sz w:val="20"/>
          <w:szCs w:val="20"/>
        </w:rPr>
        <w:t xml:space="preserve">M. Ciobanu, A. Alistar et al., </w:t>
      </w:r>
      <w:r>
        <w:rPr>
          <w:rFonts w:ascii="Arial" w:cs="Arial" w:eastAsia="Arial" w:hAnsi="Arial"/>
          <w:i/>
          <w:iCs/>
          <w:sz w:val="20"/>
          <w:szCs w:val="20"/>
        </w:rPr>
        <w:t xml:space="preserve">"Fuzzy Sliding Mode Observer with Dual SOGI-FLL in Sensorless Control of PMSM Drives," </w:t>
      </w:r>
      <w:r>
        <w:rPr>
          <w:rFonts w:ascii="Arial" w:cs="Arial" w:eastAsia="Arial" w:hAnsi="Arial"/>
          <w:sz w:val="20"/>
          <w:szCs w:val="20"/>
        </w:rPr>
        <w:t xml:space="preserve">ISA Transactions, 2019</w:t>
      </w:r>
      <w:r>
        <w:rPr>
          <w:rFonts w:ascii="Arial" w:cs="Arial" w:eastAsia="Arial" w:hAnsi="Arial"/>
          <w:sz w:val="20"/>
          <w:szCs w:val="20"/>
        </w:rPr>
        <w:t xml:space="preserve">  </w:t>
      </w:r>
      <w:hyperlink w:history="1" r:id="rIdh3ysb8lrwvuypa8l5fjuq">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H. Wu et al., </w:t>
      </w:r>
      <w:r>
        <w:rPr>
          <w:rFonts w:ascii="Arial" w:cs="Arial" w:eastAsia="Arial" w:hAnsi="Arial"/>
          <w:i/>
          <w:iCs/>
          <w:sz w:val="20"/>
          <w:szCs w:val="20"/>
        </w:rPr>
        <w:t xml:space="preserve">"An Improved Active Flux Sliding Mode Observer Based on Fuzzy SOGI for IPMSM Sensorless Drives," </w:t>
      </w:r>
      <w:r>
        <w:rPr>
          <w:rFonts w:ascii="Arial" w:cs="Arial" w:eastAsia="Arial" w:hAnsi="Arial"/>
          <w:sz w:val="20"/>
          <w:szCs w:val="20"/>
        </w:rPr>
        <w:t xml:space="preserve">Journal of Electrical Engineering &amp; Technology, 2025</w:t>
      </w:r>
      <w:r>
        <w:rPr>
          <w:rFonts w:ascii="Arial" w:cs="Arial" w:eastAsia="Arial" w:hAnsi="Arial"/>
          <w:sz w:val="20"/>
          <w:szCs w:val="20"/>
        </w:rPr>
        <w:t xml:space="preserve">  </w:t>
      </w:r>
      <w:hyperlink w:history="1" r:id="rIdtr-ln5ooitx045njvmpqv">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X. Li et al., </w:t>
      </w:r>
      <w:r>
        <w:rPr>
          <w:rFonts w:ascii="Arial" w:cs="Arial" w:eastAsia="Arial" w:hAnsi="Arial"/>
          <w:i/>
          <w:iCs/>
          <w:sz w:val="20"/>
          <w:szCs w:val="20"/>
        </w:rPr>
        <w:t xml:space="preserve">"Optimizing Sensorless Control in PMSM Based on the SOGIFO-X Flux Observer Algorithm," </w:t>
      </w:r>
      <w:r>
        <w:rPr>
          <w:rFonts w:ascii="Arial" w:cs="Arial" w:eastAsia="Arial" w:hAnsi="Arial"/>
          <w:sz w:val="20"/>
          <w:szCs w:val="20"/>
        </w:rPr>
        <w:t xml:space="preserve">Sensors (MDPI), 2024</w:t>
      </w:r>
      <w:r>
        <w:rPr>
          <w:rFonts w:ascii="Arial" w:cs="Arial" w:eastAsia="Arial" w:hAnsi="Arial"/>
          <w:sz w:val="20"/>
          <w:szCs w:val="20"/>
        </w:rPr>
        <w:t xml:space="preserve">  </w:t>
      </w:r>
      <w:hyperlink w:history="1" r:id="rIdiqturchmiw2dvwrcianpt">
        <w:r>
          <w:rPr>
            <w:rStyle w:val="Hyperlink"/>
            <w:rFonts w:ascii="Arial" w:cs="Arial" w:eastAsia="Arial" w:hAnsi="Arial"/>
            <w:sz w:val="20"/>
            <w:szCs w:val="20"/>
          </w:rPr>
          <w:t xml:space="preserve">[lien]</w:t>
        </w:r>
      </w:hyperlink>
    </w:p>
    <w:p>
      <w:pPr>
        <w:spacing w:before="0" w:after="80"/>
      </w:pPr>
      <w:r>
        <w:t xml:space="preserve"/>
      </w:r>
    </w:p>
    <w:p>
      <w:pPr>
        <w:pStyle w:val="Heading2"/>
        <w:spacing w:before="280" w:after="160"/>
      </w:pPr>
      <w:r>
        <w:rPr>
          <w:rFonts w:ascii="Arial" w:cs="Arial" w:eastAsia="Arial" w:hAnsi="Arial"/>
          <w:b/>
          <w:bCs/>
          <w:color w:val="2E75B6"/>
          <w:sz w:val="26"/>
          <w:szCs w:val="26"/>
        </w:rPr>
        <w:t xml:space="preserve">Observateur Active Flux</w:t>
      </w:r>
    </w:p>
    <w:p>
      <w:pPr>
        <w:pStyle w:val="ListParagraph"/>
        <w:numPr>
          <w:ilvl w:val="0"/>
          <w:numId w:val="3"/>
        </w:numPr>
        <w:spacing w:before="60" w:after="80"/>
      </w:pPr>
      <w:r>
        <w:rPr>
          <w:rFonts w:ascii="Arial" w:cs="Arial" w:eastAsia="Arial" w:hAnsi="Arial"/>
          <w:sz w:val="20"/>
          <w:szCs w:val="20"/>
        </w:rPr>
        <w:t xml:space="preserve">I. Boldea, M. C. Paicu, G. D. Andreescu, F. Blaabjerg, </w:t>
      </w:r>
      <w:r>
        <w:rPr>
          <w:rFonts w:ascii="Arial" w:cs="Arial" w:eastAsia="Arial" w:hAnsi="Arial"/>
          <w:i/>
          <w:iCs/>
          <w:sz w:val="20"/>
          <w:szCs w:val="20"/>
        </w:rPr>
        <w:t xml:space="preserve">"Active Flux DTFC-SVM Sensorless Control of IPMSM," </w:t>
      </w:r>
      <w:r>
        <w:rPr>
          <w:rFonts w:ascii="Arial" w:cs="Arial" w:eastAsia="Arial" w:hAnsi="Arial"/>
          <w:sz w:val="20"/>
          <w:szCs w:val="20"/>
        </w:rPr>
        <w:t xml:space="preserve">IEEE Trans. Energy Conversion, 2009</w:t>
      </w:r>
      <w:r>
        <w:rPr>
          <w:rFonts w:ascii="Arial" w:cs="Arial" w:eastAsia="Arial" w:hAnsi="Arial"/>
          <w:sz w:val="20"/>
          <w:szCs w:val="20"/>
        </w:rPr>
        <w:t xml:space="preserve">  </w:t>
      </w:r>
      <w:hyperlink w:history="1" r:id="rIdibbyut4kv22rpumoxwxjh">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C. Lascu, I. Boldea et al., </w:t>
      </w:r>
      <w:r>
        <w:rPr>
          <w:rFonts w:ascii="Arial" w:cs="Arial" w:eastAsia="Arial" w:hAnsi="Arial"/>
          <w:i/>
          <w:iCs/>
          <w:sz w:val="20"/>
          <w:szCs w:val="20"/>
        </w:rPr>
        <w:t xml:space="preserve">"Sensorless Speed Control of IPMSM Using Sliding Mode Observer Based on Active Flux Concept," </w:t>
      </w:r>
      <w:r>
        <w:rPr>
          <w:rFonts w:ascii="Arial" w:cs="Arial" w:eastAsia="Arial" w:hAnsi="Arial"/>
          <w:sz w:val="20"/>
          <w:szCs w:val="20"/>
        </w:rPr>
        <w:t xml:space="preserve">IIETA Mathematical Modelling of Engineering Problems, 2022</w:t>
      </w:r>
      <w:r>
        <w:rPr>
          <w:rFonts w:ascii="Arial" w:cs="Arial" w:eastAsia="Arial" w:hAnsi="Arial"/>
          <w:sz w:val="20"/>
          <w:szCs w:val="20"/>
        </w:rPr>
        <w:t xml:space="preserve">  </w:t>
      </w:r>
      <w:hyperlink w:history="1" r:id="rId8phypbhqsrhhya9hzegne">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J. Zhao, B. P. Guo et al., </w:t>
      </w:r>
      <w:r>
        <w:rPr>
          <w:rFonts w:ascii="Arial" w:cs="Arial" w:eastAsia="Arial" w:hAnsi="Arial"/>
          <w:i/>
          <w:iCs/>
          <w:sz w:val="20"/>
          <w:szCs w:val="20"/>
        </w:rPr>
        <w:t xml:space="preserve">"Joint Estimation of Resistance and Speed With Auxiliary State of Active Flux for Sensorless IPMSM Drives," </w:t>
      </w:r>
      <w:r>
        <w:rPr>
          <w:rFonts w:ascii="Arial" w:cs="Arial" w:eastAsia="Arial" w:hAnsi="Arial"/>
          <w:sz w:val="20"/>
          <w:szCs w:val="20"/>
        </w:rPr>
        <w:t xml:space="preserve">IEEE Trans. Industrial Electronics, 2024</w:t>
      </w:r>
      <w:r>
        <w:rPr>
          <w:rFonts w:ascii="Arial" w:cs="Arial" w:eastAsia="Arial" w:hAnsi="Arial"/>
          <w:sz w:val="20"/>
          <w:szCs w:val="20"/>
        </w:rPr>
        <w:t xml:space="preserve">  </w:t>
      </w:r>
      <w:hyperlink w:history="1" r:id="rIdbvgyqyqfshdri3-2-7lko">
        <w:r>
          <w:rPr>
            <w:rStyle w:val="Hyperlink"/>
            <w:rFonts w:ascii="Arial" w:cs="Arial" w:eastAsia="Arial" w:hAnsi="Arial"/>
            <w:sz w:val="20"/>
            <w:szCs w:val="20"/>
          </w:rPr>
          <w:t xml:space="preserve">[lien]</w:t>
        </w:r>
      </w:hyperlink>
    </w:p>
    <w:p>
      <w:pPr>
        <w:spacing w:before="0" w:after="80"/>
      </w:pPr>
      <w:r>
        <w:t xml:space="preserve"/>
      </w:r>
    </w:p>
    <w:p>
      <w:pPr>
        <w:pStyle w:val="Heading2"/>
        <w:spacing w:before="280" w:after="160"/>
      </w:pPr>
      <w:r>
        <w:rPr>
          <w:rFonts w:ascii="Arial" w:cs="Arial" w:eastAsia="Arial" w:hAnsi="Arial"/>
          <w:b/>
          <w:bCs/>
          <w:color w:val="2E75B6"/>
          <w:sz w:val="26"/>
          <w:szCs w:val="26"/>
        </w:rPr>
        <w:t xml:space="preserve">Modèle EEMF et pleine plage de vitesse</w:t>
      </w:r>
    </w:p>
    <w:p>
      <w:pPr>
        <w:pStyle w:val="ListParagraph"/>
        <w:numPr>
          <w:ilvl w:val="0"/>
          <w:numId w:val="3"/>
        </w:numPr>
        <w:spacing w:before="60" w:after="80"/>
      </w:pPr>
      <w:r>
        <w:rPr>
          <w:rFonts w:ascii="Arial" w:cs="Arial" w:eastAsia="Arial" w:hAnsi="Arial"/>
          <w:sz w:val="20"/>
          <w:szCs w:val="20"/>
        </w:rPr>
        <w:t xml:space="preserve">Z. Chen, M. Tomita et al., </w:t>
      </w:r>
      <w:r>
        <w:rPr>
          <w:rFonts w:ascii="Arial" w:cs="Arial" w:eastAsia="Arial" w:hAnsi="Arial"/>
          <w:i/>
          <w:iCs/>
          <w:sz w:val="20"/>
          <w:szCs w:val="20"/>
        </w:rPr>
        <w:t xml:space="preserve">"An Extended Electromotive Force Model for Sensorless Control of Interior PM Synchronous Motors," </w:t>
      </w:r>
      <w:r>
        <w:rPr>
          <w:rFonts w:ascii="Arial" w:cs="Arial" w:eastAsia="Arial" w:hAnsi="Arial"/>
          <w:sz w:val="20"/>
          <w:szCs w:val="20"/>
        </w:rPr>
        <w:t xml:space="preserve">IEEE Trans. Industrial Electronics, 2003</w:t>
      </w:r>
      <w:r>
        <w:rPr>
          <w:rFonts w:ascii="Arial" w:cs="Arial" w:eastAsia="Arial" w:hAnsi="Arial"/>
          <w:sz w:val="20"/>
          <w:szCs w:val="20"/>
        </w:rPr>
        <w:t xml:space="preserve">  </w:t>
      </w:r>
      <w:hyperlink w:history="1" r:id="rIdbcy60_ftpnerq2jo9r9xu">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Y. Zhang et al., </w:t>
      </w:r>
      <w:r>
        <w:rPr>
          <w:rFonts w:ascii="Arial" w:cs="Arial" w:eastAsia="Arial" w:hAnsi="Arial"/>
          <w:i/>
          <w:iCs/>
          <w:sz w:val="20"/>
          <w:szCs w:val="20"/>
        </w:rPr>
        <w:t xml:space="preserve">"Extended EMF Observer for Sensorless Control over a Wide Range of Speeds," </w:t>
      </w:r>
      <w:r>
        <w:rPr>
          <w:rFonts w:ascii="Arial" w:cs="Arial" w:eastAsia="Arial" w:hAnsi="Arial"/>
          <w:sz w:val="20"/>
          <w:szCs w:val="20"/>
        </w:rPr>
        <w:t xml:space="preserve">ECCE Conference, 2010</w:t>
      </w:r>
      <w:r>
        <w:rPr>
          <w:rFonts w:ascii="Arial" w:cs="Arial" w:eastAsia="Arial" w:hAnsi="Arial"/>
          <w:sz w:val="20"/>
          <w:szCs w:val="20"/>
        </w:rPr>
        <w:t xml:space="preserve">  </w:t>
      </w:r>
      <w:hyperlink w:history="1" r:id="rIdhcf8an6v6nwkhclz0zfae">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S. Liu et al., </w:t>
      </w:r>
      <w:r>
        <w:rPr>
          <w:rFonts w:ascii="Arial" w:cs="Arial" w:eastAsia="Arial" w:hAnsi="Arial"/>
          <w:i/>
          <w:iCs/>
          <w:sz w:val="20"/>
          <w:szCs w:val="20"/>
        </w:rPr>
        <w:t xml:space="preserve">"Sensorless Control in Full Speed Domain of IPMSM Based on Hybrid Observer," </w:t>
      </w:r>
      <w:r>
        <w:rPr>
          <w:rFonts w:ascii="Arial" w:cs="Arial" w:eastAsia="Arial" w:hAnsi="Arial"/>
          <w:sz w:val="20"/>
          <w:szCs w:val="20"/>
        </w:rPr>
        <w:t xml:space="preserve">Scientific Reports (Nature), 2024</w:t>
      </w:r>
      <w:r>
        <w:rPr>
          <w:rFonts w:ascii="Arial" w:cs="Arial" w:eastAsia="Arial" w:hAnsi="Arial"/>
          <w:sz w:val="20"/>
          <w:szCs w:val="20"/>
        </w:rPr>
        <w:t xml:space="preserve">  </w:t>
      </w:r>
      <w:hyperlink w:history="1" r:id="rIdcyfbjxd_y3m--hzsao7t7">
        <w:r>
          <w:rPr>
            <w:rStyle w:val="Hyperlink"/>
            <w:rFonts w:ascii="Arial" w:cs="Arial" w:eastAsia="Arial" w:hAnsi="Arial"/>
            <w:sz w:val="20"/>
            <w:szCs w:val="20"/>
          </w:rPr>
          <w:t xml:space="preserve">[lien]</w:t>
        </w:r>
      </w:hyperlink>
    </w:p>
    <w:p>
      <w:pPr>
        <w:spacing w:before="0" w:after="80"/>
      </w:pPr>
      <w:r>
        <w:t xml:space="preserve"/>
      </w:r>
    </w:p>
    <w:p>
      <w:pPr>
        <w:pStyle w:val="Heading2"/>
        <w:spacing w:before="280" w:after="160"/>
      </w:pPr>
      <w:r>
        <w:rPr>
          <w:rFonts w:ascii="Arial" w:cs="Arial" w:eastAsia="Arial" w:hAnsi="Arial"/>
          <w:b/>
          <w:bCs/>
          <w:color w:val="2E75B6"/>
          <w:sz w:val="26"/>
          <w:szCs w:val="26"/>
        </w:rPr>
        <w:t xml:space="preserve">Super-Twisting SMO</w:t>
      </w:r>
    </w:p>
    <w:p>
      <w:pPr>
        <w:pStyle w:val="ListParagraph"/>
        <w:numPr>
          <w:ilvl w:val="0"/>
          <w:numId w:val="3"/>
        </w:numPr>
        <w:spacing w:before="60" w:after="80"/>
      </w:pPr>
      <w:r>
        <w:rPr>
          <w:rFonts w:ascii="Arial" w:cs="Arial" w:eastAsia="Arial" w:hAnsi="Arial"/>
          <w:sz w:val="20"/>
          <w:szCs w:val="20"/>
        </w:rPr>
        <w:t xml:space="preserve">T. Wang et al., </w:t>
      </w:r>
      <w:r>
        <w:rPr>
          <w:rFonts w:ascii="Arial" w:cs="Arial" w:eastAsia="Arial" w:hAnsi="Arial"/>
          <w:i/>
          <w:iCs/>
          <w:sz w:val="20"/>
          <w:szCs w:val="20"/>
        </w:rPr>
        <w:t xml:space="preserve">"Flux-Weakening Fuzzy Adaptive ST-SMO Sensorless Control Algorithm for PMSM in EV," </w:t>
      </w:r>
      <w:r>
        <w:rPr>
          <w:rFonts w:ascii="Arial" w:cs="Arial" w:eastAsia="Arial" w:hAnsi="Arial"/>
          <w:sz w:val="20"/>
          <w:szCs w:val="20"/>
        </w:rPr>
        <w:t xml:space="preserve">Journal of Supercomputing (Springer), 2022</w:t>
      </w:r>
      <w:r>
        <w:rPr>
          <w:rFonts w:ascii="Arial" w:cs="Arial" w:eastAsia="Arial" w:hAnsi="Arial"/>
          <w:sz w:val="20"/>
          <w:szCs w:val="20"/>
        </w:rPr>
        <w:t xml:space="preserve">  </w:t>
      </w:r>
      <w:hyperlink w:history="1" r:id="rIdqhmy7uw_weyf7mvhuox2l">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C. Song, D. Liu et al., </w:t>
      </w:r>
      <w:r>
        <w:rPr>
          <w:rFonts w:ascii="Arial" w:cs="Arial" w:eastAsia="Arial" w:hAnsi="Arial"/>
          <w:i/>
          <w:iCs/>
          <w:sz w:val="20"/>
          <w:szCs w:val="20"/>
        </w:rPr>
        <w:t xml:space="preserve">"Speed Sensorless Control Strategy of PMSM Based on Fuzzy Super-Twisting Sliding Mode Observer," </w:t>
      </w:r>
      <w:r>
        <w:rPr>
          <w:rFonts w:ascii="Arial" w:cs="Arial" w:eastAsia="Arial" w:hAnsi="Arial"/>
          <w:sz w:val="20"/>
          <w:szCs w:val="20"/>
        </w:rPr>
        <w:t xml:space="preserve">SAGE Journals, 2024</w:t>
      </w:r>
      <w:r>
        <w:rPr>
          <w:rFonts w:ascii="Arial" w:cs="Arial" w:eastAsia="Arial" w:hAnsi="Arial"/>
          <w:sz w:val="20"/>
          <w:szCs w:val="20"/>
        </w:rPr>
        <w:t xml:space="preserve">  </w:t>
      </w:r>
      <w:hyperlink w:history="1" r:id="rIdpa5kpuni_rltswvmbhlb_">
        <w:r>
          <w:rPr>
            <w:rStyle w:val="Hyperlink"/>
            <w:rFonts w:ascii="Arial" w:cs="Arial" w:eastAsia="Arial" w:hAnsi="Arial"/>
            <w:sz w:val="20"/>
            <w:szCs w:val="20"/>
          </w:rPr>
          <w:t xml:space="preserve">[lien]</w:t>
        </w:r>
      </w:hyperlink>
    </w:p>
    <w:p>
      <w:pPr>
        <w:spacing w:before="0" w:after="80"/>
      </w:pPr>
      <w:r>
        <w:t xml:space="preserve"/>
      </w:r>
    </w:p>
    <w:p>
      <w:pPr>
        <w:pStyle w:val="Heading2"/>
        <w:spacing w:before="280" w:after="160"/>
      </w:pPr>
      <w:r>
        <w:rPr>
          <w:rFonts w:ascii="Arial" w:cs="Arial" w:eastAsia="Arial" w:hAnsi="Arial"/>
          <w:b/>
          <w:bCs/>
          <w:color w:val="2E75B6"/>
          <w:sz w:val="26"/>
          <w:szCs w:val="26"/>
        </w:rPr>
        <w:t xml:space="preserve">PLL avancé et feedforward de vitesse</w:t>
      </w:r>
    </w:p>
    <w:p>
      <w:pPr>
        <w:pStyle w:val="ListParagraph"/>
        <w:numPr>
          <w:ilvl w:val="0"/>
          <w:numId w:val="3"/>
        </w:numPr>
        <w:spacing w:before="60" w:after="80"/>
      </w:pPr>
      <w:r>
        <w:rPr>
          <w:rFonts w:ascii="Arial" w:cs="Arial" w:eastAsia="Arial" w:hAnsi="Arial"/>
          <w:sz w:val="20"/>
          <w:szCs w:val="20"/>
        </w:rPr>
        <w:t xml:space="preserve">X. Zhang et al., </w:t>
      </w:r>
      <w:r>
        <w:rPr>
          <w:rFonts w:ascii="Arial" w:cs="Arial" w:eastAsia="Arial" w:hAnsi="Arial"/>
          <w:i/>
          <w:iCs/>
          <w:sz w:val="20"/>
          <w:szCs w:val="20"/>
        </w:rPr>
        <w:t xml:space="preserve">"PLL Method with Speed Feedforward Compensation for Extended EMF-Based IPMSM Sensorless Control," </w:t>
      </w:r>
      <w:r>
        <w:rPr>
          <w:rFonts w:ascii="Arial" w:cs="Arial" w:eastAsia="Arial" w:hAnsi="Arial"/>
          <w:sz w:val="20"/>
          <w:szCs w:val="20"/>
        </w:rPr>
        <w:t xml:space="preserve">Journal of Power Electronics (Springer), 2023</w:t>
      </w:r>
      <w:r>
        <w:rPr>
          <w:rFonts w:ascii="Arial" w:cs="Arial" w:eastAsia="Arial" w:hAnsi="Arial"/>
          <w:sz w:val="20"/>
          <w:szCs w:val="20"/>
        </w:rPr>
        <w:t xml:space="preserve">  </w:t>
      </w:r>
      <w:hyperlink w:history="1" r:id="rIddmc-gnipddo1rjdaxbxx_">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J. Wang et al., </w:t>
      </w:r>
      <w:r>
        <w:rPr>
          <w:rFonts w:ascii="Arial" w:cs="Arial" w:eastAsia="Arial" w:hAnsi="Arial"/>
          <w:i/>
          <w:iCs/>
          <w:sz w:val="20"/>
          <w:szCs w:val="20"/>
        </w:rPr>
        <w:t xml:space="preserve">"Sensorless Control of Ultra-High-Speed PMSM via Improved PR and Adaptive Position Observer," </w:t>
      </w:r>
      <w:r>
        <w:rPr>
          <w:rFonts w:ascii="Arial" w:cs="Arial" w:eastAsia="Arial" w:hAnsi="Arial"/>
          <w:sz w:val="20"/>
          <w:szCs w:val="20"/>
        </w:rPr>
        <w:t xml:space="preserve">Sensors (MDPI), 2025</w:t>
      </w:r>
      <w:r>
        <w:rPr>
          <w:rFonts w:ascii="Arial" w:cs="Arial" w:eastAsia="Arial" w:hAnsi="Arial"/>
          <w:sz w:val="20"/>
          <w:szCs w:val="20"/>
        </w:rPr>
        <w:t xml:space="preserve">  </w:t>
      </w:r>
      <w:hyperlink w:history="1" r:id="rIdpnxvylpks_j2pzns1khcz">
        <w:r>
          <w:rPr>
            <w:rStyle w:val="Hyperlink"/>
            <w:rFonts w:ascii="Arial" w:cs="Arial" w:eastAsia="Arial" w:hAnsi="Arial"/>
            <w:sz w:val="20"/>
            <w:szCs w:val="20"/>
          </w:rPr>
          <w:t xml:space="preserve">[lien]</w:t>
        </w:r>
      </w:hyperlink>
    </w:p>
    <w:p>
      <w:pPr>
        <w:spacing w:before="0" w:after="80"/>
      </w:pPr>
      <w:r>
        <w:t xml:space="preserve"/>
      </w:r>
    </w:p>
    <w:p>
      <w:pPr>
        <w:pStyle w:val="Heading2"/>
        <w:spacing w:before="280" w:after="160"/>
      </w:pPr>
      <w:r>
        <w:rPr>
          <w:rFonts w:ascii="Arial" w:cs="Arial" w:eastAsia="Arial" w:hAnsi="Arial"/>
          <w:b/>
          <w:bCs/>
          <w:color w:val="2E75B6"/>
          <w:sz w:val="26"/>
          <w:szCs w:val="26"/>
        </w:rPr>
        <w:t xml:space="preserve">Adaptation de résistance statorique</w:t>
      </w:r>
    </w:p>
    <w:p>
      <w:pPr>
        <w:pStyle w:val="ListParagraph"/>
        <w:numPr>
          <w:ilvl w:val="0"/>
          <w:numId w:val="3"/>
        </w:numPr>
        <w:spacing w:before="60" w:after="80"/>
      </w:pPr>
      <w:r>
        <w:rPr>
          <w:rFonts w:ascii="Arial" w:cs="Arial" w:eastAsia="Arial" w:hAnsi="Arial"/>
          <w:sz w:val="20"/>
          <w:szCs w:val="20"/>
        </w:rPr>
        <w:t xml:space="preserve">L. Shi et al., </w:t>
      </w:r>
      <w:r>
        <w:rPr>
          <w:rFonts w:ascii="Arial" w:cs="Arial" w:eastAsia="Arial" w:hAnsi="Arial"/>
          <w:i/>
          <w:iCs/>
          <w:sz w:val="20"/>
          <w:szCs w:val="20"/>
        </w:rPr>
        <w:t xml:space="preserve">"Sensorless PMSM Speed Observer with Stator Resistance Estimation," </w:t>
      </w:r>
      <w:r>
        <w:rPr>
          <w:rFonts w:ascii="Arial" w:cs="Arial" w:eastAsia="Arial" w:hAnsi="Arial"/>
          <w:sz w:val="20"/>
          <w:szCs w:val="20"/>
        </w:rPr>
        <w:t xml:space="preserve">IFAC-PapersOnLine, 2015</w:t>
      </w:r>
      <w:r>
        <w:rPr>
          <w:rFonts w:ascii="Arial" w:cs="Arial" w:eastAsia="Arial" w:hAnsi="Arial"/>
          <w:sz w:val="20"/>
          <w:szCs w:val="20"/>
        </w:rPr>
        <w:t xml:space="preserve">  </w:t>
      </w:r>
      <w:hyperlink w:history="1" r:id="rIdh01s6esadpscj-kron-gv">
        <w:r>
          <w:rPr>
            <w:rStyle w:val="Hyperlink"/>
            <w:rFonts w:ascii="Arial" w:cs="Arial" w:eastAsia="Arial" w:hAnsi="Arial"/>
            <w:sz w:val="20"/>
            <w:szCs w:val="20"/>
          </w:rPr>
          <w:t xml:space="preserve">[lien]</w:t>
        </w:r>
      </w:hyperlink>
    </w:p>
    <w:p>
      <w:pPr>
        <w:pStyle w:val="ListParagraph"/>
        <w:numPr>
          <w:ilvl w:val="0"/>
          <w:numId w:val="3"/>
        </w:numPr>
        <w:spacing w:before="60" w:after="80"/>
      </w:pPr>
      <w:r>
        <w:rPr>
          <w:rFonts w:ascii="Arial" w:cs="Arial" w:eastAsia="Arial" w:hAnsi="Arial"/>
          <w:sz w:val="20"/>
          <w:szCs w:val="20"/>
        </w:rPr>
        <w:t xml:space="preserve">C. Lascu, F. Blaabjerg, </w:t>
      </w:r>
      <w:r>
        <w:rPr>
          <w:rFonts w:ascii="Arial" w:cs="Arial" w:eastAsia="Arial" w:hAnsi="Arial"/>
          <w:i/>
          <w:iCs/>
          <w:sz w:val="20"/>
          <w:szCs w:val="20"/>
        </w:rPr>
        <w:t xml:space="preserve">"Robust Sensorless PMSM Control with Improved Back-EMF Observer and Adaptive Parameter Estimation," </w:t>
      </w:r>
      <w:r>
        <w:rPr>
          <w:rFonts w:ascii="Arial" w:cs="Arial" w:eastAsia="Arial" w:hAnsi="Arial"/>
          <w:sz w:val="20"/>
          <w:szCs w:val="20"/>
        </w:rPr>
        <w:t xml:space="preserve">Electronics (MDPI), 2025</w:t>
      </w:r>
      <w:r>
        <w:rPr>
          <w:rFonts w:ascii="Arial" w:cs="Arial" w:eastAsia="Arial" w:hAnsi="Arial"/>
          <w:sz w:val="20"/>
          <w:szCs w:val="20"/>
        </w:rPr>
        <w:t xml:space="preserve">  </w:t>
      </w:r>
      <w:hyperlink w:history="1" r:id="rIdj1jbhp4qinhrbkayc769j">
        <w:r>
          <w:rPr>
            <w:rStyle w:val="Hyperlink"/>
            <w:rFonts w:ascii="Arial" w:cs="Arial" w:eastAsia="Arial" w:hAnsi="Arial"/>
            <w:sz w:val="20"/>
            <w:szCs w:val="20"/>
          </w:rPr>
          <w:t xml:space="preserve">[lien]</w:t>
        </w:r>
      </w:hyperlink>
    </w:p>
    <w:p>
      <w:pPr>
        <w:spacing w:before="0" w:after="80"/>
      </w:pPr>
      <w:r>
        <w:t xml:space="preserve"/>
      </w:r>
    </w:p>
    <w:p>
      <w:pPr>
        <w:spacing w:before="0" w:after="80"/>
      </w:pPr>
      <w:r>
        <w:t xml:space="preserve"/>
      </w:r>
    </w:p>
    <w:p>
      <w:pPr>
        <w:pBdr>
          <w:bottom w:val="single" w:color="2E75B6" w:sz="6" w:space="1"/>
        </w:pBdr>
        <w:spacing w:before="160" w:after="160"/>
      </w:pPr>
      <w:r>
        <w:t xml:space="preserve"/>
      </w:r>
    </w:p>
    <w:p>
      <w:pPr>
        <w:spacing w:before="200" w:after="0"/>
        <w:jc w:val="center"/>
      </w:pPr>
      <w:r>
        <w:rPr>
          <w:rFonts w:ascii="Arial" w:cs="Arial" w:eastAsia="Arial" w:hAnsi="Arial"/>
          <w:i/>
          <w:iCs/>
          <w:color w:val="888888"/>
          <w:sz w:val="20"/>
          <w:szCs w:val="20"/>
        </w:rPr>
        <w:t xml:space="preserve">Fin de la Version 1.0  —  Les sections 5.x seront complétées itérativement.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Blind Systems — BLDC Simulator</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8"/>
        <w:szCs w:val="18"/>
      </w:rPr>
      <w:t xml:space="preserve">Rapport Technique — Observateurs Sensorless PMSM / FW</w:t>
    </w:r>
    <w:r>
      <w:rPr>
        <w:rFonts w:ascii="Arial" w:cs="Arial" w:eastAsia="Arial" w:hAnsi="Arial"/>
        <w:color w:val="888888"/>
        <w:sz w:val="18"/>
        <w:szCs w:val="18"/>
      </w:rPr>
      <w:t xml:space="preserve">	État : Version 1.0 — Analyse du problème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h3ysb8lrwvuypa8l5fjuq" Type="http://schemas.openxmlformats.org/officeDocument/2006/relationships/hyperlink" Target="https://www.sciencedirect.com/article/abs/pii/S0019057818303835" TargetMode="External"/><Relationship Id="rIdtr-ln5ooitx045njvmpqv" Type="http://schemas.openxmlformats.org/officeDocument/2006/relationships/hyperlink" Target="https://link.springer.com/article/10.1007/s42835-025-02238-x" TargetMode="External"/><Relationship Id="rIdiqturchmiw2dvwrcianpt" Type="http://schemas.openxmlformats.org/officeDocument/2006/relationships/hyperlink" Target="https://www.mdpi.com/1424-8220/24/3/817" TargetMode="External"/><Relationship Id="rIdibbyut4kv22rpumoxwxjh" Type="http://schemas.openxmlformats.org/officeDocument/2006/relationships/hyperlink" Target="https://www.researchgate.net/publication/224460121_Active_Flux_DTFC-SVM_sensorless_control_of_IPMSM" TargetMode="External"/><Relationship Id="rId8phypbhqsrhhya9hzegne" Type="http://schemas.openxmlformats.org/officeDocument/2006/relationships/hyperlink" Target="https://iieta.org/journals/mmc_a/paper/10.18280/mmc_a.931-401" TargetMode="External"/><Relationship Id="rIdbvgyqyqfshdri3-2-7lko" Type="http://schemas.openxmlformats.org/officeDocument/2006/relationships/hyperlink" Target="https://ieeexplore.ieee.org/document/10373579/" TargetMode="External"/><Relationship Id="rIdbcy60_ftpnerq2jo9r9xu" Type="http://schemas.openxmlformats.org/officeDocument/2006/relationships/hyperlink" Target="https://www.academia.edu/59613103/An_extended_electromotive_force_model_for_sensorless_control_of_interior_permanent_magnet_synchronous_motors" TargetMode="External"/><Relationship Id="rIdhcf8an6v6nwkhclz0zfae" Type="http://schemas.openxmlformats.org/officeDocument/2006/relationships/hyperlink" Target="https://www.researchgate.net/publication/253587181_Extended_EMF_Observer_for_Sensorless_Control_over_a_Wide_Range_of_Speeds" TargetMode="External"/><Relationship Id="rIdcyfbjxd_y3m--hzsao7t7" Type="http://schemas.openxmlformats.org/officeDocument/2006/relationships/hyperlink" Target="https://www.nature.com/articles/s41598-024-72574-x" TargetMode="External"/><Relationship Id="rIdqhmy7uw_weyf7mvhuox2l" Type="http://schemas.openxmlformats.org/officeDocument/2006/relationships/hyperlink" Target="https://link.springer.com/article/10.1007/s11227-021-04264-8" TargetMode="External"/><Relationship Id="rIdpa5kpuni_rltswvmbhlb_" Type="http://schemas.openxmlformats.org/officeDocument/2006/relationships/hyperlink" Target="https://journals.sagepub.com/doi/full/10.1177/00368504241228106" TargetMode="External"/><Relationship Id="rIddmc-gnipddo1rjdaxbxx_" Type="http://schemas.openxmlformats.org/officeDocument/2006/relationships/hyperlink" Target="https://link.springer.com/article/10.1007/s43236-023-00694-0" TargetMode="External"/><Relationship Id="rIdpnxvylpks_j2pzns1khcz" Type="http://schemas.openxmlformats.org/officeDocument/2006/relationships/hyperlink" Target="https://www.mdpi.com/1424-8220/25/5/1290" TargetMode="External"/><Relationship Id="rIdh01s6esadpscj-kron-gv" Type="http://schemas.openxmlformats.org/officeDocument/2006/relationships/hyperlink" Target="https://www.sciencedirect.com/article/pii/S1474667015302305" TargetMode="External"/><Relationship Id="rIdj1jbhp4qinhrbkayc769j" Type="http://schemas.openxmlformats.org/officeDocument/2006/relationships/hyperlink" Target="https://www.mdpi.com/2079-9292/14/7/1238"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2026-04-01T08:39:21.294Z</dcterms:created>
  <dcterms:modified xsi:type="dcterms:W3CDTF">2026-04-01T08:39:21.294Z</dcterms:modified>
</cp:coreProperties>
</file>

<file path=docProps/custom.xml><?xml version="1.0" encoding="utf-8"?>
<Properties xmlns="http://schemas.openxmlformats.org/officeDocument/2006/custom-properties" xmlns:vt="http://schemas.openxmlformats.org/officeDocument/2006/docPropsVTypes"/>
</file>