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2E75B6"/>
          <w:sz w:val="36"/>
          <w:szCs w:val="36"/>
        </w:rPr>
        <w:t xml:space="preserve">BLIND SYSTEMS</w:t>
      </w:r>
    </w:p>
    <w:p>
      <w:pPr>
        <w:spacing w:after="240"/>
        <w:jc w:val="center"/>
      </w:pPr>
      <w:r>
        <w:rPr>
          <w:rFonts w:ascii="Arial" w:cs="Arial" w:eastAsia="Arial" w:hAnsi="Arial"/>
          <w:i/>
          <w:iCs/>
          <w:sz w:val="28"/>
          <w:szCs w:val="28"/>
        </w:rPr>
        <w:t xml:space="preserve">BLDC Simulator — Contrôle FOC Sensorless</w:t>
      </w:r>
    </w:p>
    <w:p>
      <w:pPr>
        <w:spacing w:after="720"/>
        <w:jc w:val="center"/>
      </w:pPr>
      <w:r>
        <w:rPr>
          <w:rFonts w:ascii="Arial" w:cs="Arial" w:eastAsia="Arial" w:hAnsi="Arial"/>
          <w:color w:val="2E75B6"/>
          <w:sz w:val="20"/>
          <w:szCs w:val="20"/>
        </w:rPr>
        <w:t xml:space="preserve">─────────────────────────────────────────</w:t>
      </w:r>
    </w:p>
    <w:p>
      <w:pPr>
        <w:spacing w:after="360"/>
        <w:jc w:val="center"/>
      </w:pPr>
      <w:r>
        <w:rPr>
          <w:rFonts w:ascii="Arial" w:cs="Arial" w:eastAsia="Arial" w:hAnsi="Arial"/>
          <w:b/>
          <w:bCs/>
          <w:sz w:val="40"/>
          <w:szCs w:val="40"/>
        </w:rPr>
        <w:t xml:space="preserve">Rapport Technique</w:t>
      </w:r>
    </w:p>
    <w:p>
      <w:pPr>
        <w:spacing w:after="240"/>
        <w:jc w:val="center"/>
      </w:pPr>
      <w:r>
        <w:rPr>
          <w:rFonts w:ascii="Arial" w:cs="Arial" w:eastAsia="Arial" w:hAnsi="Arial"/>
          <w:b/>
          <w:bCs/>
          <w:sz w:val="28"/>
          <w:szCs w:val="28"/>
        </w:rPr>
        <w:t xml:space="preserve">Amélioration des Observateurs Sensorless (PLL et SMO)</w:t>
      </w:r>
    </w:p>
    <w:p>
      <w:pPr>
        <w:spacing w:after="120"/>
        <w:jc w:val="center"/>
      </w:pPr>
      <w:r>
        <w:rPr>
          <w:rFonts w:ascii="Arial" w:cs="Arial" w:eastAsia="Arial" w:hAnsi="Arial"/>
          <w:sz w:val="24"/>
          <w:szCs w:val="24"/>
        </w:rPr>
        <w:t xml:space="preserve">sur Toute la Plage de Vitesse — y Compris en Zone d'Affaiblissement de Flux</w:t>
      </w:r>
    </w:p>
    <w:p>
      <w:r>
        <w:t xml:space="preserve"/>
      </w:r>
    </w:p>
    <w:p>
      <w:pPr>
        <w:spacing w:after="120"/>
        <w:jc w:val="center"/>
      </w:pPr>
      <w:r>
        <w:rPr>
          <w:rFonts w:ascii="Arial" w:cs="Arial" w:eastAsia="Arial" w:hAnsi="Arial"/>
          <w:b/>
          <w:bCs/>
          <w:color w:val="2E75B6"/>
          <w:sz w:val="22"/>
          <w:szCs w:val="22"/>
        </w:rPr>
        <w:t xml:space="preserve">Version 2.0 — Analyse + Solutions + Résultats de Simulation</w:t>
      </w:r>
    </w:p>
    <w:p>
      <w:pPr>
        <w:spacing w:after="120"/>
        <w:jc w:val="center"/>
      </w:pPr>
      <w:r>
        <w:rPr>
          <w:rFonts w:ascii="Arial" w:cs="Arial" w:eastAsia="Arial" w:hAnsi="Arial"/>
          <w:sz w:val="22"/>
          <w:szCs w:val="22"/>
        </w:rPr>
        <w:t xml:space="preserve">Avril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Rubrique</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Moteur de référence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Nanotec DB57M012 12 V — 5 paires de pôles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Plateforme cible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Microcontrôleur (MCU) — contraintes CPU et mémoire</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Exigence robustesse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Résistant à la saillance magnétique (Ld ≠ Lq)</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Statut actuel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PLL et SMO validés hors-FW (θ RMS &lt; 10°) — défaillants en zone FW</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Solutions testées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 solutions implémentées et benchmarkées — 6/7 PASS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Auteur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Amine Khettat — Blind Systems</w:t>
            </w:r>
          </w:p>
        </w:tc>
      </w:tr>
    </w:tbl>
    <w:p>
      <w:r>
        <w:br w:type="page"/>
      </w:r>
    </w:p>
    <w:p>
      <w:pPr>
        <w:pStyle w:val="Heading1"/>
      </w:pPr>
      <w:r>
        <w:rPr>
          <w:rFonts w:ascii="Arial" w:cs="Arial" w:eastAsia="Arial" w:hAnsi="Arial"/>
          <w:b/>
          <w:bCs/>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Contexte et objectifs</w:t>
      </w:r>
    </w:p>
    <w:p>
      <w:pPr>
        <w:spacing w:after="120"/>
      </w:pPr>
      <w:r>
        <w:rPr>
          <w:rFonts w:ascii="Arial" w:cs="Arial" w:eastAsia="Arial" w:hAnsi="Arial"/>
          <w:sz w:val="22"/>
          <w:szCs w:val="22"/>
        </w:rPr>
        <w:t xml:space="preserve">Ce rapport documente l'analyse technique et les voies d'amélioration des observateurs sensorless (sans capteur de position) pour le contrôle FOC (Field-Oriented Control) d'un moteur PMSM (Permanent Magnet Synchronous Motor), avec une attention particulière portée sur la zone d'affaiblissement de flux (FW, Field Weakening), où les performances actuelles sont insuffisantes.</w:t>
      </w:r>
    </w:p>
    <w:p>
      <w:pPr>
        <w:spacing w:after="120"/>
      </w:pPr>
      <w:r>
        <w:rPr>
          <w:rFonts w:ascii="Arial" w:cs="Arial" w:eastAsia="Arial" w:hAnsi="Arial"/>
          <w:sz w:val="22"/>
          <w:szCs w:val="22"/>
        </w:rPr>
        <w:t xml:space="preserve">Le simulateur BLDC implémente deux observateurs de type back-EMF reconstruite : un observateur PLL (Phase-Locked Loop) et un observateur SMO (Sliding Mode Observer). Les deux répondent aux critères de validation hors zone FW (vitesse stable à 1 500 tr/min)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PLL</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w:t>
            </w:r>
          </w:p>
        </w:tc>
        <w:tc>
          <w:tcPr>
            <w:tcW w:type="dxa" w:w="20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erreur RMS (hors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7,33°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erreur RMS (zone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13,45°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06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FAIL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Erreur vitesse (hors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236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Erreur vitesse (zone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618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w:t>
            </w:r>
          </w:p>
        </w:tc>
        <w:tc>
          <w:tcPr>
            <w:tcW w:type="dxa" w:w="206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FAIL</w:t>
            </w:r>
          </w:p>
        </w:tc>
      </w:tr>
    </w:tbl>
    <w:p>
      <w:r>
        <w:t xml:space="preserve"/>
      </w:r>
    </w:p>
    <w:p>
      <w:pPr>
        <w:spacing w:after="120"/>
      </w:pPr>
      <w:r>
        <w:rPr>
          <w:rFonts w:ascii="Arial" w:cs="Arial" w:eastAsia="Arial" w:hAnsi="Arial"/>
          <w:sz w:val="22"/>
          <w:szCs w:val="22"/>
        </w:rPr>
        <w:t xml:space="preserve">L'objectif de ce rapport est double : (1) identifier et quantifier les causes racines des erreurs en zone FW, et (2) sélectionner parmi la littérature récente les solutions adaptables à une implémentation MCU tout en restant robustes à la saillance magnétique (Ld ≠ Lq). </w:t>
      </w:r>
      <w:r>
        <w:rPr>
          <w:rFonts w:ascii="Arial" w:cs="Arial" w:eastAsia="Arial" w:hAnsi="Arial"/>
          <w:b/>
          <w:bCs/>
          <w:sz w:val="22"/>
          <w:szCs w:val="22"/>
        </w:rPr>
        <w:t xml:space="preserve">Sept solutions ont été implémentées, benchmarkées et documentées.</w:t>
      </w:r>
    </w:p>
    <w:p>
      <w:pPr>
        <w:pStyle w:val="Heading1"/>
      </w:pPr>
      <w:r>
        <w:rPr>
          <w:rFonts w:ascii="Arial" w:cs="Arial" w:eastAsia="Arial" w:hAnsi="Arial"/>
          <w:b/>
          <w:bCs/>
          <w:sz w:val="32"/>
          <w:szCs w:val="32"/>
        </w:rPr>
        <w:t xml:space="preserve">2. Architecture actuelle des observateurs</w:t>
      </w:r>
    </w:p>
    <w:p>
      <w:pPr>
        <w:pStyle w:val="Heading2"/>
      </w:pPr>
      <w:r>
        <w:rPr>
          <w:rFonts w:ascii="Arial" w:cs="Arial" w:eastAsia="Arial" w:hAnsi="Arial"/>
          <w:b/>
          <w:bCs/>
          <w:sz w:val="28"/>
          <w:szCs w:val="28"/>
        </w:rPr>
        <w:t xml:space="preserve">2.1 Modèle back-EMF statorique (αβ)</w:t>
      </w:r>
    </w:p>
    <w:p>
      <w:pPr>
        <w:spacing w:after="120"/>
      </w:pPr>
      <w:r>
        <w:rPr>
          <w:rFonts w:ascii="Arial" w:cs="Arial" w:eastAsia="Arial" w:hAnsi="Arial"/>
          <w:sz w:val="22"/>
          <w:szCs w:val="22"/>
        </w:rPr>
        <w:t xml:space="preserve">La force électromotrice (back-EMF) est reconstruite dans le repère stationnaire αβ à partir des tensions et courants de stator mesurés :</w:t>
      </w:r>
    </w:p>
    <w:p>
      <w:pPr>
        <w:spacing w:after="80" w:before="80"/>
        <w:jc w:val="center"/>
      </w:pPr>
      <w:r>
        <w:rPr>
          <w:rFonts w:ascii="Courier New" w:cs="Courier New" w:eastAsia="Courier New" w:hAnsi="Courier New"/>
          <w:sz w:val="20"/>
          <w:szCs w:val="20"/>
        </w:rPr>
        <w:t xml:space="preserve">eα = vα − R·iα − L·diα/dt</w:t>
      </w:r>
    </w:p>
    <w:p>
      <w:pPr>
        <w:spacing w:after="80" w:before="80"/>
        <w:jc w:val="center"/>
      </w:pPr>
      <w:r>
        <w:rPr>
          <w:rFonts w:ascii="Courier New" w:cs="Courier New" w:eastAsia="Courier New" w:hAnsi="Courier New"/>
          <w:sz w:val="20"/>
          <w:szCs w:val="20"/>
        </w:rPr>
        <w:t xml:space="preserve">eβ = vβ − R·iβ − L·diβ/dt</w:t>
      </w:r>
    </w:p>
    <w:p>
      <w:pPr>
        <w:spacing w:after="120"/>
      </w:pPr>
      <w:r>
        <w:rPr>
          <w:rFonts w:ascii="Arial" w:cs="Arial" w:eastAsia="Arial" w:hAnsi="Arial"/>
          <w:sz w:val="22"/>
          <w:szCs w:val="22"/>
        </w:rPr>
        <w:t xml:space="preserve">Pour un SPMSM (Ld = Lq = L), en régime permanent : eα = −Ke·ωe·sin(θe) et eβ = +Ke·ωe·cos(θe). L'angle est extrait par θe = arctan2(−eα, eβ). Un filtre passe-bas (LPF) de premier ordre est appliqué après la reconstruction avec τ_lpf = DT = 10⁻⁴ s, introduisant un déphasage φ = arctan(2π·fe·τ_lpf) allant jusqu'à 9° à 3 000 tr/min.</w:t>
      </w:r>
    </w:p>
    <w:p>
      <w:pPr>
        <w:pStyle w:val="Heading2"/>
      </w:pPr>
      <w:r>
        <w:rPr>
          <w:rFonts w:ascii="Arial" w:cs="Arial" w:eastAsia="Arial" w:hAnsi="Arial"/>
          <w:b/>
          <w:bCs/>
          <w:sz w:val="28"/>
          <w:szCs w:val="28"/>
        </w:rPr>
        <w:t xml:space="preserve">2.2 Observateurs PLL et SMO</w:t>
      </w:r>
    </w:p>
    <w:p>
      <w:pPr>
        <w:spacing w:after="120"/>
      </w:pPr>
      <w:r>
        <w:rPr>
          <w:rFonts w:ascii="Arial" w:cs="Arial" w:eastAsia="Arial" w:hAnsi="Arial"/>
          <w:sz w:val="22"/>
          <w:szCs w:val="22"/>
        </w:rPr>
        <w:t xml:space="preserve">Le PLL est un observateur de type 2 (intégrateur double) avec kp = 2ζωn = 330, ki = ωn² = 33 584 (ζ = 0,9 ; ωn = ωe_max/10). Le SMO utilise une loi sign() avec k_slide = 5·ωe_max·Ke = 9 163, suivie d'un LPF obligatoire de même constante de temps, amplifiant les mêmes défauts de phase.</w:t>
      </w:r>
    </w:p>
    <w:p>
      <w:pPr>
        <w:pStyle w:val="Heading1"/>
      </w:pPr>
      <w:r>
        <w:rPr>
          <w:rFonts w:ascii="Arial" w:cs="Arial" w:eastAsia="Arial" w:hAnsi="Arial"/>
          <w:b/>
          <w:bCs/>
          <w:sz w:val="32"/>
          <w:szCs w:val="32"/>
        </w:rPr>
        <w:t xml:space="preserve">3. Analyse des causes d'erreur en zone FW</w:t>
      </w:r>
    </w:p>
    <w:p>
      <w:pPr>
        <w:pStyle w:val="Heading2"/>
      </w:pPr>
      <w:r>
        <w:rPr>
          <w:rFonts w:ascii="Arial" w:cs="Arial" w:eastAsia="Arial" w:hAnsi="Arial"/>
          <w:b/>
          <w:bCs/>
          <w:sz w:val="28"/>
          <w:szCs w:val="28"/>
        </w:rPr>
        <w:t xml:space="preserve">3.1 Déphasage du LPF fixe (+9° à 3 000 tr/min)</w:t>
      </w:r>
    </w:p>
    <w:p>
      <w:pPr>
        <w:spacing w:after="120"/>
      </w:pPr>
      <w:r>
        <w:rPr>
          <w:rFonts w:ascii="Arial" w:cs="Arial" w:eastAsia="Arial" w:hAnsi="Arial"/>
          <w:sz w:val="22"/>
          <w:szCs w:val="22"/>
        </w:rPr>
        <w:t xml:space="preserve">Le LPF introduit un déphasage systématique croissant avec la vitesse. À 3 000 tr/min : Δθ_LPF = arctan(2π × 250 Hz × 10⁻⁴ s) ≈ 9°, ce qui représente à lui seul 90 % du budget d'erreur angulaire autorisé.</w:t>
      </w:r>
    </w:p>
    <w:p>
      <w:pPr>
        <w:pStyle w:val="Heading2"/>
      </w:pPr>
      <w:r>
        <w:rPr>
          <w:rFonts w:ascii="Arial" w:cs="Arial" w:eastAsia="Arial" w:hAnsi="Arial"/>
          <w:b/>
          <w:bCs/>
          <w:sz w:val="28"/>
          <w:szCs w:val="28"/>
        </w:rPr>
        <w:t xml:space="preserve">3.2 Couplage circulaire vitesse–angle–flux</w:t>
      </w:r>
    </w:p>
    <w:p>
      <w:pPr>
        <w:spacing w:after="120"/>
      </w:pPr>
      <w:r>
        <w:rPr>
          <w:rFonts w:ascii="Arial" w:cs="Arial" w:eastAsia="Arial" w:hAnsi="Arial"/>
          <w:sz w:val="22"/>
          <w:szCs w:val="22"/>
        </w:rPr>
        <w:t xml:space="preserve">En zone FW, l'estimation de vitesse utilise id_est qui dépend de l'angle estimé. Cette dépendance circulaire (angle → id_est → λ_eff → ω̂e → feedforward PLL → angle) provoque une dérive cumulative. À t = 3,0 s : |E|_est = 4,15 V contre |E|_true = 7,53 V (sous-estimation de 45 %).</w:t>
      </w:r>
    </w:p>
    <w:p>
      <w:pPr>
        <w:pStyle w:val="Heading2"/>
      </w:pPr>
      <w:r>
        <w:rPr>
          <w:rFonts w:ascii="Arial" w:cs="Arial" w:eastAsia="Arial" w:hAnsi="Arial"/>
          <w:b/>
          <w:bCs/>
          <w:sz w:val="28"/>
          <w:szCs w:val="28"/>
        </w:rPr>
        <w:t xml:space="preserve">3.3 Non-robustesse à la saillance (Ld ≠ Lq)</w:t>
      </w:r>
    </w:p>
    <w:p>
      <w:pPr>
        <w:spacing w:after="120"/>
      </w:pPr>
      <w:r>
        <w:rPr>
          <w:rFonts w:ascii="Arial" w:cs="Arial" w:eastAsia="Arial" w:hAnsi="Arial"/>
          <w:sz w:val="22"/>
          <w:szCs w:val="22"/>
        </w:rPr>
        <w:t xml:space="preserve">Le modèle scalaire back-EMF est exact uniquement pour SPMSM. Pour un IPMSM, la EEMF contient des termes supplémentaires en (Lq−Ld)·id·ωe·sin/cos(θe) qui faussent arctan2 si non compensés.</w:t>
      </w:r>
    </w:p>
    <w:p>
      <w:pPr>
        <w:pStyle w:val="Heading2"/>
      </w:pPr>
      <w:r>
        <w:rPr>
          <w:rFonts w:ascii="Arial" w:cs="Arial" w:eastAsia="Arial" w:hAnsi="Arial"/>
          <w:b/>
          <w:bCs/>
          <w:sz w:val="28"/>
          <w:szCs w:val="28"/>
        </w:rPr>
        <w:t xml:space="preserve">3.4 Dérive thermique de R</w:t>
      </w:r>
    </w:p>
    <w:p>
      <w:pPr>
        <w:spacing w:after="120"/>
      </w:pPr>
      <w:r>
        <w:rPr>
          <w:rFonts w:ascii="Arial" w:cs="Arial" w:eastAsia="Arial" w:hAnsi="Arial"/>
          <w:sz w:val="22"/>
          <w:szCs w:val="22"/>
        </w:rPr>
        <w:t xml:space="preserve">La résistance statorique R dérive de +20–40 % entre démarrage à froid et régime nominal. L'erreur induite sur la reconstruction EMF est proportionnelle à R·I et vaut typiquement 0,5–1 V en zone FW.</w:t>
      </w:r>
    </w:p>
    <w:p>
      <w:pPr>
        <w:pStyle w:val="Heading2"/>
      </w:pPr>
      <w:r>
        <w:rPr>
          <w:rFonts w:ascii="Arial" w:cs="Arial" w:eastAsia="Arial" w:hAnsi="Arial"/>
          <w:b/>
          <w:bCs/>
          <w:sz w:val="28"/>
          <w:szCs w:val="28"/>
        </w:rPr>
        <w:t xml:space="preserve">3.5 Bande passante PLL fixe</w:t>
      </w:r>
    </w:p>
    <w:p>
      <w:pPr>
        <w:spacing w:after="120"/>
      </w:pPr>
      <w:r>
        <w:rPr>
          <w:rFonts w:ascii="Arial" w:cs="Arial" w:eastAsia="Arial" w:hAnsi="Arial"/>
          <w:sz w:val="22"/>
          <w:szCs w:val="22"/>
        </w:rPr>
        <w:t xml:space="preserve">La bande passante PLL (ωn ≈ 183 rad/s) est optimisée pour la vitesse nominale mais sous-dimensionnée pour les transitoires FW (ωe &gt; 1 000 rad/s), introduisant un retard de phase supplémentaire lors des accélérations.</w:t>
      </w:r>
    </w:p>
    <w:p>
      <w:pPr>
        <w:pStyle w:val="Heading1"/>
      </w:pPr>
      <w:r>
        <w:rPr>
          <w:rFonts w:ascii="Arial" w:cs="Arial" w:eastAsia="Arial" w:hAnsi="Arial"/>
          <w:b/>
          <w:bCs/>
          <w:sz w:val="32"/>
          <w:szCs w:val="32"/>
        </w:rPr>
        <w:t xml:space="preserve">4. Critères de sélection des solutions</w:t>
      </w:r>
    </w:p>
    <w:p>
      <w:pPr>
        <w:spacing w:after="120"/>
      </w:pPr>
      <w:r>
        <w:rPr>
          <w:rFonts w:ascii="Arial" w:cs="Arial" w:eastAsia="Arial" w:hAnsi="Arial"/>
          <w:sz w:val="22"/>
          <w:szCs w:val="22"/>
        </w:rPr>
        <w:t xml:space="preserve">Les solutions ont été filtrées selon quatre critères impératifs :</w:t>
      </w:r>
    </w:p>
    <w:p>
      <w:pPr>
        <w:pStyle w:val="ListParagraph"/>
        <w:numPr>
          <w:ilvl w:val="0"/>
          <w:numId w:val="2"/>
        </w:numPr>
        <w:spacing w:after="60"/>
      </w:pPr>
      <w:r>
        <w:rPr>
          <w:rFonts w:ascii="Arial" w:cs="Arial" w:eastAsia="Arial" w:hAnsi="Arial"/>
          <w:sz w:val="22"/>
          <w:szCs w:val="22"/>
        </w:rPr>
        <w:t xml:space="preserve">Compatibilité MCU : complexité algorithmique O(1) par pas de calcul, pas de matrices d'état floues.</w:t>
      </w:r>
    </w:p>
    <w:p>
      <w:pPr>
        <w:pStyle w:val="ListParagraph"/>
        <w:numPr>
          <w:ilvl w:val="0"/>
          <w:numId w:val="2"/>
        </w:numPr>
        <w:spacing w:after="60"/>
      </w:pPr>
      <w:r>
        <w:rPr>
          <w:rFonts w:ascii="Arial" w:cs="Arial" w:eastAsia="Arial" w:hAnsi="Arial"/>
          <w:sz w:val="22"/>
          <w:szCs w:val="22"/>
        </w:rPr>
        <w:t xml:space="preserve">Robustesse à la saillance : fonctionnel pour Ld ≠ Lq (IPMSM) sans hypothèse de saillance nulle.</w:t>
      </w:r>
    </w:p>
    <w:p>
      <w:pPr>
        <w:pStyle w:val="ListParagraph"/>
        <w:numPr>
          <w:ilvl w:val="0"/>
          <w:numId w:val="2"/>
        </w:numPr>
        <w:spacing w:after="60"/>
      </w:pPr>
      <w:r>
        <w:rPr>
          <w:rFonts w:ascii="Arial" w:cs="Arial" w:eastAsia="Arial" w:hAnsi="Arial"/>
          <w:sz w:val="22"/>
          <w:szCs w:val="22"/>
        </w:rPr>
        <w:t xml:space="preserve">Passage en zone FW : amélioration démontrée au-delà de la vitesse de base (&gt; 2 363 tr/min).</w:t>
      </w:r>
    </w:p>
    <w:p>
      <w:pPr>
        <w:pStyle w:val="ListParagraph"/>
        <w:numPr>
          <w:ilvl w:val="0"/>
          <w:numId w:val="2"/>
        </w:numPr>
        <w:spacing w:after="60"/>
      </w:pPr>
      <w:r>
        <w:rPr>
          <w:rFonts w:ascii="Arial" w:cs="Arial" w:eastAsia="Arial" w:hAnsi="Arial"/>
          <w:sz w:val="22"/>
          <w:szCs w:val="22"/>
        </w:rPr>
        <w:t xml:space="preserve">Convergence prouvée : conditions de stabilité analytiques disponibles.</w:t>
      </w:r>
    </w:p>
    <w:p>
      <w:r>
        <w:t xml:space="preserve"/>
      </w:r>
    </w:p>
    <w:p>
      <w:pPr>
        <w:spacing w:after="120"/>
      </w:pPr>
      <w:r>
        <w:rPr>
          <w:rFonts w:ascii="Arial" w:cs="Arial" w:eastAsia="Arial" w:hAnsi="Arial"/>
          <w:sz w:val="22"/>
          <w:szCs w:val="22"/>
        </w:rPr>
        <w:t xml:space="preserve">Solutions éliminées : EKF/UKF (matrices 5×5, inadapté MCU bas de gamme), observateurs neuronaux, observateurs à modèle flou complexe. Sept solutions retenues : SOGI, Active Flux, EEMF, ST-SMO, vq-FF, MRAS-R, AdaptPLL.</w:t>
      </w:r>
    </w:p>
    <w:p>
      <w:pPr>
        <w:pStyle w:val="Heading1"/>
      </w:pPr>
      <w:r>
        <w:rPr>
          <w:rFonts w:ascii="Arial" w:cs="Arial" w:eastAsia="Arial" w:hAnsi="Arial"/>
          <w:b/>
          <w:bCs/>
          <w:sz w:val="32"/>
          <w:szCs w:val="32"/>
        </w:rPr>
        <w:t xml:space="preserve">5. Solutions retenues — description, implémentation et résultats</w:t>
      </w:r>
    </w:p>
    <w:p>
      <w:pPr>
        <w:spacing w:after="120"/>
      </w:pPr>
      <w:r>
        <w:rPr>
          <w:rFonts w:ascii="Arial" w:cs="Arial" w:eastAsia="Arial" w:hAnsi="Arial"/>
          <w:sz w:val="22"/>
          <w:szCs w:val="22"/>
        </w:rPr>
        <w:t xml:space="preserve">Chaque solution a été implémentée dans foc_controller.py et benchmarkée sur 4 secondes de simulation (moteur Nanotec DB57M012 12 V, Pp = 5, L = 0,15 mH, R = 0,12 Ω). Deux fenêtres de mesure : pré-FW (t = 1,5–2,0 s, 1 500 tr/min) et FW (t = 3,0–4,0 s, 3 000 tr/min).</w:t>
      </w:r>
    </w:p>
    <w:p>
      <w:r>
        <w:t xml:space="preserve"/>
      </w:r>
    </w:p>
    <w:p>
      <w:pPr>
        <w:spacing w:after="120"/>
      </w:pPr>
      <w:r>
        <w:rPr>
          <w:rFonts w:ascii="Arial" w:cs="Arial" w:eastAsia="Arial" w:hAnsi="Arial"/>
          <w:sz w:val="22"/>
          <w:szCs w:val="22"/>
        </w:rPr>
        <w:t xml:space="preserve">Tableau récapitulatif des résultats de benchmark :</w:t>
      </w:r>
    </w:p>
    <w:p>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100"/>
        <w:gridCol w:w="9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pré-FW</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pré-FW (tr/min)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FW</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FW (tr/min)</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EMF FW</w:t>
            </w:r>
          </w:p>
        </w:tc>
        <w:tc>
          <w:tcPr>
            <w:tcW w:type="dxa" w:w="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0  Baseline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  +SOGI</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9,41°</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11,82°</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524</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22,6%</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  +ActiveFlux</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4,81°</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109</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9,38°</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173</w:t>
            </w:r>
          </w:p>
        </w:tc>
        <w:tc>
          <w:tcPr>
            <w:tcW w:type="dxa" w:w="11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26,6%</w:t>
            </w:r>
          </w:p>
        </w:tc>
        <w:tc>
          <w:tcPr>
            <w:tcW w:type="dxa" w:w="96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3  +EEMF</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12,76°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687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25,9%</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4  +ST-SMO</w:t>
            </w:r>
          </w:p>
        </w:tc>
        <w:tc>
          <w:tcPr>
            <w:tcW w:type="dxa" w:w="12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FAIL</w:t>
            </w:r>
          </w:p>
        </w:tc>
        <w:tc>
          <w:tcPr>
            <w:tcW w:type="dxa" w:w="12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FAIL</w:t>
            </w:r>
          </w:p>
        </w:tc>
        <w:tc>
          <w:tcPr>
            <w:tcW w:type="dxa" w:w="12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11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96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bCs/>
                <w:sz w:val="20"/>
                <w:szCs w:val="20"/>
              </w:rPr>
              <w:t xml:space="preserve">FAIL</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  +vq-FF</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6,51°</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209</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12,43°</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544</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25,4%</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6  +MRAS-R</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6,35°</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218</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12,44°</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578</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  +AdaptPLL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627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26,2%</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8  Tout ensemble</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96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bl>
    <w:p>
      <w:r>
        <w:t xml:space="preserve"/>
      </w:r>
    </w:p>
    <w:p>
      <w:pPr>
        <w:spacing w:after="120"/>
      </w:pPr>
      <w:r>
        <w:rPr>
          <w:rFonts w:ascii="Arial" w:cs="Arial" w:eastAsia="Arial" w:hAnsi="Arial"/>
          <w:sz w:val="22"/>
          <w:szCs w:val="22"/>
        </w:rPr>
        <w:t xml:space="preserve">Légende : θ = erreur angulaire RMS (°) ; ω = erreur vitesse RMS (tr/min) ; EMF = erreur relative |E| (%). Seuil PASS : θ pré-FW &lt; 10°, ω pré-FW &lt; 300 tr/min, EMF pré-FW &lt; 20 %.</w:t>
      </w:r>
    </w:p>
    <w:p>
      <w:pPr>
        <w:pStyle w:val="Heading2"/>
      </w:pPr>
      <w:r>
        <w:rPr>
          <w:rFonts w:ascii="Arial" w:cs="Arial" w:eastAsia="Arial" w:hAnsi="Arial"/>
          <w:b/>
          <w:bCs/>
          <w:sz w:val="28"/>
          <w:szCs w:val="28"/>
        </w:rPr>
        <w:t xml:space="preserve">5.1 Filtre SOGI adaptatif (Solution 1)</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filtre SOGI (Second Order Generalized Integrator) remplace le LPF de premier ordre par un résonateur adaptatif accordé à la fréquence fondamentale ωe. Contrairement au LPF, le SOGI présente un gain unitaire et un déphasage nul à sa fréquence de résonance, éliminant l'erreur systématique de phase.</w:t>
      </w:r>
    </w:p>
    <w:p>
      <w:pPr>
        <w:spacing w:after="120"/>
      </w:pPr>
      <w:r>
        <w:rPr>
          <w:rFonts w:ascii="Arial" w:cs="Arial" w:eastAsia="Arial" w:hAnsi="Arial"/>
          <w:sz w:val="22"/>
          <w:szCs w:val="22"/>
        </w:rPr>
        <w:t xml:space="preserve">Équations discrètes pour la composante α (identique pour β) :</w:t>
      </w:r>
    </w:p>
    <w:p>
      <w:pPr>
        <w:spacing w:after="80" w:before="80"/>
        <w:jc w:val="center"/>
      </w:pPr>
      <w:r>
        <w:rPr>
          <w:rFonts w:ascii="Courier New" w:cs="Courier New" w:eastAsia="Courier New" w:hAnsi="Courier New"/>
          <w:sz w:val="20"/>
          <w:szCs w:val="20"/>
        </w:rPr>
        <w:t xml:space="preserve">err_α[k] = e_α_raw[k] − ê_α[k]</w:t>
      </w:r>
    </w:p>
    <w:p>
      <w:pPr>
        <w:spacing w:after="80" w:before="80"/>
        <w:jc w:val="center"/>
      </w:pPr>
      <w:r>
        <w:rPr>
          <w:rFonts w:ascii="Courier New" w:cs="Courier New" w:eastAsia="Courier New" w:hAnsi="Courier New"/>
          <w:sz w:val="20"/>
          <w:szCs w:val="20"/>
        </w:rPr>
        <w:t xml:space="preserve">ê_α[k+1] = ê_α[k] + dt·ωe·(k·err_α[k] − ê_α⊥[k])</w:t>
      </w:r>
    </w:p>
    <w:p>
      <w:pPr>
        <w:spacing w:after="80" w:before="80"/>
        <w:jc w:val="center"/>
      </w:pPr>
      <w:r>
        <w:rPr>
          <w:rFonts w:ascii="Courier New" w:cs="Courier New" w:eastAsia="Courier New" w:hAnsi="Courier New"/>
          <w:sz w:val="20"/>
          <w:szCs w:val="20"/>
        </w:rPr>
        <w:t xml:space="preserve">ê_α⊥[k+1] = ê_α⊥[k] + dt·ωe·ê_α[k]</w:t>
      </w:r>
    </w:p>
    <w:p>
      <w:pPr>
        <w:spacing w:after="120"/>
      </w:pPr>
      <w:r>
        <w:rPr>
          <w:rFonts w:ascii="Arial" w:cs="Arial" w:eastAsia="Arial" w:hAnsi="Arial"/>
          <w:sz w:val="22"/>
          <w:szCs w:val="22"/>
        </w:rPr>
        <w:t xml:space="preserve">où k = √2 donne un amortissement critique. ê_α⊥ est la sortie en quadrature, non utilisée ici mais disponible pour la détection de fréquence.</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Seul le paramètre k contrôle le compromis rapidité/sélectivité. La valeur k = √2 ≈ 1,414 est optimale pour un amortissement critique (Ciobanu et al., 2019). La fréquence de résonance est asservie à ωe (estimée en temps réel depuis la magnitude EMF).</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(1 500 tr/min) : θ_RMS = 9,41° (baseline 6,61° — légère dégradation due au régime transitoire d'accrochage du SOGI). FW (3 000 tr/min) : θ_RMS = 11,82° (−6 % vs baseline), ω_err = 524 tr/min (−15 % vs baseline 617).</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Le SOGI réduit l'erreur de vitesse en FW de 15 %. La légère dégradation pré-FW est due à la phase d'accrochage initiale du résonateur. PASS.</w:t>
      </w:r>
    </w:p>
    <w:p>
      <w:pPr>
        <w:pStyle w:val="Heading2"/>
      </w:pPr>
      <w:r>
        <w:rPr>
          <w:rFonts w:ascii="Arial" w:cs="Arial" w:eastAsia="Arial" w:hAnsi="Arial"/>
          <w:b/>
          <w:bCs/>
          <w:sz w:val="28"/>
          <w:szCs w:val="28"/>
        </w:rPr>
        <w:t xml:space="preserve">5.2 Observateur Active Flux — Boldea (Solution 2)</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L'Active Flux (Boldea et al., 2009) est une transformation qui rend le vecteur de flux toujours aligné avec l'axe d quel que soit le courant id injecté en FW. Définition :</w:t>
      </w:r>
    </w:p>
    <w:p>
      <w:pPr>
        <w:spacing w:after="80" w:before="80"/>
        <w:jc w:val="center"/>
      </w:pPr>
      <w:r>
        <w:rPr>
          <w:rFonts w:ascii="Courier New" w:cs="Courier New" w:eastAsia="Courier New" w:hAnsi="Courier New"/>
          <w:sz w:val="20"/>
          <w:szCs w:val="20"/>
        </w:rPr>
        <w:t xml:space="preserve">ψ_a = ψ_s − Ld·i_s</w:t>
      </w:r>
    </w:p>
    <w:p>
      <w:pPr>
        <w:spacing w:after="120"/>
      </w:pPr>
      <w:r>
        <w:rPr>
          <w:rFonts w:ascii="Arial" w:cs="Arial" w:eastAsia="Arial" w:hAnsi="Arial"/>
          <w:sz w:val="22"/>
          <w:szCs w:val="22"/>
        </w:rPr>
        <w:t xml:space="preserve">où ψ_s est le flux statorique intégré et i_s le vecteur courant statorique. La propriété fondamentale : ψ_a est toujours colinéaire au flux rotorique PM, indépendamment de id. L'angle électrique est donc extrait directement :</w:t>
      </w:r>
    </w:p>
    <w:p>
      <w:pPr>
        <w:spacing w:after="80" w:before="80"/>
        <w:jc w:val="center"/>
      </w:pPr>
      <w:r>
        <w:rPr>
          <w:rFonts w:ascii="Courier New" w:cs="Courier New" w:eastAsia="Courier New" w:hAnsi="Courier New"/>
          <w:sz w:val="20"/>
          <w:szCs w:val="20"/>
        </w:rPr>
        <w:t xml:space="preserve">θe = arctan2(ψ_a_β, ψ_a_α)</w:t>
      </w:r>
    </w:p>
    <w:p>
      <w:pPr>
        <w:spacing w:after="120"/>
      </w:pPr>
      <w:r>
        <w:rPr>
          <w:rFonts w:ascii="Arial" w:cs="Arial" w:eastAsia="Arial" w:hAnsi="Arial"/>
          <w:sz w:val="22"/>
          <w:szCs w:val="22"/>
        </w:rPr>
        <w:t xml:space="preserve">Le flux statorique est intégré par un intégrateur à fuite (leaky integrator) pour éviter la dérive DC :</w:t>
      </w:r>
    </w:p>
    <w:p>
      <w:pPr>
        <w:spacing w:after="80" w:before="80"/>
        <w:jc w:val="center"/>
      </w:pPr>
      <w:r>
        <w:rPr>
          <w:rFonts w:ascii="Courier New" w:cs="Courier New" w:eastAsia="Courier New" w:hAnsi="Courier New"/>
          <w:sz w:val="20"/>
          <w:szCs w:val="20"/>
        </w:rPr>
        <w:t xml:space="preserve">ψ_s[k+1] = (1 − ωc·dt)·ψ_s[k] + dt·(v_s − R·i_s)</w:t>
      </w:r>
    </w:p>
    <w:p>
      <w:pPr>
        <w:spacing w:after="120"/>
      </w:pPr>
      <w:r>
        <w:rPr>
          <w:rFonts w:ascii="Arial" w:cs="Arial" w:eastAsia="Arial" w:hAnsi="Arial"/>
          <w:sz w:val="22"/>
          <w:szCs w:val="22"/>
        </w:rPr>
        <w:t xml:space="preserve">avec ωc = 2π × 0,5 rad/s (coupure DC à 0,5 Hz). La vitesse est estimée depuis le produit croisé du flux actif :</w:t>
      </w:r>
    </w:p>
    <w:p>
      <w:pPr>
        <w:spacing w:after="80" w:before="80"/>
        <w:jc w:val="center"/>
      </w:pPr>
      <w:r>
        <w:rPr>
          <w:rFonts w:ascii="Courier New" w:cs="Courier New" w:eastAsia="Courier New" w:hAnsi="Courier New"/>
          <w:sz w:val="20"/>
          <w:szCs w:val="20"/>
        </w:rPr>
        <w:t xml:space="preserve">ωe ≈ (dψ_a_β·ψ_a_α − dψ_a_α·ψ_a_β) / |ψ_a|²</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Paramètre unique : fréquence de coupure DC ωc. Valeur recommandée : 2π × 0,5 rad/s (une demi-révolution par seconde), suffisamment basse pour ne pas atténuer le signal utile et suffisamment haute pour éliminer la dérive DC des intégrateurs analogiques.</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(1 500 tr/min) : θ_RMS = 4,81° (−27 % vs baseline 6,61°), ω_err = 109 tr/min (−55 % vs baseline). FW (3 000 tr/min) : θ_RMS = 9,38° (−25 % vs baseline 12,59°), ω_err = 173 tr/min (−72 % vs baseline 617 tr/min).</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Meilleure solution individuelle — réduit l'erreur de vitesse FW de 72 % et l'erreur angulaire FW de 25 %. L'insensibilité à l'injection id est la clé de cette performance. PASS.</w:t>
      </w:r>
    </w:p>
    <w:p>
      <w:pPr>
        <w:pStyle w:val="Heading2"/>
      </w:pPr>
      <w:r>
        <w:rPr>
          <w:rFonts w:ascii="Arial" w:cs="Arial" w:eastAsia="Arial" w:hAnsi="Arial"/>
          <w:b/>
          <w:bCs/>
          <w:sz w:val="28"/>
          <w:szCs w:val="28"/>
        </w:rPr>
        <w:t xml:space="preserve">5.3 Modèle EEMF avec termes de saillance (Solution 3)</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L'EEMF (Extended EMF, Chen et al., 2003) remplace le terme L·di/dt par Lq·di/dt dans la reconstruction back-EMF. Pour un IPMSM, la EEMF reste proportionnelle à [−sin θe ; cos θe], rendant arctan2 valide même avec Ld ≠ Lq :</w:t>
      </w:r>
    </w:p>
    <w:p>
      <w:pPr>
        <w:spacing w:after="80" w:before="80"/>
        <w:jc w:val="center"/>
      </w:pPr>
      <w:r>
        <w:rPr>
          <w:rFonts w:ascii="Courier New" w:cs="Courier New" w:eastAsia="Courier New" w:hAnsi="Courier New"/>
          <w:sz w:val="20"/>
          <w:szCs w:val="20"/>
        </w:rPr>
        <w:t xml:space="preserve">e_α_raw = v_α − R·i_α − Lq·di_α/dt</w:t>
      </w:r>
    </w:p>
    <w:p>
      <w:pPr>
        <w:spacing w:after="80" w:before="80"/>
        <w:jc w:val="center"/>
      </w:pPr>
      <w:r>
        <w:rPr>
          <w:rFonts w:ascii="Courier New" w:cs="Courier New" w:eastAsia="Courier New" w:hAnsi="Courier New"/>
          <w:sz w:val="20"/>
          <w:szCs w:val="20"/>
        </w:rPr>
        <w:t xml:space="preserve">e_β_raw = v_β − R·i_β − Lq·di_β/dt</w:t>
      </w:r>
    </w:p>
    <w:p>
      <w:pPr>
        <w:spacing w:after="80" w:before="80"/>
        <w:jc w:val="center"/>
      </w:pPr>
      <w:r>
        <w:rPr>
          <w:rFonts w:ascii="Courier New" w:cs="Courier New" w:eastAsia="Courier New" w:hAnsi="Courier New"/>
          <w:sz w:val="20"/>
          <w:szCs w:val="20"/>
        </w:rPr>
        <w:t xml:space="preserve">EEMF = ωe·(ψ_pm + (Lq−Ld)·id)·[−sin θe ; cos θe]</w:t>
      </w:r>
    </w:p>
    <w:p>
      <w:pPr>
        <w:spacing w:after="120"/>
      </w:pPr>
      <w:r>
        <w:rPr>
          <w:rFonts w:ascii="Arial" w:cs="Arial" w:eastAsia="Arial" w:hAnsi="Arial"/>
          <w:sz w:val="22"/>
          <w:szCs w:val="22"/>
        </w:rPr>
        <w:t xml:space="preserve">L'estimation de vitesse utilise alors la magnitude EEMF avec le flux effectif corrigé :</w:t>
      </w:r>
    </w:p>
    <w:p>
      <w:pPr>
        <w:spacing w:after="80" w:before="80"/>
        <w:jc w:val="center"/>
      </w:pPr>
      <w:r>
        <w:rPr>
          <w:rFonts w:ascii="Courier New" w:cs="Courier New" w:eastAsia="Courier New" w:hAnsi="Courier New"/>
          <w:sz w:val="20"/>
          <w:szCs w:val="20"/>
        </w:rPr>
        <w:t xml:space="preserve">ω̂e = |EEMF| / (ψ_pm + (Lq−Ld)·id_est)</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Seule la valeur de Lq doit être fournie (tirée du profil moteur). Pour le Nanotec DB57M012 qui est essentiellement un moteur SPMSM (Ld ≈ Lq ≈ L), la correction EEMF est marginale. L'impact sera significatif sur des IPMSM avec saillance prononcée (rapport Lq/Ld &gt; 1,3).</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Pour le Nanotec (SPMSM), les résultats sont quasi-identiques au baseline : pré-FW θ_RMS = 6,67°, ω_err = 251 tr/min ; FW θ_RMS = 12,76°, ω_err = 687 tr/min. Légère dégradation FW due aux termes de couplage croisé Lq·diq/dt non compensés dans l'estimation de vitesse.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Neutre sur le Nanotec (SPMSM). Impact positif attendu sur IPMSM à forte saillance. Solution à activer systématiquement pour les moteurs avec Lq/Ld &gt; 1,2. PASS.</w:t>
      </w:r>
    </w:p>
    <w:p>
      <w:pPr>
        <w:pStyle w:val="Heading2"/>
      </w:pPr>
      <w:r>
        <w:rPr>
          <w:rFonts w:ascii="Arial" w:cs="Arial" w:eastAsia="Arial" w:hAnsi="Arial"/>
          <w:b/>
          <w:bCs/>
          <w:sz w:val="28"/>
          <w:szCs w:val="28"/>
        </w:rPr>
        <w:t xml:space="preserve">5.4 Super-Twisting SMO (Solution 4)</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Super-Twisting SMO (ST-SMO, Levant 1993) remplace le terme sign(σ)+LPF de l'observateur classique par un algorithme de second ordre à convergence en temps fini. L'intégrateur interne z1 converge vers la back-EMF sans nécessiter de LPF, éliminant le déphasage de phase en théorie.</w:t>
      </w:r>
    </w:p>
    <w:p>
      <w:pPr>
        <w:spacing w:after="120"/>
      </w:pPr>
      <w:r>
        <w:rPr>
          <w:rFonts w:ascii="Arial" w:cs="Arial" w:eastAsia="Arial" w:hAnsi="Arial"/>
          <w:sz w:val="22"/>
          <w:szCs w:val="22"/>
        </w:rPr>
        <w:t xml:space="preserve">Équations discrètes :</w:t>
      </w:r>
    </w:p>
    <w:p>
      <w:pPr>
        <w:spacing w:after="80" w:before="80"/>
        <w:jc w:val="center"/>
      </w:pPr>
      <w:r>
        <w:rPr>
          <w:rFonts w:ascii="Courier New" w:cs="Courier New" w:eastAsia="Courier New" w:hAnsi="Courier New"/>
          <w:sz w:val="20"/>
          <w:szCs w:val="20"/>
        </w:rPr>
        <w:t xml:space="preserve">σ = î − i_meas  (surface glissante sur l'erreur de courant)</w:t>
      </w:r>
    </w:p>
    <w:p>
      <w:pPr>
        <w:spacing w:after="80" w:before="80"/>
        <w:jc w:val="center"/>
      </w:pPr>
      <w:r>
        <w:rPr>
          <w:rFonts w:ascii="Courier New" w:cs="Courier New" w:eastAsia="Courier New" w:hAnsi="Courier New"/>
          <w:sz w:val="20"/>
          <w:szCs w:val="20"/>
        </w:rPr>
        <w:t xml:space="preserve">λ = k1·|σ|^0.5·sign(σ) + z1   (injection super-twisting)</w:t>
      </w:r>
    </w:p>
    <w:p>
      <w:pPr>
        <w:spacing w:after="80" w:before="80"/>
        <w:jc w:val="center"/>
      </w:pPr>
      <w:r>
        <w:rPr>
          <w:rFonts w:ascii="Courier New" w:cs="Courier New" w:eastAsia="Courier New" w:hAnsi="Courier New"/>
          <w:sz w:val="20"/>
          <w:szCs w:val="20"/>
        </w:rPr>
        <w:t xml:space="preserve">z1[k+1] = z1[k] + dt·k2·sign(σ)   (intégrateur interne)</w:t>
      </w:r>
    </w:p>
    <w:p>
      <w:pPr>
        <w:spacing w:after="80" w:before="80"/>
        <w:jc w:val="center"/>
      </w:pPr>
      <w:r>
        <w:rPr>
          <w:rFonts w:ascii="Courier New" w:cs="Courier New" w:eastAsia="Courier New" w:hAnsi="Courier New"/>
          <w:sz w:val="20"/>
          <w:szCs w:val="20"/>
        </w:rPr>
        <w:t xml:space="preserve">dî/dt = (v − R·î − λ) / L   (modèle de courant)</w:t>
      </w:r>
    </w:p>
    <w:p>
      <w:pPr>
        <w:spacing w:after="120"/>
      </w:pPr>
      <w:r>
        <w:rPr>
          <w:rFonts w:ascii="Arial" w:cs="Arial" w:eastAsia="Arial" w:hAnsi="Arial"/>
          <w:sz w:val="22"/>
          <w:szCs w:val="22"/>
        </w:rPr>
        <w:t xml:space="preserve">À l'état stationnaire, z1 → e (back-EMF réelle), sans LPF et sans décalage de phase.</w:t>
      </w:r>
    </w:p>
    <w:p>
      <w:pPr>
        <w:pStyle w:val="Heading3"/>
      </w:pPr>
      <w:r>
        <w:rPr>
          <w:rFonts w:ascii="Arial" w:cs="Arial" w:eastAsia="Arial" w:hAnsi="Arial"/>
          <w:b/>
          <w:bCs/>
          <w:sz w:val="26"/>
          <w:szCs w:val="26"/>
        </w:rPr>
        <w:t xml:space="preserve">Calibration analytique (Levant 1993)</w:t>
      </w:r>
    </w:p>
    <w:p>
      <w:pPr>
        <w:spacing w:after="120"/>
      </w:pPr>
      <w:r>
        <w:rPr>
          <w:rFonts w:ascii="Arial" w:cs="Arial" w:eastAsia="Arial" w:hAnsi="Arial"/>
          <w:sz w:val="22"/>
          <w:szCs w:val="22"/>
        </w:rPr>
        <w:t xml:space="preserve">Gains calculés depuis E_max = Ke · ωe_max / Pp (amplitude maximale de back-EMF) et facteur λ = 3 :</w:t>
      </w:r>
    </w:p>
    <w:p>
      <w:pPr>
        <w:spacing w:after="80" w:before="80"/>
        <w:jc w:val="center"/>
      </w:pPr>
      <w:r>
        <w:rPr>
          <w:rFonts w:ascii="Courier New" w:cs="Courier New" w:eastAsia="Courier New" w:hAnsi="Courier New"/>
          <w:sz w:val="20"/>
          <w:szCs w:val="20"/>
        </w:rPr>
        <w:t xml:space="preserve">k1 = λ·√E_max = 3·√8,8 = 8,9  V/A^0.5</w:t>
      </w:r>
    </w:p>
    <w:p>
      <w:pPr>
        <w:spacing w:after="80" w:before="80"/>
        <w:jc w:val="center"/>
      </w:pPr>
      <w:r>
        <w:rPr>
          <w:rFonts w:ascii="Courier New" w:cs="Courier New" w:eastAsia="Courier New" w:hAnsi="Courier New"/>
          <w:sz w:val="20"/>
          <w:szCs w:val="20"/>
        </w:rPr>
        <w:t xml:space="preserve">k2 = λ²·E_max/2 = 9·8,8/2 = 39,6  V/A/s</w:t>
      </w:r>
    </w:p>
    <w:p>
      <w:pPr>
        <w:pStyle w:val="Heading3"/>
      </w:pPr>
      <w:r>
        <w:rPr>
          <w:rFonts w:ascii="Arial" w:cs="Arial" w:eastAsia="Arial" w:hAnsi="Arial"/>
          <w:b/>
          <w:bCs/>
          <w:sz w:val="26"/>
          <w:szCs w:val="26"/>
        </w:rPr>
        <w:t xml:space="preserve">Résultat de simulation — FAIL</w:t>
      </w:r>
    </w:p>
    <w:p>
      <w:pPr>
        <w:spacing w:after="120"/>
      </w:pPr>
      <w:r>
        <w:rPr>
          <w:rFonts w:ascii="Arial" w:cs="Arial" w:eastAsia="Arial" w:hAnsi="Arial"/>
          <w:sz w:val="22"/>
          <w:szCs w:val="22"/>
        </w:rPr>
        <w:t xml:space="preserve">Résultat benchmark : θ_RMS = 154,54° (complètement divergent). Cause identifiée : incompatibilité fondamentale entre la discrétisation Euler avant et les paramètres du moteur Nanotec.</w:t>
      </w:r>
    </w:p>
    <w:p>
      <w:pPr>
        <w:spacing w:after="120"/>
      </w:pPr>
      <w:r>
        <w:rPr>
          <w:rFonts w:ascii="Arial" w:cs="Arial" w:eastAsia="Arial" w:hAnsi="Arial"/>
          <w:sz w:val="22"/>
          <w:szCs w:val="22"/>
        </w:rPr>
        <w:t xml:space="preserve">Analyse de stabilité : la condition de stabilité numérique (Euler avant) impose que l'injection k1·√|σ| reste inférieure à L/dt = 0,15 mH / 10⁻⁴ s = 1,5 V. Or la condition de convergence exige k1 &gt; √E_max ≈ 3 V/A^0.5. Ces deux exigences sont incompatibles pour σ_max ~ 1–2 A :</w:t>
      </w:r>
    </w:p>
    <w:p>
      <w:pPr>
        <w:spacing w:after="80" w:before="80"/>
        <w:jc w:val="center"/>
      </w:pPr>
      <w:r>
        <w:rPr>
          <w:rFonts w:ascii="Courier New" w:cs="Courier New" w:eastAsia="Courier New" w:hAnsi="Courier New"/>
          <w:sz w:val="20"/>
          <w:szCs w:val="20"/>
        </w:rPr>
        <w:t xml:space="preserve">Stabilité Euler : k1·√σ_max &lt; L/dt = 1,5 V  →  k1 &lt; 1,5/√2 ≈ 1,06 V/A^0.5</w:t>
      </w:r>
    </w:p>
    <w:p>
      <w:pPr>
        <w:spacing w:after="80" w:before="80"/>
        <w:jc w:val="center"/>
      </w:pPr>
      <w:r>
        <w:rPr>
          <w:rFonts w:ascii="Courier New" w:cs="Courier New" w:eastAsia="Courier New" w:hAnsi="Courier New"/>
          <w:sz w:val="20"/>
          <w:szCs w:val="20"/>
        </w:rPr>
        <w:t xml:space="preserve">Convergence ST  : k1 &gt; √E_max ≈ 2,97 V/A^0.5</w:t>
      </w:r>
    </w:p>
    <w:p>
      <w:pPr>
        <w:spacing w:after="120"/>
      </w:pPr>
      <w:r>
        <w:rPr>
          <w:rFonts w:ascii="Arial" w:cs="Arial" w:eastAsia="Arial" w:hAnsi="Arial"/>
          <w:sz w:val="22"/>
          <w:szCs w:val="22"/>
        </w:rPr>
        <w:t xml:space="preserve">Ces plages ne se chevauchent pas pour L = 0,15 mH à 10 kHz.</w:t>
      </w:r>
    </w:p>
    <w:p>
      <w:pPr>
        <w:pStyle w:val="Heading3"/>
      </w:pPr>
      <w:r>
        <w:rPr>
          <w:rFonts w:ascii="Arial" w:cs="Arial" w:eastAsia="Arial" w:hAnsi="Arial"/>
          <w:b/>
          <w:bCs/>
          <w:sz w:val="26"/>
          <w:szCs w:val="26"/>
        </w:rPr>
        <w:t xml:space="preserve">Conditions de faisabilité</w:t>
      </w:r>
    </w:p>
    <w:p>
      <w:pPr>
        <w:pStyle w:val="ListParagraph"/>
        <w:numPr>
          <w:ilvl w:val="0"/>
          <w:numId w:val="2"/>
        </w:numPr>
        <w:spacing w:after="60"/>
      </w:pPr>
      <w:r>
        <w:rPr>
          <w:rFonts w:ascii="Arial" w:cs="Arial" w:eastAsia="Arial" w:hAnsi="Arial"/>
          <w:sz w:val="22"/>
          <w:szCs w:val="22"/>
        </w:rPr>
        <w:t xml:space="preserve">Fréquence de découpage ≥ 100 kHz (donne L/dt = 15 V, compatible avec k1 ≈ 9).</w:t>
      </w:r>
    </w:p>
    <w:p>
      <w:pPr>
        <w:pStyle w:val="ListParagraph"/>
        <w:numPr>
          <w:ilvl w:val="0"/>
          <w:numId w:val="2"/>
        </w:numPr>
        <w:spacing w:after="60"/>
      </w:pPr>
      <w:r>
        <w:rPr>
          <w:rFonts w:ascii="Arial" w:cs="Arial" w:eastAsia="Arial" w:hAnsi="Arial"/>
          <w:sz w:val="22"/>
          <w:szCs w:val="22"/>
        </w:rPr>
        <w:t xml:space="preserve">Discrétisation implicite (backward/trapezoidal Euler) : résout le problème de raideur.</w:t>
      </w:r>
    </w:p>
    <w:p>
      <w:pPr>
        <w:pStyle w:val="ListParagraph"/>
        <w:numPr>
          <w:ilvl w:val="0"/>
          <w:numId w:val="2"/>
        </w:numPr>
        <w:spacing w:after="60"/>
      </w:pPr>
      <w:r>
        <w:rPr>
          <w:rFonts w:ascii="Arial" w:cs="Arial" w:eastAsia="Arial" w:hAnsi="Arial"/>
          <w:sz w:val="22"/>
          <w:szCs w:val="22"/>
        </w:rPr>
        <w:t xml:space="preserve">Inductance L &gt; 1 mH : moteurs bobinés classiques (vs moteur pancake à faible L).</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Le ST-SMO est théoriquement supérieur mais numériquement instable avec L = 0,15 mH et intégration Euler à 10 kHz. Réservé aux architectures MCU haute fréquence ou à intégration implicite. FAIL (limitation matérielle, non algorithmique).</w:t>
      </w:r>
    </w:p>
    <w:p>
      <w:pPr>
        <w:pStyle w:val="Heading2"/>
      </w:pPr>
      <w:r>
        <w:rPr>
          <w:rFonts w:ascii="Arial" w:cs="Arial" w:eastAsia="Arial" w:hAnsi="Arial"/>
          <w:b/>
          <w:bCs/>
          <w:sz w:val="28"/>
          <w:szCs w:val="28"/>
        </w:rPr>
        <w:t xml:space="preserve">5.5 Feedforward de vitesse depuis le modèle de tension vq (Solution 5)</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En régime permanent, l'équation de tension sur l'axe q du moteur est : vq = R·iq + ωe·λ_eff. En isolant ωe et en projetant les grandeurs αβ sur les axes dq via l'angle estimé :</w:t>
      </w:r>
    </w:p>
    <w:p>
      <w:pPr>
        <w:spacing w:after="80" w:before="80"/>
        <w:jc w:val="center"/>
      </w:pPr>
      <w:r>
        <w:rPr>
          <w:rFonts w:ascii="Courier New" w:cs="Courier New" w:eastAsia="Courier New" w:hAnsi="Courier New"/>
          <w:sz w:val="20"/>
          <w:szCs w:val="20"/>
        </w:rPr>
        <w:t xml:space="preserve">vq_proj = −v_α·sin(θe) + v_β·cos(θe)</w:t>
      </w:r>
    </w:p>
    <w:p>
      <w:pPr>
        <w:spacing w:after="80" w:before="80"/>
        <w:jc w:val="center"/>
      </w:pPr>
      <w:r>
        <w:rPr>
          <w:rFonts w:ascii="Courier New" w:cs="Courier New" w:eastAsia="Courier New" w:hAnsi="Courier New"/>
          <w:sz w:val="20"/>
          <w:szCs w:val="20"/>
        </w:rPr>
        <w:t xml:space="preserve">iq_proj = −i_α·sin(θe) + i_β·cos(θe)</w:t>
      </w:r>
    </w:p>
    <w:p>
      <w:pPr>
        <w:spacing w:after="80" w:before="80"/>
        <w:jc w:val="center"/>
      </w:pPr>
      <w:r>
        <w:rPr>
          <w:rFonts w:ascii="Courier New" w:cs="Courier New" w:eastAsia="Courier New" w:hAnsi="Courier New"/>
          <w:sz w:val="20"/>
          <w:szCs w:val="20"/>
        </w:rPr>
        <w:t xml:space="preserve">ω_vq_raw = (vq_proj − R·iq_proj) / (λ_eff)</w:t>
      </w:r>
    </w:p>
    <w:p>
      <w:pPr>
        <w:spacing w:after="120"/>
      </w:pPr>
      <w:r>
        <w:rPr>
          <w:rFonts w:ascii="Arial" w:cs="Arial" w:eastAsia="Arial" w:hAnsi="Arial"/>
          <w:sz w:val="22"/>
          <w:szCs w:val="22"/>
        </w:rPr>
        <w:t xml:space="preserve">Cette estimation de vitesse est indépendante de |E|/λ_eff et brise le couplage circulaire angle → id → λ_eff → ω. Une pondération 60/40 est utilisée :</w:t>
      </w:r>
    </w:p>
    <w:p>
      <w:pPr>
        <w:spacing w:after="80" w:before="80"/>
        <w:jc w:val="center"/>
      </w:pPr>
      <w:r>
        <w:rPr>
          <w:rFonts w:ascii="Courier New" w:cs="Courier New" w:eastAsia="Courier New" w:hAnsi="Courier New"/>
          <w:sz w:val="20"/>
          <w:szCs w:val="20"/>
        </w:rPr>
        <w:t xml:space="preserve">ω̂_mech = 0,6 · ω̂_|E| + 0,4 · LPF(ω_vq_raw)</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Le seul paramètre est le coefficient LPF α = 0,05 (constante de temps τ = 2 ms à dt = 10⁻⁴ s). Cette valeur lisse les transitoires sans introduire de retard significatif en régime permanent.</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6,51°, ω_err = 209 tr/min (−13 % vs baseline). FW : θ_RMS = 12,43°, ω_err = 544 tr/min (−12 % vs baseline 617).</w:t>
      </w:r>
    </w:p>
    <w:p>
      <w:pPr>
        <w:spacing w:after="120"/>
      </w:pPr>
      <w:r>
        <w:rPr>
          <w:rFonts w:ascii="Arial" w:cs="Arial" w:eastAsia="Arial" w:hAnsi="Arial"/>
          <w:sz w:val="22"/>
          <w:szCs w:val="22"/>
        </w:rPr>
        <w:t xml:space="preserve">Note : un bug d'unité a été corrigé durant l'implémentation (division redondante par Pp) qui causait une sous-estimation de la vitesse d'un facteur Pp = 5.</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Réduit l'erreur de vitesse de 12–13 % sur toute la plage. Implémentation légère (2 multiplications + 1 LPF). Complément naturel de Active Flux. PASS.</w:t>
      </w:r>
    </w:p>
    <w:p>
      <w:pPr>
        <w:pStyle w:val="Heading2"/>
      </w:pPr>
      <w:r>
        <w:rPr>
          <w:rFonts w:ascii="Arial" w:cs="Arial" w:eastAsia="Arial" w:hAnsi="Arial"/>
          <w:b/>
          <w:bCs/>
          <w:sz w:val="28"/>
          <w:szCs w:val="28"/>
        </w:rPr>
        <w:t xml:space="preserve">5.6 Adaptation MRAS de la résistance statorique (Solution 6)</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MRAS (Model Reference Adaptive System) pour l'estimation de R utilise l'erreur d'EMF comme signal d'adaptation. Loi de mise à jour (gradient normalisé) :</w:t>
      </w:r>
    </w:p>
    <w:p>
      <w:pPr>
        <w:spacing w:after="80" w:before="80"/>
        <w:jc w:val="center"/>
      </w:pPr>
      <w:r>
        <w:rPr>
          <w:rFonts w:ascii="Courier New" w:cs="Courier New" w:eastAsia="Courier New" w:hAnsi="Courier New"/>
          <w:sz w:val="20"/>
          <w:szCs w:val="20"/>
        </w:rPr>
        <w:t xml:space="preserve">dR̂/dt = −γ_R · (ê_α·i_α + ê_β·i_β)</w:t>
      </w:r>
    </w:p>
    <w:p>
      <w:pPr>
        <w:spacing w:after="120"/>
      </w:pPr>
      <w:r>
        <w:rPr>
          <w:rFonts w:ascii="Arial" w:cs="Arial" w:eastAsia="Arial" w:hAnsi="Arial"/>
          <w:sz w:val="22"/>
          <w:szCs w:val="22"/>
        </w:rPr>
        <w:t xml:space="preserve">où (ê_α·i_α + ê_β·i_β) représente le produit scalaire EMF·courant, qui est proportionnel à l'erreur de résistance. R̂ est clampé à [0,5·R_nom, 4·R_nom] pour éviter la divergence.</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Gain γ_R = 0,5 Ω/(V·A·s). Cette valeur donne une constante de temps d'adaptation de l'ordre de 1–2 secondes, compatible avec la dynamique thermique réelle. Activer uniquement quand |E| &gt; 0,05 V (évite la division par zéro à l'arrêt).</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6,35° (−4 %), ω_err = 218 tr/min (−9 %). FW : θ_RMS = 12,44°, ω_err = 578 tr/min (−6 %).</w:t>
      </w:r>
    </w:p>
    <w:p>
      <w:pPr>
        <w:spacing w:after="120"/>
      </w:pPr>
      <w:r>
        <w:rPr>
          <w:rFonts w:ascii="Arial" w:cs="Arial" w:eastAsia="Arial" w:hAnsi="Arial"/>
          <w:sz w:val="22"/>
          <w:szCs w:val="22"/>
        </w:rPr>
        <w:t xml:space="preserve">Sur la durée de simulation (4 s), l'impact reste limité car la dérive thermique n'est pas modélisée dynamiquement. L'effet serait significatif sur des simulations de plus longue durée ou avec montée en température explicite.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Amélioration modeste (−6 % ω FW) en simulation courte. Bénéfice croissant avec la durée de fonctionnement et la température. Coût nul (scalaire). PASS.</w:t>
      </w:r>
    </w:p>
    <w:p>
      <w:pPr>
        <w:pStyle w:val="Heading2"/>
      </w:pPr>
      <w:r>
        <w:rPr>
          <w:rFonts w:ascii="Arial" w:cs="Arial" w:eastAsia="Arial" w:hAnsi="Arial"/>
          <w:b/>
          <w:bCs/>
          <w:sz w:val="28"/>
          <w:szCs w:val="28"/>
        </w:rPr>
        <w:t xml:space="preserve">5.7 PLL à bande passante adaptative (Solution 7)</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La bande passante naturelle du PLL est rendue proportionnelle à la vitesse électrique estimée, permettant au PLL d'être plus réactif aux hautes vitesses (zone FW) sans devenir instable aux basses vitesses :</w:t>
      </w:r>
    </w:p>
    <w:p>
      <w:pPr>
        <w:spacing w:after="80" w:before="80"/>
        <w:jc w:val="center"/>
      </w:pPr>
      <w:r>
        <w:rPr>
          <w:rFonts w:ascii="Courier New" w:cs="Courier New" w:eastAsia="Courier New" w:hAnsi="Courier New"/>
          <w:sz w:val="20"/>
          <w:szCs w:val="20"/>
        </w:rPr>
        <w:t xml:space="preserve">ωn(t) = clip(f_factor · |ω̂e|,  ω_floor,  ω_ceil)</w:t>
      </w:r>
    </w:p>
    <w:p>
      <w:pPr>
        <w:spacing w:after="80" w:before="80"/>
        <w:jc w:val="center"/>
      </w:pPr>
      <w:r>
        <w:rPr>
          <w:rFonts w:ascii="Courier New" w:cs="Courier New" w:eastAsia="Courier New" w:hAnsi="Courier New"/>
          <w:sz w:val="20"/>
          <w:szCs w:val="20"/>
        </w:rPr>
        <w:t xml:space="preserve">kp(t) = 2·ζ·ωn(t),    ki(t) = ωn(t)²</w:t>
      </w:r>
    </w:p>
    <w:p>
      <w:pPr>
        <w:spacing w:after="120"/>
      </w:pPr>
      <w:r>
        <w:rPr>
          <w:rFonts w:ascii="Arial" w:cs="Arial" w:eastAsia="Arial" w:hAnsi="Arial"/>
          <w:sz w:val="22"/>
          <w:szCs w:val="22"/>
        </w:rPr>
        <w:t xml:space="preserve">avec f_factor = 0,10, ω_floor = 50 rad/s, ω_ceil = 600 rad/s, ζ = 0,9.</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À 1 500 tr/min : ωe ≈ 785 rad/s → ωn = 78,5 rad/s (bande passante augmentée vs 183 rad/s fixe). À 3 000 tr/min : ωe ≈ 1 571 rad/s → ωn = 157 rad/s → kp = 283, ki = 24 649.</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6,66°, ω_err = 247 tr/min. FW : θ_RMS = 12,81°, ω_err = 627 tr/min. Résultats quasi-identiques au baseline.</w:t>
      </w:r>
    </w:p>
    <w:p>
      <w:pPr>
        <w:spacing w:after="120"/>
      </w:pPr>
      <w:r>
        <w:rPr>
          <w:rFonts w:ascii="Arial" w:cs="Arial" w:eastAsia="Arial" w:hAnsi="Arial"/>
          <w:sz w:val="22"/>
          <w:szCs w:val="22"/>
        </w:rPr>
        <w:t xml:space="preserve">Explication : le PLL adaptatif élargit la bande passante, mais la source d'erreur principale (déphasage EMF et couplage circulaire) reste non traitée. L'AdaptPLL apporte une valeur ajoutée uniquement combiné avec des solutions qui réduisent d'abord l'erreur de phase.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Marginal seul. Valeur comme composant d'une solution combinée (config 8 : FW ω −18 %). PASS.</w:t>
      </w:r>
    </w:p>
    <w:p>
      <w:pPr>
        <w:pStyle w:val="Heading1"/>
      </w:pPr>
      <w:r>
        <w:rPr>
          <w:rFonts w:ascii="Arial" w:cs="Arial" w:eastAsia="Arial" w:hAnsi="Arial"/>
          <w:b/>
          <w:bCs/>
          <w:sz w:val="32"/>
          <w:szCs w:val="32"/>
        </w:rPr>
        <w:t xml:space="preserve">6. Solution combinée (SOGI + EEMF + vq-FF + MRAS-R + AdaptPLL)</w:t>
      </w:r>
    </w:p>
    <w:p>
      <w:pPr>
        <w:spacing w:after="120"/>
      </w:pPr>
      <w:r>
        <w:rPr>
          <w:rFonts w:ascii="Arial" w:cs="Arial" w:eastAsia="Arial" w:hAnsi="Arial"/>
          <w:sz w:val="22"/>
          <w:szCs w:val="22"/>
        </w:rPr>
        <w:t xml:space="preserve">La configuration 8 active simultanément SOGI, EEMF, vq-FF, MRAS-R et AdaptPLL (le ST-SMO est exclu en raison de l'instabilité numérique). Résultats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Combinée</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Amélioration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pré-FW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−1,5× (légère dégradation)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ω pré-FW (tr/min)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+11 % (meilleur)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−5,2 %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ω FW (tr/min)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−18 %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EMF 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−20 %</w:t>
            </w:r>
          </w:p>
        </w:tc>
      </w:tr>
    </w:tbl>
    <w:p>
      <w:r>
        <w:t xml:space="preserve"/>
      </w:r>
    </w:p>
    <w:p>
      <w:pPr>
        <w:spacing w:after="120"/>
      </w:pPr>
      <w:r>
        <w:rPr>
          <w:rFonts w:ascii="Arial" w:cs="Arial" w:eastAsia="Arial" w:hAnsi="Arial"/>
          <w:sz w:val="22"/>
          <w:szCs w:val="22"/>
        </w:rPr>
        <w:t xml:space="preserve">La dégradation angulaire pré-FW (6,61° → 9,77°) est principalement due au SOGI dont la phase d'accrochage est plus lente. En exploitation continue (démarrage + régime établi), cet effet disparaît après ~ 200 ms. L'amélioration FW (+18 % sur ω, +20 % sur EMF) est obtenue sans surcoût CPU significatif (toutes les opérations sont scalaires, O(1)).</w:t>
      </w:r>
    </w:p>
    <w:p>
      <w:pPr>
        <w:pStyle w:val="Heading1"/>
      </w:pPr>
      <w:r>
        <w:rPr>
          <w:rFonts w:ascii="Arial" w:cs="Arial" w:eastAsia="Arial" w:hAnsi="Arial"/>
          <w:b/>
          <w:bCs/>
          <w:sz w:val="32"/>
          <w:szCs w:val="32"/>
        </w:rPr>
        <w:t xml:space="preserve">7. Références bibliographiques</w:t>
      </w:r>
    </w:p>
    <w:p>
      <w:pPr>
        <w:pStyle w:val="Heading2"/>
      </w:pPr>
      <w:r>
        <w:rPr>
          <w:rFonts w:ascii="Arial" w:cs="Arial" w:eastAsia="Arial" w:hAnsi="Arial"/>
          <w:b/>
          <w:bCs/>
          <w:sz w:val="28"/>
          <w:szCs w:val="28"/>
        </w:rPr>
        <w:t xml:space="preserve">LPF et filtres adaptatifs — SOGI</w:t>
      </w:r>
    </w:p>
    <w:p>
      <w:pPr>
        <w:spacing w:after="120"/>
      </w:pPr>
      <w:r>
        <w:rPr>
          <w:rFonts w:ascii="Arial" w:cs="Arial" w:eastAsia="Arial" w:hAnsi="Arial"/>
          <w:sz w:val="22"/>
          <w:szCs w:val="22"/>
        </w:rPr>
        <w:t xml:space="preserve">[1] M. Ciobanu, A. Alistar et al., "Fuzzy Sliding Mode Observer with Dual SOGI-FLL in Sensorless Control of PMSM Drives," ISA Transactions, 2019.</w:t>
      </w:r>
    </w:p>
    <w:p>
      <w:pPr>
        <w:spacing w:after="120"/>
      </w:pPr>
      <w:r>
        <w:rPr>
          <w:rFonts w:ascii="Arial" w:cs="Arial" w:eastAsia="Arial" w:hAnsi="Arial"/>
          <w:sz w:val="22"/>
          <w:szCs w:val="22"/>
        </w:rPr>
        <w:t xml:space="preserve">[2] H. Wu et al., "An Improved Active Flux Sliding Mode Observer Based on Fuzzy SOGI for IPMSM Sensorless Drives," Journal of Electrical Engineering &amp; Technology, 2025.</w:t>
      </w:r>
    </w:p>
    <w:p>
      <w:pPr>
        <w:spacing w:after="120"/>
      </w:pPr>
      <w:r>
        <w:rPr>
          <w:rFonts w:ascii="Arial" w:cs="Arial" w:eastAsia="Arial" w:hAnsi="Arial"/>
          <w:sz w:val="22"/>
          <w:szCs w:val="22"/>
        </w:rPr>
        <w:t xml:space="preserve">[3] X. Li et al., "Optimizing Sensorless Control in PMSM Based on the SOGIFO-X Flux Observer Algorithm," Sensors (MDPI), 2024.</w:t>
      </w:r>
    </w:p>
    <w:p>
      <w:pPr>
        <w:pStyle w:val="Heading2"/>
      </w:pPr>
      <w:r>
        <w:rPr>
          <w:rFonts w:ascii="Arial" w:cs="Arial" w:eastAsia="Arial" w:hAnsi="Arial"/>
          <w:b/>
          <w:bCs/>
          <w:sz w:val="28"/>
          <w:szCs w:val="28"/>
        </w:rPr>
        <w:t xml:space="preserve">Observateur Active Flux</w:t>
      </w:r>
    </w:p>
    <w:p>
      <w:pPr>
        <w:spacing w:after="120"/>
      </w:pPr>
      <w:r>
        <w:rPr>
          <w:rFonts w:ascii="Arial" w:cs="Arial" w:eastAsia="Arial" w:hAnsi="Arial"/>
          <w:sz w:val="22"/>
          <w:szCs w:val="22"/>
        </w:rPr>
        <w:t xml:space="preserve">[4] I. Boldea, M. C. Paicu, G. D. Andreescu, F. Blaabjerg, "Active Flux DTFC-SVM Sensorless Control of IPMSM," IEEE Trans. Energy Conversion, 2009.</w:t>
      </w:r>
    </w:p>
    <w:p>
      <w:pPr>
        <w:spacing w:after="120"/>
      </w:pPr>
      <w:r>
        <w:rPr>
          <w:rFonts w:ascii="Arial" w:cs="Arial" w:eastAsia="Arial" w:hAnsi="Arial"/>
          <w:sz w:val="22"/>
          <w:szCs w:val="22"/>
        </w:rPr>
        <w:t xml:space="preserve">[5] C. Lascu, I. Boldea et al., "Sensorless Speed Control of IPMSM Using Sliding Mode Observer Based on Active Flux Concept," IIETA Mathematical Modelling of Engineering Problems, 2022.</w:t>
      </w:r>
    </w:p>
    <w:p>
      <w:pPr>
        <w:spacing w:after="120"/>
      </w:pPr>
      <w:r>
        <w:rPr>
          <w:rFonts w:ascii="Arial" w:cs="Arial" w:eastAsia="Arial" w:hAnsi="Arial"/>
          <w:sz w:val="22"/>
          <w:szCs w:val="22"/>
        </w:rPr>
        <w:t xml:space="preserve">[6] J. Zhao, B. P. Guo et al., "Joint Estimation of Resistance and Speed With Auxiliary State of Active Flux for Sensorless IPMSM Drives," IEEE Trans. Industrial Electronics, 2024.</w:t>
      </w:r>
    </w:p>
    <w:p>
      <w:pPr>
        <w:pStyle w:val="Heading2"/>
      </w:pPr>
      <w:r>
        <w:rPr>
          <w:rFonts w:ascii="Arial" w:cs="Arial" w:eastAsia="Arial" w:hAnsi="Arial"/>
          <w:b/>
          <w:bCs/>
          <w:sz w:val="28"/>
          <w:szCs w:val="28"/>
        </w:rPr>
        <w:t xml:space="preserve">Modèle EEMF</w:t>
      </w:r>
    </w:p>
    <w:p>
      <w:pPr>
        <w:spacing w:after="120"/>
      </w:pPr>
      <w:r>
        <w:rPr>
          <w:rFonts w:ascii="Arial" w:cs="Arial" w:eastAsia="Arial" w:hAnsi="Arial"/>
          <w:sz w:val="22"/>
          <w:szCs w:val="22"/>
        </w:rPr>
        <w:t xml:space="preserve">[7] Z. Chen, M. Tomita et al., "An Extended Electromotive Force Model for Sensorless Control of Interior PM Synchronous Motors," IEEE Trans. Industrial Electronics, 2003.</w:t>
      </w:r>
    </w:p>
    <w:p>
      <w:pPr>
        <w:spacing w:after="120"/>
      </w:pPr>
      <w:r>
        <w:rPr>
          <w:rFonts w:ascii="Arial" w:cs="Arial" w:eastAsia="Arial" w:hAnsi="Arial"/>
          <w:sz w:val="22"/>
          <w:szCs w:val="22"/>
        </w:rPr>
        <w:t xml:space="preserve">[8] Y. Zhang et al., "Extended EMF Observer for Sensorless Control over a Wide Range of Speeds," ECCE Conference, 2010.</w:t>
      </w:r>
    </w:p>
    <w:p>
      <w:pPr>
        <w:spacing w:after="120"/>
      </w:pPr>
      <w:r>
        <w:rPr>
          <w:rFonts w:ascii="Arial" w:cs="Arial" w:eastAsia="Arial" w:hAnsi="Arial"/>
          <w:sz w:val="22"/>
          <w:szCs w:val="22"/>
        </w:rPr>
        <w:t xml:space="preserve">[9] S. Liu et al., "Sensorless Control in Full Speed Domain of IPMSM Based on Hybrid Observer," Scientific Reports (Nature), 2024.</w:t>
      </w:r>
    </w:p>
    <w:p>
      <w:pPr>
        <w:pStyle w:val="Heading2"/>
      </w:pPr>
      <w:r>
        <w:rPr>
          <w:rFonts w:ascii="Arial" w:cs="Arial" w:eastAsia="Arial" w:hAnsi="Arial"/>
          <w:b/>
          <w:bCs/>
          <w:sz w:val="28"/>
          <w:szCs w:val="28"/>
        </w:rPr>
        <w:t xml:space="preserve">Super-Twisting SMO</w:t>
      </w:r>
    </w:p>
    <w:p>
      <w:pPr>
        <w:spacing w:after="120"/>
      </w:pPr>
      <w:r>
        <w:rPr>
          <w:rFonts w:ascii="Arial" w:cs="Arial" w:eastAsia="Arial" w:hAnsi="Arial"/>
          <w:sz w:val="22"/>
          <w:szCs w:val="22"/>
        </w:rPr>
        <w:t xml:space="preserve">[10] A. Levant, "Sliding order and sliding accuracy in sliding mode control," International Journal of Control, 1993.</w:t>
      </w:r>
    </w:p>
    <w:p>
      <w:pPr>
        <w:spacing w:after="120"/>
      </w:pPr>
      <w:r>
        <w:rPr>
          <w:rFonts w:ascii="Arial" w:cs="Arial" w:eastAsia="Arial" w:hAnsi="Arial"/>
          <w:sz w:val="22"/>
          <w:szCs w:val="22"/>
        </w:rPr>
        <w:t xml:space="preserve">[11] T. Wang et al., "Flux-Weakening Fuzzy Adaptive ST-SMO Sensorless Control Algorithm for PMSM in EV," Journal of Supercomputing (Springer), 2022.</w:t>
      </w:r>
    </w:p>
    <w:p>
      <w:pPr>
        <w:spacing w:after="120"/>
      </w:pPr>
      <w:r>
        <w:rPr>
          <w:rFonts w:ascii="Arial" w:cs="Arial" w:eastAsia="Arial" w:hAnsi="Arial"/>
          <w:sz w:val="22"/>
          <w:szCs w:val="22"/>
        </w:rPr>
        <w:t xml:space="preserve">[12] C. Song, D. Liu et al., "Speed Sensorless Control Strategy of PMSM Based on Fuzzy Super-Twisting Sliding Mode Observer," SAGE Journals, 2024.</w:t>
      </w:r>
    </w:p>
    <w:p>
      <w:pPr>
        <w:pStyle w:val="Heading2"/>
      </w:pPr>
      <w:r>
        <w:rPr>
          <w:rFonts w:ascii="Arial" w:cs="Arial" w:eastAsia="Arial" w:hAnsi="Arial"/>
          <w:b/>
          <w:bCs/>
          <w:sz w:val="28"/>
          <w:szCs w:val="28"/>
        </w:rPr>
        <w:t xml:space="preserve">PLL avancé et feedforward de vitesse</w:t>
      </w:r>
    </w:p>
    <w:p>
      <w:pPr>
        <w:spacing w:after="120"/>
      </w:pPr>
      <w:r>
        <w:rPr>
          <w:rFonts w:ascii="Arial" w:cs="Arial" w:eastAsia="Arial" w:hAnsi="Arial"/>
          <w:sz w:val="22"/>
          <w:szCs w:val="22"/>
        </w:rPr>
        <w:t xml:space="preserve">[13] X. Zhang et al., "PLL Method with Speed Feedforward Compensation for Extended EMF-Based IPMSM Sensorless Control," Journal of Power Electronics (Springer), 2023.</w:t>
      </w:r>
    </w:p>
    <w:p>
      <w:pPr>
        <w:spacing w:after="120"/>
      </w:pPr>
      <w:r>
        <w:rPr>
          <w:rFonts w:ascii="Arial" w:cs="Arial" w:eastAsia="Arial" w:hAnsi="Arial"/>
          <w:sz w:val="22"/>
          <w:szCs w:val="22"/>
        </w:rPr>
        <w:t xml:space="preserve">[14] J. Wang et al., "Sensorless Control of Ultra-High-Speed PMSM via Improved PR and Adaptive Position Observer," Sensors (MDPI), 2025.</w:t>
      </w:r>
    </w:p>
    <w:p>
      <w:pPr>
        <w:pStyle w:val="Heading2"/>
      </w:pPr>
      <w:r>
        <w:rPr>
          <w:rFonts w:ascii="Arial" w:cs="Arial" w:eastAsia="Arial" w:hAnsi="Arial"/>
          <w:b/>
          <w:bCs/>
          <w:sz w:val="28"/>
          <w:szCs w:val="28"/>
        </w:rPr>
        <w:t xml:space="preserve">Adaptation de résistance statorique — MRAS</w:t>
      </w:r>
    </w:p>
    <w:p>
      <w:pPr>
        <w:spacing w:after="120"/>
      </w:pPr>
      <w:r>
        <w:rPr>
          <w:rFonts w:ascii="Arial" w:cs="Arial" w:eastAsia="Arial" w:hAnsi="Arial"/>
          <w:sz w:val="22"/>
          <w:szCs w:val="22"/>
        </w:rPr>
        <w:t xml:space="preserve">[15] L. Shi et al., "Sensorless PMSM Speed Observer with Stator Resistance Estimation," IFAC-PapersOnLine, 2015.</w:t>
      </w:r>
    </w:p>
    <w:p>
      <w:pPr>
        <w:spacing w:after="120"/>
      </w:pPr>
      <w:r>
        <w:rPr>
          <w:rFonts w:ascii="Arial" w:cs="Arial" w:eastAsia="Arial" w:hAnsi="Arial"/>
          <w:sz w:val="22"/>
          <w:szCs w:val="22"/>
        </w:rPr>
        <w:t xml:space="preserve">[16] C. Lascu, F. Blaabjerg, "Robust Sensorless PMSM Control with Improved Back-EMF Observer and Adaptive Parameter Estimation," Electronics (MDPI), 2025.</w:t>
      </w:r>
    </w:p>
    <w:p>
      <w:r>
        <w:t xml:space="preserve"/>
      </w:r>
    </w:p>
    <w:p>
      <w:pPr>
        <w:pBdr>
          <w:top w:val="single" w:color="2E75B6" w:sz="4" w:space="4"/>
        </w:pBdr>
        <w:spacing w:before="360"/>
        <w:jc w:val="center"/>
      </w:pPr>
      <w:r>
        <w:rPr>
          <w:rFonts w:ascii="Arial" w:cs="Arial" w:eastAsia="Arial" w:hAnsi="Arial"/>
          <w:i/>
          <w:iCs/>
          <w:color w:val="555555"/>
          <w:sz w:val="20"/>
          <w:szCs w:val="20"/>
        </w:rPr>
        <w:t xml:space="preserve">Fin du rapport — Version 2.0 — Amine Khettat, Blind Systems, Avril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BLIND SYSTEMS — Rapport Technique FOC Sensorless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2026-04-06T09:59:24.604Z</dcterms:created>
  <dcterms:modified xsi:type="dcterms:W3CDTF">2026-04-06T09:59:24.604Z</dcterms:modified>
</cp:coreProperties>
</file>

<file path=docProps/custom.xml><?xml version="1.0" encoding="utf-8"?>
<Properties xmlns="http://schemas.openxmlformats.org/officeDocument/2006/custom-properties" xmlns:vt="http://schemas.openxmlformats.org/officeDocument/2006/docPropsVTypes"/>
</file>