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34AB7"/>
          <w:sz w:val="72"/>
          <w:szCs w:val="72"/>
        </w:rPr>
        <w:t xml:space="preserve">SPINOTOR</w:t>
      </w:r>
    </w:p>
    <w:p>
      <w:pPr>
        <w:spacing w:after="120" w:before="0"/>
        <w:jc w:val="center"/>
      </w:pPr>
      <w:r>
        <w:rPr>
          <w:rFonts w:ascii="Arial" w:cs="Arial" w:eastAsia="Arial" w:hAnsi="Arial"/>
          <w:i/>
          <w:iCs/>
          <w:color w:val="3C3489"/>
          <w:sz w:val="30"/>
          <w:szCs w:val="30"/>
        </w:rPr>
        <w:t xml:space="preserve">Physics-Informed BLDC / PMSM Motor Simulator</w:t>
      </w:r>
    </w:p>
    <w:p>
      <w:pPr>
        <w:spacing w:after="480" w:before="0"/>
        <w:jc w:val="center"/>
      </w:pPr>
      <w:r>
        <w:rPr>
          <w:rFonts w:ascii="Arial" w:cs="Arial" w:eastAsia="Arial" w:hAnsi="Arial"/>
          <w:color w:val="888780"/>
          <w:sz w:val="24"/>
          <w:szCs w:val="24"/>
        </w:rPr>
        <w:t xml:space="preserve">Dossier complet de recherche et développement</w:t>
      </w:r>
    </w:p>
    <w:p>
      <w:pPr>
        <w:spacing w:after="120" w:before="0"/>
        <w:jc w:val="center"/>
      </w:pPr>
      <w:r>
        <w:rPr>
          <w:rFonts w:ascii="Arial" w:cs="Arial" w:eastAsia="Arial" w:hAnsi="Arial"/>
          <w:b/>
          <w:bCs/>
          <w:color w:val="000000"/>
          <w:sz w:val="22"/>
          <w:szCs w:val="22"/>
        </w:rPr>
        <w:t xml:space="preserve">Auteur : Amine Khettat</w:t>
      </w:r>
    </w:p>
    <w:p>
      <w:pPr>
        <w:spacing w:after="120" w:before="0"/>
        <w:jc w:val="center"/>
      </w:pPr>
      <w:r>
        <w:rPr>
          <w:rFonts w:ascii="Arial" w:cs="Arial" w:eastAsia="Arial" w:hAnsi="Arial"/>
          <w:color w:val="534AB7"/>
          <w:sz w:val="22"/>
          <w:szCs w:val="22"/>
        </w:rPr>
        <w:t xml:space="preserve">GitHub : github.com/aminekhettat/spinotor</w:t>
      </w:r>
    </w:p>
    <w:p>
      <w:pPr>
        <w:spacing w:after="120" w:before="0"/>
        <w:jc w:val="center"/>
      </w:pPr>
      <w:r>
        <w:rPr>
          <w:rFonts w:ascii="Arial" w:cs="Arial" w:eastAsia="Arial" w:hAnsi="Arial"/>
          <w:color w:val="888780"/>
          <w:sz w:val="20"/>
          <w:szCs w:val="20"/>
        </w:rPr>
        <w:t xml:space="preserve">Licence : Spinotor Non-Commercial Academic License 1.0</w:t>
      </w:r>
    </w:p>
    <w:p>
      <w:pPr>
        <w:spacing w:after="1440" w:before="0"/>
        <w:jc w:val="center"/>
      </w:pPr>
      <w:r>
        <w:rPr>
          <w:rFonts w:ascii="Arial" w:cs="Arial" w:eastAsia="Arial" w:hAnsi="Arial"/>
          <w:color w:val="888780"/>
          <w:sz w:val="20"/>
          <w:szCs w:val="20"/>
        </w:rPr>
        <w:t xml:space="preserve">Paris, avril 2026</w:t>
      </w: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1. Bibliographie : Réseaux de Neurones pour les MSAP</w:t>
      </w:r>
    </w:p>
    <w:p>
      <w:pPr>
        <w:spacing w:after="80" w:before="80" w:line="276"/>
      </w:pPr>
      <w:r>
        <w:rPr>
          <w:rFonts w:ascii="Arial" w:cs="Arial" w:eastAsia="Arial" w:hAnsi="Arial"/>
          <w:color w:val="000000"/>
          <w:sz w:val="22"/>
          <w:szCs w:val="22"/>
        </w:rPr>
        <w:t xml:space="preserve">Cette section rassemble les travaux académiques et ressources internet identifiés lors de la session de recherche bibliographique sur l'utilisation des réseaux de neurones artificiels (RNA) dans la modélisation, l'identification et la commande des moteurs synchrones à aimants permanents (MSAP / PMSM).</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1.1 Contexte général</w:t>
      </w:r>
    </w:p>
    <w:p>
      <w:pPr>
        <w:spacing w:after="80" w:before="80" w:line="276"/>
      </w:pPr>
      <w:r>
        <w:rPr>
          <w:rFonts w:ascii="Arial" w:cs="Arial" w:eastAsia="Arial" w:hAnsi="Arial"/>
          <w:color w:val="000000"/>
          <w:sz w:val="22"/>
          <w:szCs w:val="22"/>
        </w:rPr>
        <w:t xml:space="preserve">Les moteurs synchrones à aimants permanents (MSAP) sont des systèmes non linéaires fortement couplés, dont la commande haute performance exige une connaissance précise des paramètres et de la dynamique. Face aux limitations des régulateurs PI classiques (sensibilité aux variations paramétriques, non-linéarités), les réseaux de neurones artificiels (RNA) se sont progressivement imposés comme une alternative ou un complément aux approches conventionnelles. La littérature académique couvre trois grands axes : la modélisation (reproduction du comportement dynamique), l'identification paramétrique (estimation en ligne des résistances, inductances, flux) et la commande (régulation de vitesse, position, couple, avec ou sans capteurs).</w:t>
      </w:r>
    </w:p>
    <w:p>
      <w:pPr>
        <w:pStyle w:val="Heading2"/>
        <w:spacing w:after="140" w:before="280"/>
      </w:pPr>
      <w:r>
        <w:rPr>
          <w:rFonts w:ascii="Arial" w:cs="Arial" w:eastAsia="Arial" w:hAnsi="Arial"/>
          <w:b/>
          <w:bCs/>
          <w:color w:val="3C3489"/>
          <w:sz w:val="26"/>
          <w:szCs w:val="26"/>
        </w:rPr>
        <w:t xml:space="preserve">1.2 Modélisation par réseaux de neurones</w:t>
      </w:r>
    </w:p>
    <w:p>
      <w:pPr>
        <w:pStyle w:val="ListParagraph"/>
        <w:numPr>
          <w:ilvl w:val="0"/>
          <w:numId w:val="2"/>
        </w:numPr>
        <w:spacing w:after="60" w:before="60"/>
      </w:pPr>
      <w:r>
        <w:rPr>
          <w:rFonts w:ascii="Arial" w:cs="Arial" w:eastAsia="Arial" w:hAnsi="Arial"/>
          <w:b/>
          <w:bCs/>
          <w:color w:val="3C3489"/>
          <w:sz w:val="22"/>
          <w:szCs w:val="22"/>
        </w:rPr>
        <w:t xml:space="preserve">Jimenez-Mondragon et al. (2025) </w:t>
      </w:r>
      <w:r>
        <w:rPr>
          <w:rFonts w:ascii="Arial" w:cs="Arial" w:eastAsia="Arial" w:hAnsi="Arial"/>
          <w:color w:val="000000"/>
          <w:sz w:val="22"/>
          <w:szCs w:val="22"/>
        </w:rPr>
        <w:t xml:space="preserve">« Nonlinear Control of a PMSM Based on State Space Neural Network Model Identification and State Estimation by Using a Robust Unscented Kalman Filter », Machines (MDPI). Modélisation non linéaire du MSAP fondée sur des réseaux de neurones en espace d'état, avec identification par filtre de Kalman non parfumé (UKF) robuste.</w:t>
      </w:r>
    </w:p>
    <w:p>
      <w:pPr>
        <w:pStyle w:val="ListParagraph"/>
        <w:numPr>
          <w:ilvl w:val="0"/>
          <w:numId w:val="2"/>
        </w:numPr>
        <w:spacing w:after="60" w:before="60"/>
      </w:pPr>
      <w:r>
        <w:rPr>
          <w:rFonts w:ascii="Arial" w:cs="Arial" w:eastAsia="Arial" w:hAnsi="Arial"/>
          <w:b/>
          <w:bCs/>
          <w:color w:val="3C3489"/>
          <w:sz w:val="22"/>
          <w:szCs w:val="22"/>
        </w:rPr>
        <w:t xml:space="preserve">Yu W. et al. </w:t>
      </w:r>
      <w:r>
        <w:rPr>
          <w:rFonts w:ascii="Arial" w:cs="Arial" w:eastAsia="Arial" w:hAnsi="Arial"/>
          <w:color w:val="000000"/>
          <w:sz w:val="22"/>
          <w:szCs w:val="22"/>
        </w:rPr>
        <w:t xml:space="preserve">« Modeling and Identification of PMSM via Deterministic Learning », IEEE Access. Identification de la dynamique complète via réseau RBF mis à jour par lois de poids basées sur Lyapunov.</w:t>
      </w:r>
    </w:p>
    <w:p>
      <w:pPr>
        <w:pStyle w:val="ListParagraph"/>
        <w:numPr>
          <w:ilvl w:val="0"/>
          <w:numId w:val="2"/>
        </w:numPr>
        <w:spacing w:after="60" w:before="60"/>
      </w:pPr>
      <w:r>
        <w:rPr>
          <w:rFonts w:ascii="Arial" w:cs="Arial" w:eastAsia="Arial" w:hAnsi="Arial"/>
          <w:b/>
          <w:bCs/>
          <w:color w:val="3C3489"/>
          <w:sz w:val="22"/>
          <w:szCs w:val="22"/>
        </w:rPr>
        <w:t xml:space="preserve">Kirchner W. et al. </w:t>
      </w:r>
      <w:r>
        <w:rPr>
          <w:rFonts w:ascii="Arial" w:cs="Arial" w:eastAsia="Arial" w:hAnsi="Arial"/>
          <w:color w:val="000000"/>
          <w:sz w:val="22"/>
          <w:szCs w:val="22"/>
        </w:rPr>
        <w:t xml:space="preserve">« Estimating Electric Motor Temperatures with Deep Residual Machine Learning », IEEE Transactions on Power Electronics. Estimation des températures intrinsèques du MSAP par réseaux résiduels profonds.</w:t>
      </w:r>
    </w:p>
    <w:p>
      <w:pPr>
        <w:pStyle w:val="ListParagraph"/>
        <w:numPr>
          <w:ilvl w:val="0"/>
          <w:numId w:val="2"/>
        </w:numPr>
        <w:spacing w:after="60" w:before="60"/>
      </w:pPr>
      <w:r>
        <w:rPr>
          <w:rFonts w:ascii="Arial" w:cs="Arial" w:eastAsia="Arial" w:hAnsi="Arial"/>
          <w:b/>
          <w:bCs/>
          <w:color w:val="3C3489"/>
          <w:sz w:val="22"/>
          <w:szCs w:val="22"/>
        </w:rPr>
        <w:t xml:space="preserve">Zhang S. &amp; Wallscheid O. </w:t>
      </w:r>
      <w:r>
        <w:rPr>
          <w:rFonts w:ascii="Arial" w:cs="Arial" w:eastAsia="Arial" w:hAnsi="Arial"/>
          <w:color w:val="000000"/>
          <w:sz w:val="22"/>
          <w:szCs w:val="22"/>
        </w:rPr>
        <w:t xml:space="preserve">« Machine Learning for the Control and Monitoring of Electric Machine Drives: Advances and Trends », IEEE Access / Scientific Reports. Revue des algorithmes ML pour la commande des entraînements électriques.</w:t>
      </w:r>
    </w:p>
    <w:p>
      <w:pPr>
        <w:pStyle w:val="Heading2"/>
        <w:spacing w:after="140" w:before="280"/>
      </w:pPr>
      <w:r>
        <w:rPr>
          <w:rFonts w:ascii="Arial" w:cs="Arial" w:eastAsia="Arial" w:hAnsi="Arial"/>
          <w:b/>
          <w:bCs/>
          <w:color w:val="3C3489"/>
          <w:sz w:val="26"/>
          <w:szCs w:val="26"/>
        </w:rPr>
        <w:t xml:space="preserve">1.3 Identification paramétrique</w:t>
      </w:r>
    </w:p>
    <w:p>
      <w:pPr>
        <w:pStyle w:val="ListParagraph"/>
        <w:numPr>
          <w:ilvl w:val="0"/>
          <w:numId w:val="2"/>
        </w:numPr>
        <w:spacing w:after="60" w:before="60"/>
      </w:pPr>
      <w:r>
        <w:rPr>
          <w:rFonts w:ascii="Arial" w:cs="Arial" w:eastAsia="Arial" w:hAnsi="Arial"/>
          <w:b/>
          <w:bCs/>
          <w:color w:val="3C3489"/>
          <w:sz w:val="22"/>
          <w:szCs w:val="22"/>
        </w:rPr>
        <w:t xml:space="preserve">Rahman M. &amp; Hoque M.A. (1998) </w:t>
      </w:r>
      <w:r>
        <w:rPr>
          <w:rFonts w:ascii="Arial" w:cs="Arial" w:eastAsia="Arial" w:hAnsi="Arial"/>
          <w:color w:val="000000"/>
          <w:sz w:val="22"/>
          <w:szCs w:val="22"/>
        </w:rPr>
        <w:t xml:space="preserve">« On-line Adaptive Artificial Neural Network Based Vector Control of Permanent Magnet Synchronous Motors », IEEE Transactions on Energy Conversion. Travail pionnier sur le RNA adaptatif pour le contrôle vectoriel en ligne.</w:t>
      </w:r>
    </w:p>
    <w:p>
      <w:pPr>
        <w:pStyle w:val="ListParagraph"/>
        <w:numPr>
          <w:ilvl w:val="0"/>
          <w:numId w:val="2"/>
        </w:numPr>
        <w:spacing w:after="60" w:before="60"/>
      </w:pPr>
      <w:r>
        <w:rPr>
          <w:rFonts w:ascii="Arial" w:cs="Arial" w:eastAsia="Arial" w:hAnsi="Arial"/>
          <w:b/>
          <w:bCs/>
          <w:color w:val="3C3489"/>
          <w:sz w:val="22"/>
          <w:szCs w:val="22"/>
        </w:rPr>
        <w:t xml:space="preserve">Bui M.X. et al. (2022) </w:t>
      </w:r>
      <w:r>
        <w:rPr>
          <w:rFonts w:ascii="Arial" w:cs="Arial" w:eastAsia="Arial" w:hAnsi="Arial"/>
          <w:color w:val="000000"/>
          <w:sz w:val="22"/>
          <w:szCs w:val="22"/>
        </w:rPr>
        <w:t xml:space="preserve">Méthode basée sur l'injection d'une impulsion de courant et résolution simultanée d'équations d'état via réseau Adaline. ResearchGate.</w:t>
      </w:r>
    </w:p>
    <w:p>
      <w:pPr>
        <w:pStyle w:val="ListParagraph"/>
        <w:numPr>
          <w:ilvl w:val="0"/>
          <w:numId w:val="2"/>
        </w:numPr>
        <w:spacing w:after="60" w:before="60"/>
      </w:pPr>
      <w:r>
        <w:rPr>
          <w:rFonts w:ascii="Arial" w:cs="Arial" w:eastAsia="Arial" w:hAnsi="Arial"/>
          <w:b/>
          <w:bCs/>
          <w:color w:val="3C3489"/>
          <w:sz w:val="22"/>
          <w:szCs w:val="22"/>
        </w:rPr>
        <w:t xml:space="preserve">Popa D.C. et al. (2021) </w:t>
      </w:r>
      <w:r>
        <w:rPr>
          <w:rFonts w:ascii="Arial" w:cs="Arial" w:eastAsia="Arial" w:hAnsi="Arial"/>
          <w:color w:val="000000"/>
          <w:sz w:val="22"/>
          <w:szCs w:val="22"/>
        </w:rPr>
        <w:t xml:space="preserve">« Automated Multistep Parameter Identification of SPMSMs Using Cloud Computing », PMC. Trois réseaux Adaline identifient séparément Rs, Ls et le flux magnétique, erreur &lt; 0,35 %.</w:t>
      </w:r>
    </w:p>
    <w:p>
      <w:pPr>
        <w:pStyle w:val="ListParagraph"/>
        <w:numPr>
          <w:ilvl w:val="0"/>
          <w:numId w:val="2"/>
        </w:numPr>
        <w:spacing w:after="60" w:before="60"/>
      </w:pPr>
      <w:r>
        <w:rPr>
          <w:rFonts w:ascii="Arial" w:cs="Arial" w:eastAsia="Arial" w:hAnsi="Arial"/>
          <w:b/>
          <w:bCs/>
          <w:color w:val="3C3489"/>
          <w:sz w:val="22"/>
          <w:szCs w:val="22"/>
        </w:rPr>
        <w:t xml:space="preserve">He S. et al. (2024) </w:t>
      </w:r>
      <w:r>
        <w:rPr>
          <w:rFonts w:ascii="Arial" w:cs="Arial" w:eastAsia="Arial" w:hAnsi="Arial"/>
          <w:color w:val="000000"/>
          <w:sz w:val="22"/>
          <w:szCs w:val="22"/>
        </w:rPr>
        <w:t xml:space="preserve">« Online d-q Axis Inductance Identification for IPMSMs Using FEA-Driven CNN », Alexandria Engineering Journal. Biais maximum 2,96 % pour l'inductance en axe q.</w:t>
      </w:r>
    </w:p>
    <w:p>
      <w:pPr>
        <w:pStyle w:val="Heading2"/>
        <w:spacing w:after="140" w:before="280"/>
      </w:pPr>
      <w:r>
        <w:rPr>
          <w:rFonts w:ascii="Arial" w:cs="Arial" w:eastAsia="Arial" w:hAnsi="Arial"/>
          <w:b/>
          <w:bCs/>
          <w:color w:val="3C3489"/>
          <w:sz w:val="26"/>
          <w:szCs w:val="26"/>
        </w:rPr>
        <w:t xml:space="preserve">1.4 Commande par RNA</w:t>
      </w:r>
    </w:p>
    <w:p>
      <w:pPr>
        <w:pStyle w:val="Heading3"/>
        <w:spacing w:after="100" w:before="200"/>
      </w:pPr>
      <w:r>
        <w:rPr>
          <w:rFonts w:ascii="Arial" w:cs="Arial" w:eastAsia="Arial" w:hAnsi="Arial"/>
          <w:b/>
          <w:bCs/>
          <w:color w:val="26215C"/>
          <w:sz w:val="22"/>
          <w:szCs w:val="22"/>
        </w:rPr>
        <w:t xml:space="preserve">1.4.1 Commande adaptative et backstepping neural</w:t>
      </w:r>
    </w:p>
    <w:p>
      <w:pPr>
        <w:pStyle w:val="ListParagraph"/>
        <w:numPr>
          <w:ilvl w:val="0"/>
          <w:numId w:val="2"/>
        </w:numPr>
        <w:spacing w:after="60" w:before="60"/>
      </w:pPr>
      <w:r>
        <w:rPr>
          <w:rFonts w:ascii="Arial" w:cs="Arial" w:eastAsia="Arial" w:hAnsi="Arial"/>
          <w:b/>
          <w:bCs/>
          <w:color w:val="3C3489"/>
          <w:sz w:val="22"/>
          <w:szCs w:val="22"/>
        </w:rPr>
        <w:t xml:space="preserve">Chaoui H. &amp; Sicard P. (2011) </w:t>
      </w:r>
      <w:r>
        <w:rPr>
          <w:rFonts w:ascii="Arial" w:cs="Arial" w:eastAsia="Arial" w:hAnsi="Arial"/>
          <w:color w:val="000000"/>
          <w:sz w:val="22"/>
          <w:szCs w:val="22"/>
        </w:rPr>
        <w:t xml:space="preserve">« Adaptive Lyapunov-Based Neural Network Sensorless Control of PMSMs », Neural Computing and Applications, vol. 20, pp. 717–727.</w:t>
      </w:r>
    </w:p>
    <w:p>
      <w:pPr>
        <w:pStyle w:val="ListParagraph"/>
        <w:numPr>
          <w:ilvl w:val="0"/>
          <w:numId w:val="2"/>
        </w:numPr>
        <w:spacing w:after="60" w:before="60"/>
      </w:pPr>
      <w:r>
        <w:rPr>
          <w:rFonts w:ascii="Arial" w:cs="Arial" w:eastAsia="Arial" w:hAnsi="Arial"/>
          <w:b/>
          <w:bCs/>
          <w:color w:val="3C3489"/>
          <w:sz w:val="22"/>
          <w:szCs w:val="22"/>
        </w:rPr>
        <w:t xml:space="preserve">Nguyen T.T. et al. (2023) </w:t>
      </w:r>
      <w:r>
        <w:rPr>
          <w:rFonts w:ascii="Arial" w:cs="Arial" w:eastAsia="Arial" w:hAnsi="Arial"/>
          <w:color w:val="000000"/>
          <w:sz w:val="22"/>
          <w:szCs w:val="22"/>
        </w:rPr>
        <w:t xml:space="preserve">« Recurrent Neural Network-Based Robust Adaptive Model Predictive Speed Control for PMSM », IEEE Transactions on Industrial Electronics, vol. 70, no. 6, pp. 6219–6228.</w:t>
      </w:r>
    </w:p>
    <w:p>
      <w:pPr>
        <w:pStyle w:val="ListParagraph"/>
        <w:numPr>
          <w:ilvl w:val="0"/>
          <w:numId w:val="2"/>
        </w:numPr>
        <w:spacing w:after="60" w:before="60"/>
      </w:pPr>
      <w:r>
        <w:rPr>
          <w:rFonts w:ascii="Arial" w:cs="Arial" w:eastAsia="Arial" w:hAnsi="Arial"/>
          <w:b/>
          <w:bCs/>
          <w:color w:val="3C3489"/>
          <w:sz w:val="22"/>
          <w:szCs w:val="22"/>
        </w:rPr>
        <w:t xml:space="preserve">Li S. et al. (2020) </w:t>
      </w:r>
      <w:r>
        <w:rPr>
          <w:rFonts w:ascii="Arial" w:cs="Arial" w:eastAsia="Arial" w:hAnsi="Arial"/>
          <w:color w:val="000000"/>
          <w:sz w:val="22"/>
          <w:szCs w:val="22"/>
        </w:rPr>
        <w:t xml:space="preserve">« Neural-Network Vector Controller for PMSM Drives: Simulated and Hardware-Validated Results », IEEE Transactions on Cybernetics, vol. 50, no. 7, pp. 3218–3230.</w:t>
      </w:r>
    </w:p>
    <w:p>
      <w:pPr>
        <w:pStyle w:val="Heading3"/>
        <w:spacing w:after="100" w:before="200"/>
      </w:pPr>
      <w:r>
        <w:rPr>
          <w:rFonts w:ascii="Arial" w:cs="Arial" w:eastAsia="Arial" w:hAnsi="Arial"/>
          <w:b/>
          <w:bCs/>
          <w:color w:val="26215C"/>
          <w:sz w:val="22"/>
          <w:szCs w:val="22"/>
        </w:rPr>
        <w:t xml:space="preserve">1.4.2 Commande sensorless par RNA</w:t>
      </w:r>
    </w:p>
    <w:p>
      <w:pPr>
        <w:pStyle w:val="ListParagraph"/>
        <w:numPr>
          <w:ilvl w:val="0"/>
          <w:numId w:val="2"/>
        </w:numPr>
        <w:spacing w:after="60" w:before="60"/>
      </w:pPr>
      <w:r>
        <w:rPr>
          <w:rFonts w:ascii="Arial" w:cs="Arial" w:eastAsia="Arial" w:hAnsi="Arial"/>
          <w:b/>
          <w:bCs/>
          <w:color w:val="3C3489"/>
          <w:sz w:val="22"/>
          <w:szCs w:val="22"/>
        </w:rPr>
        <w:t xml:space="preserve">IEEE (2008) </w:t>
      </w:r>
      <w:r>
        <w:rPr>
          <w:rFonts w:ascii="Arial" w:cs="Arial" w:eastAsia="Arial" w:hAnsi="Arial"/>
          <w:color w:val="000000"/>
          <w:sz w:val="22"/>
          <w:szCs w:val="22"/>
        </w:rPr>
        <w:t xml:space="preserve">« Sensorless Control of the PMSM Using Neural Networks », IEEE Xplore. Trois réseaux récurrents estimant courant statorique, vitesse rotorique et angle de position.</w:t>
      </w:r>
    </w:p>
    <w:p>
      <w:pPr>
        <w:pStyle w:val="ListParagraph"/>
        <w:numPr>
          <w:ilvl w:val="0"/>
          <w:numId w:val="2"/>
        </w:numPr>
        <w:spacing w:after="60" w:before="60"/>
      </w:pPr>
      <w:r>
        <w:rPr>
          <w:rFonts w:ascii="Arial" w:cs="Arial" w:eastAsia="Arial" w:hAnsi="Arial"/>
          <w:b/>
          <w:bCs/>
          <w:color w:val="3C3489"/>
          <w:sz w:val="22"/>
          <w:szCs w:val="22"/>
        </w:rPr>
        <w:t xml:space="preserve">Hoai H.-K. et al. (2020) </w:t>
      </w:r>
      <w:r>
        <w:rPr>
          <w:rFonts w:ascii="Arial" w:cs="Arial" w:eastAsia="Arial" w:hAnsi="Arial"/>
          <w:color w:val="000000"/>
          <w:sz w:val="22"/>
          <w:szCs w:val="22"/>
        </w:rPr>
        <w:t xml:space="preserve">« Realization of the Neural Fuzzy Controller for the Sensorless PMSM Drive Control System », Electronics, vol. 9, Art. 1371.</w:t>
      </w:r>
    </w:p>
    <w:p>
      <w:pPr>
        <w:pStyle w:val="ListParagraph"/>
        <w:numPr>
          <w:ilvl w:val="0"/>
          <w:numId w:val="2"/>
        </w:numPr>
        <w:spacing w:after="60" w:before="60"/>
      </w:pPr>
      <w:r>
        <w:rPr>
          <w:rFonts w:ascii="Arial" w:cs="Arial" w:eastAsia="Arial" w:hAnsi="Arial"/>
          <w:b/>
          <w:bCs/>
          <w:color w:val="3C3489"/>
          <w:sz w:val="22"/>
          <w:szCs w:val="22"/>
        </w:rPr>
        <w:t xml:space="preserve">Nguyen T.L. et al. (2021) </w:t>
      </w:r>
      <w:r>
        <w:rPr>
          <w:rFonts w:ascii="Arial" w:cs="Arial" w:eastAsia="Arial" w:hAnsi="Arial"/>
          <w:color w:val="000000"/>
          <w:sz w:val="22"/>
          <w:szCs w:val="22"/>
        </w:rPr>
        <w:t xml:space="preserve">« Neural Network Observers and Sensorless Robust Optimal Control for Partially Unknown PMSM », IEEE Transactions on Power Electronics, vol. 36, no. 10, pp. 12045–12056.</w:t>
      </w:r>
    </w:p>
    <w:p>
      <w:pPr>
        <w:pStyle w:val="Heading3"/>
        <w:spacing w:after="100" w:before="200"/>
      </w:pPr>
      <w:r>
        <w:rPr>
          <w:rFonts w:ascii="Arial" w:cs="Arial" w:eastAsia="Arial" w:hAnsi="Arial"/>
          <w:b/>
          <w:bCs/>
          <w:color w:val="26215C"/>
          <w:sz w:val="22"/>
          <w:szCs w:val="22"/>
        </w:rPr>
        <w:t xml:space="preserve">1.4.3 Commande floue neuronale (ANFIS)</w:t>
      </w:r>
    </w:p>
    <w:p>
      <w:pPr>
        <w:pStyle w:val="ListParagraph"/>
        <w:numPr>
          <w:ilvl w:val="0"/>
          <w:numId w:val="2"/>
        </w:numPr>
        <w:spacing w:after="60" w:before="60"/>
      </w:pPr>
      <w:r>
        <w:rPr>
          <w:rFonts w:ascii="Arial" w:cs="Arial" w:eastAsia="Arial" w:hAnsi="Arial"/>
          <w:b/>
          <w:bCs/>
          <w:color w:val="3C3489"/>
          <w:sz w:val="22"/>
          <w:szCs w:val="22"/>
        </w:rPr>
        <w:t xml:space="preserve">Jain M. et al. (2011) </w:t>
      </w:r>
      <w:r>
        <w:rPr>
          <w:rFonts w:ascii="Arial" w:cs="Arial" w:eastAsia="Arial" w:hAnsi="Arial"/>
          <w:color w:val="000000"/>
          <w:sz w:val="22"/>
          <w:szCs w:val="22"/>
        </w:rPr>
        <w:t xml:space="preserve">« Sensorless Control of PMSM Using ANFIS-Based MRAS », IEEE IEMDC, pp. 599–606.</w:t>
      </w:r>
    </w:p>
    <w:p>
      <w:pPr>
        <w:pStyle w:val="ListParagraph"/>
        <w:numPr>
          <w:ilvl w:val="0"/>
          <w:numId w:val="2"/>
        </w:numPr>
        <w:spacing w:after="60" w:before="60"/>
      </w:pPr>
      <w:r>
        <w:rPr>
          <w:rFonts w:ascii="Arial" w:cs="Arial" w:eastAsia="Arial" w:hAnsi="Arial"/>
          <w:b/>
          <w:bCs/>
          <w:color w:val="3C3489"/>
          <w:sz w:val="22"/>
          <w:szCs w:val="22"/>
        </w:rPr>
        <w:t xml:space="preserve">Kuvvetli I. et al. (2026) </w:t>
      </w:r>
      <w:r>
        <w:rPr>
          <w:rFonts w:ascii="Arial" w:cs="Arial" w:eastAsia="Arial" w:hAnsi="Arial"/>
          <w:color w:val="000000"/>
          <w:sz w:val="22"/>
          <w:szCs w:val="22"/>
        </w:rPr>
        <w:t xml:space="preserve">Système d'inférence neuro-flou adaptatif (ANFIS) pour FOC d'un MSAP — applications multirotors. Proceedings of the Institution of Mechanical Engineers.</w:t>
      </w:r>
    </w:p>
    <w:p>
      <w:pPr>
        <w:pStyle w:val="Heading3"/>
        <w:spacing w:after="100" w:before="200"/>
      </w:pPr>
      <w:r>
        <w:rPr>
          <w:rFonts w:ascii="Arial" w:cs="Arial" w:eastAsia="Arial" w:hAnsi="Arial"/>
          <w:b/>
          <w:bCs/>
          <w:color w:val="26215C"/>
          <w:sz w:val="22"/>
          <w:szCs w:val="22"/>
        </w:rPr>
        <w:t xml:space="preserve">1.4.4 Apprentissage par renforcement (RL / DRL)</w:t>
      </w:r>
    </w:p>
    <w:p>
      <w:pPr>
        <w:pStyle w:val="ListParagraph"/>
        <w:numPr>
          <w:ilvl w:val="0"/>
          <w:numId w:val="2"/>
        </w:numPr>
        <w:spacing w:after="60" w:before="60"/>
      </w:pPr>
      <w:r>
        <w:rPr>
          <w:rFonts w:ascii="Arial" w:cs="Arial" w:eastAsia="Arial" w:hAnsi="Arial"/>
          <w:b/>
          <w:bCs/>
          <w:color w:val="3C3489"/>
          <w:sz w:val="22"/>
          <w:szCs w:val="22"/>
        </w:rPr>
        <w:t xml:space="preserve">Schenke M. et al. (2020) </w:t>
      </w:r>
      <w:r>
        <w:rPr>
          <w:rFonts w:ascii="Arial" w:cs="Arial" w:eastAsia="Arial" w:hAnsi="Arial"/>
          <w:color w:val="000000"/>
          <w:sz w:val="22"/>
          <w:szCs w:val="22"/>
        </w:rPr>
        <w:t xml:space="preserve">« Controller Design for Electrical Drives by Deep Reinforcement Learning: A Proof of Concept », IEEE Transactions on Industrial Informatics, vol. 16, no. 7, pp. 4650–4658.</w:t>
      </w:r>
    </w:p>
    <w:p>
      <w:pPr>
        <w:pStyle w:val="ListParagraph"/>
        <w:numPr>
          <w:ilvl w:val="0"/>
          <w:numId w:val="2"/>
        </w:numPr>
        <w:spacing w:after="60" w:before="60"/>
      </w:pPr>
      <w:r>
        <w:rPr>
          <w:rFonts w:ascii="Arial" w:cs="Arial" w:eastAsia="Arial" w:hAnsi="Arial"/>
          <w:b/>
          <w:bCs/>
          <w:color w:val="3C3489"/>
          <w:sz w:val="22"/>
          <w:szCs w:val="22"/>
        </w:rPr>
        <w:t xml:space="preserve">Song Z. et al. (2021) </w:t>
      </w:r>
      <w:r>
        <w:rPr>
          <w:rFonts w:ascii="Arial" w:cs="Arial" w:eastAsia="Arial" w:hAnsi="Arial"/>
          <w:color w:val="000000"/>
          <w:sz w:val="22"/>
          <w:szCs w:val="22"/>
        </w:rPr>
        <w:t xml:space="preserve">« Deep Reinforcement Learning for PMSM Speed Control Systems », Neural Computing and Applications, vol. 33, pp. 5409–5418.</w:t>
      </w:r>
    </w:p>
    <w:p>
      <w:pPr>
        <w:pStyle w:val="ListParagraph"/>
        <w:numPr>
          <w:ilvl w:val="0"/>
          <w:numId w:val="2"/>
        </w:numPr>
        <w:spacing w:after="60" w:before="60"/>
      </w:pPr>
      <w:r>
        <w:rPr>
          <w:rFonts w:ascii="Arial" w:cs="Arial" w:eastAsia="Arial" w:hAnsi="Arial"/>
          <w:b/>
          <w:bCs/>
          <w:color w:val="3C3489"/>
          <w:sz w:val="22"/>
          <w:szCs w:val="22"/>
        </w:rPr>
        <w:t xml:space="preserve">Bhattacharjee S. et al. (2022) </w:t>
      </w:r>
      <w:r>
        <w:rPr>
          <w:rFonts w:ascii="Arial" w:cs="Arial" w:eastAsia="Arial" w:hAnsi="Arial"/>
          <w:color w:val="000000"/>
          <w:sz w:val="22"/>
          <w:szCs w:val="22"/>
        </w:rPr>
        <w:t xml:space="preserve">« Real-Time SIL Validation of a Novel PMSM Control Based on Deep Deterministic Policy Gradient », IEEE Transactions on Power Electronics, vol. 37, no. 8, pp. 9000–9011.</w:t>
      </w:r>
    </w:p>
    <w:p>
      <w:pPr>
        <w:pStyle w:val="ListParagraph"/>
        <w:numPr>
          <w:ilvl w:val="0"/>
          <w:numId w:val="2"/>
        </w:numPr>
        <w:spacing w:after="60" w:before="60"/>
      </w:pPr>
      <w:r>
        <w:rPr>
          <w:rFonts w:ascii="Arial" w:cs="Arial" w:eastAsia="Arial" w:hAnsi="Arial"/>
          <w:b/>
          <w:bCs/>
          <w:color w:val="3C3489"/>
          <w:sz w:val="22"/>
          <w:szCs w:val="22"/>
        </w:rPr>
        <w:t xml:space="preserve">Traue A. et al. (2022) </w:t>
      </w:r>
      <w:r>
        <w:rPr>
          <w:rFonts w:ascii="Arial" w:cs="Arial" w:eastAsia="Arial" w:hAnsi="Arial"/>
          <w:color w:val="000000"/>
          <w:sz w:val="22"/>
          <w:szCs w:val="22"/>
        </w:rPr>
        <w:t xml:space="preserve">« Toward a Reinforcement Learning Environment Toolbox for Intelligent Electric Motor Control », IEEE Transactions on Neural Networks and Learning Systems, vol. 33, no. 3, pp. 919–928.</w:t>
      </w:r>
    </w:p>
    <w:p>
      <w:pPr>
        <w:pStyle w:val="Heading2"/>
        <w:spacing w:after="140" w:before="280"/>
      </w:pPr>
      <w:r>
        <w:rPr>
          <w:rFonts w:ascii="Arial" w:cs="Arial" w:eastAsia="Arial" w:hAnsi="Arial"/>
          <w:b/>
          <w:bCs/>
          <w:color w:val="3C3489"/>
          <w:sz w:val="26"/>
          <w:szCs w:val="26"/>
        </w:rPr>
        <w:t xml:space="preserve">1.5 Ressources Internet</w:t>
      </w:r>
    </w:p>
    <w:p>
      <w:pPr>
        <w:pStyle w:val="Heading3"/>
        <w:spacing w:after="100" w:before="200"/>
      </w:pPr>
      <w:r>
        <w:rPr>
          <w:rFonts w:ascii="Arial" w:cs="Arial" w:eastAsia="Arial" w:hAnsi="Arial"/>
          <w:b/>
          <w:bCs/>
          <w:color w:val="26215C"/>
          <w:sz w:val="22"/>
          <w:szCs w:val="22"/>
        </w:rPr>
        <w:t xml:space="preserve">Dépôts GitHub notables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Dépôt</w:t>
            </w:r>
          </w:p>
        </w:tc>
        <w:tc>
          <w:tcPr>
            <w:tcW w:type="dxa" w:w="53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upb-lea/gym-electric-motor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Environnement OpenAI Gym pour moteurs électriques (GEM), RL et commande classique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upb-lea/deep-pmsm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Estimation températures intrinsèques MSAP par réseaux résiduels profonds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upb-lea/meta_RL_PMSM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Méta-apprentissage par renforcement pour commande de courant PMSM, IEEE Trans. Power Electron.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heixiaopengyou/TINY-ML-for-FOC-of-PMSM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TinyFC 1400 param. en FOC PMSM, quantification 8 bits entiers pour MCU embarqué</w:t>
            </w:r>
          </w:p>
        </w:tc>
      </w:tr>
    </w:tbl>
    <w:p>
      <w:pPr>
        <w:spacing w:after="0" w:before="120"/>
      </w:pPr>
    </w:p>
    <w:p>
      <w:pPr>
        <w:pStyle w:val="Heading3"/>
        <w:spacing w:after="100" w:before="200"/>
      </w:pPr>
      <w:r>
        <w:rPr>
          <w:rFonts w:ascii="Arial" w:cs="Arial" w:eastAsia="Arial" w:hAnsi="Arial"/>
          <w:b/>
          <w:bCs/>
          <w:color w:val="26215C"/>
          <w:sz w:val="22"/>
          <w:szCs w:val="22"/>
        </w:rPr>
        <w:t xml:space="preserve">Datasets publics</w:t>
      </w:r>
    </w:p>
    <w:p>
      <w:pPr>
        <w:pStyle w:val="ListParagraph"/>
        <w:numPr>
          <w:ilvl w:val="0"/>
          <w:numId w:val="2"/>
        </w:numPr>
        <w:spacing w:after="60" w:before="60"/>
      </w:pPr>
      <w:r>
        <w:rPr>
          <w:rFonts w:ascii="Arial" w:cs="Arial" w:eastAsia="Arial" w:hAnsi="Arial"/>
          <w:b/>
          <w:bCs/>
          <w:color w:val="3C3489"/>
          <w:sz w:val="22"/>
          <w:szCs w:val="22"/>
        </w:rPr>
        <w:t xml:space="preserve">Kaggle — Electric Motor Temperature </w:t>
      </w:r>
      <w:r>
        <w:rPr>
          <w:rFonts w:ascii="Arial" w:cs="Arial" w:eastAsia="Arial" w:hAnsi="Arial"/>
          <w:color w:val="000000"/>
          <w:sz w:val="22"/>
          <w:szCs w:val="22"/>
        </w:rPr>
        <w:t xml:space="preserve">Dataset réel de mesures banc MSAP : tensions, courants, vitesse, températures. Référence pour estimation thermique et paramétrique.</w:t>
      </w: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2. PINNs et Moteurs Synchrones à Aimants Permanents</w:t>
      </w:r>
    </w:p>
    <w:p>
      <w:pPr>
        <w:spacing w:after="80" w:before="80" w:line="276"/>
      </w:pPr>
      <w:r>
        <w:rPr>
          <w:rFonts w:ascii="Arial" w:cs="Arial" w:eastAsia="Arial" w:hAnsi="Arial"/>
          <w:color w:val="000000"/>
          <w:sz w:val="22"/>
          <w:szCs w:val="22"/>
        </w:rPr>
        <w:t xml:space="preserve">Les Physics-Informed Neural Networks (PINNs) constituent un axe de recherche émergent appliqué aux MSAP depuis 2022–2023. Ils intègrent les équations physiques directement dans la fonction de perte (loss function), contraignant l'espace des solutions admissibles.</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2.1 Travaux publiés</w:t>
      </w:r>
    </w:p>
    <w:p>
      <w:pPr>
        <w:pStyle w:val="ListParagraph"/>
        <w:numPr>
          <w:ilvl w:val="0"/>
          <w:numId w:val="2"/>
        </w:numPr>
        <w:spacing w:after="60" w:before="60"/>
      </w:pPr>
      <w:r>
        <w:rPr>
          <w:rFonts w:ascii="Arial" w:cs="Arial" w:eastAsia="Arial" w:hAnsi="Arial"/>
          <w:b/>
          <w:bCs/>
          <w:color w:val="3C3489"/>
          <w:sz w:val="22"/>
          <w:szCs w:val="22"/>
        </w:rPr>
        <w:t xml:space="preserve">Son et al. (2023) </w:t>
      </w:r>
      <w:r>
        <w:rPr>
          <w:rFonts w:ascii="Arial" w:cs="Arial" w:eastAsia="Arial" w:hAnsi="Arial"/>
          <w:color w:val="000000"/>
          <w:sz w:val="22"/>
          <w:szCs w:val="22"/>
        </w:rPr>
        <w:t xml:space="preserve">PINN électromagnétique PMSM — 10× plus rapide que la FEA. Advanced Engineering Informatics.</w:t>
      </w:r>
    </w:p>
    <w:p>
      <w:pPr>
        <w:pStyle w:val="ListParagraph"/>
        <w:numPr>
          <w:ilvl w:val="0"/>
          <w:numId w:val="2"/>
        </w:numPr>
        <w:spacing w:after="60" w:before="60"/>
      </w:pPr>
      <w:r>
        <w:rPr>
          <w:rFonts w:ascii="Arial" w:cs="Arial" w:eastAsia="Arial" w:hAnsi="Arial"/>
          <w:b/>
          <w:bCs/>
          <w:color w:val="3C3489"/>
          <w:sz w:val="22"/>
          <w:szCs w:val="22"/>
        </w:rPr>
        <w:t xml:space="preserve">Jimenez-Mondragon (2024) </w:t>
      </w:r>
      <w:r>
        <w:rPr>
          <w:rFonts w:ascii="Arial" w:cs="Arial" w:eastAsia="Arial" w:hAnsi="Arial"/>
          <w:color w:val="000000"/>
          <w:sz w:val="22"/>
          <w:szCs w:val="22"/>
        </w:rPr>
        <w:t xml:space="preserve">Identification temps réel + commande par linéarisation exacte. MDPI Information.</w:t>
      </w:r>
    </w:p>
    <w:p>
      <w:pPr>
        <w:pStyle w:val="ListParagraph"/>
        <w:numPr>
          <w:ilvl w:val="0"/>
          <w:numId w:val="2"/>
        </w:numPr>
        <w:spacing w:after="60" w:before="60"/>
      </w:pPr>
      <w:r>
        <w:rPr>
          <w:rFonts w:ascii="Arial" w:cs="Arial" w:eastAsia="Arial" w:hAnsi="Arial"/>
          <w:b/>
          <w:bCs/>
          <w:color w:val="3C3489"/>
          <w:sz w:val="22"/>
          <w:szCs w:val="22"/>
        </w:rPr>
        <w:t xml:space="preserve">Chen et al. (2025) </w:t>
      </w:r>
      <w:r>
        <w:rPr>
          <w:rFonts w:ascii="Arial" w:cs="Arial" w:eastAsia="Arial" w:hAnsi="Arial"/>
          <w:color w:val="000000"/>
          <w:sz w:val="22"/>
          <w:szCs w:val="22"/>
        </w:rPr>
        <w:t xml:space="preserve">Prédiction couple en ligne, MAE 0,7745 N·m. IEEE Access.</w:t>
      </w:r>
    </w:p>
    <w:p>
      <w:pPr>
        <w:pStyle w:val="ListParagraph"/>
        <w:numPr>
          <w:ilvl w:val="0"/>
          <w:numId w:val="2"/>
        </w:numPr>
        <w:spacing w:after="60" w:before="60"/>
      </w:pPr>
      <w:r>
        <w:rPr>
          <w:rFonts w:ascii="Arial" w:cs="Arial" w:eastAsia="Arial" w:hAnsi="Arial"/>
          <w:b/>
          <w:bCs/>
          <w:color w:val="3C3489"/>
          <w:sz w:val="22"/>
          <w:szCs w:val="22"/>
        </w:rPr>
        <w:t xml:space="preserve">Xia et al. (2025) </w:t>
      </w:r>
      <w:r>
        <w:rPr>
          <w:rFonts w:ascii="Arial" w:cs="Arial" w:eastAsia="Arial" w:hAnsi="Arial"/>
          <w:color w:val="000000"/>
          <w:sz w:val="22"/>
          <w:szCs w:val="22"/>
        </w:rPr>
        <w:t xml:space="preserve">Identification paramétrique PINN. IEEE Xplore.</w:t>
      </w:r>
    </w:p>
    <w:p>
      <w:pPr>
        <w:pStyle w:val="ListParagraph"/>
        <w:numPr>
          <w:ilvl w:val="0"/>
          <w:numId w:val="2"/>
        </w:numPr>
        <w:spacing w:after="60" w:before="60"/>
      </w:pPr>
      <w:r>
        <w:rPr>
          <w:rFonts w:ascii="Arial" w:cs="Arial" w:eastAsia="Arial" w:hAnsi="Arial"/>
          <w:b/>
          <w:bCs/>
          <w:color w:val="3C3489"/>
          <w:sz w:val="22"/>
          <w:szCs w:val="22"/>
        </w:rPr>
        <w:t xml:space="preserve">He et al. (2025) </w:t>
      </w:r>
      <w:r>
        <w:rPr>
          <w:rFonts w:ascii="Arial" w:cs="Arial" w:eastAsia="Arial" w:hAnsi="Arial"/>
          <w:color w:val="000000"/>
          <w:sz w:val="22"/>
          <w:szCs w:val="22"/>
        </w:rPr>
        <w:t xml:space="preserve">Modèle non linéaire inductances différentielles. Applied Sciences.</w:t>
      </w:r>
    </w:p>
    <w:p>
      <w:pPr>
        <w:pStyle w:val="ListParagraph"/>
        <w:numPr>
          <w:ilvl w:val="0"/>
          <w:numId w:val="2"/>
        </w:numPr>
        <w:spacing w:after="60" w:before="60"/>
      </w:pPr>
      <w:r>
        <w:rPr>
          <w:rFonts w:ascii="Arial" w:cs="Arial" w:eastAsia="Arial" w:hAnsi="Arial"/>
          <w:b/>
          <w:bCs/>
          <w:color w:val="3C3489"/>
          <w:sz w:val="22"/>
          <w:szCs w:val="22"/>
        </w:rPr>
        <w:t xml:space="preserve">Bacha et al. (2024) </w:t>
      </w:r>
      <w:r>
        <w:rPr>
          <w:rFonts w:ascii="Arial" w:cs="Arial" w:eastAsia="Arial" w:hAnsi="Arial"/>
          <w:color w:val="000000"/>
          <w:sz w:val="22"/>
          <w:szCs w:val="22"/>
        </w:rPr>
        <w:t xml:space="preserve">Détection défauts Transformer + PINN. IJACSA.</w:t>
      </w:r>
    </w:p>
    <w:p>
      <w:pPr>
        <w:pStyle w:val="Heading2"/>
        <w:spacing w:after="140" w:before="280"/>
      </w:pPr>
      <w:r>
        <w:rPr>
          <w:rFonts w:ascii="Arial" w:cs="Arial" w:eastAsia="Arial" w:hAnsi="Arial"/>
          <w:b/>
          <w:bCs/>
          <w:color w:val="3C3489"/>
          <w:sz w:val="26"/>
          <w:szCs w:val="26"/>
        </w:rPr>
        <w:t xml:space="preserve">2.2 État de l'art et niche identifiée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single" w:color="7F77DD" w:sz="1"/>
              <w:right w:val="single" w:color="7F77DD" w:sz="1"/>
            </w:tcBorders>
            <w:shd w:fill="F5F4FC" w:val="clear"/>
            <w:tcMar>
              <w:top w:type="dxa" w:w="120"/>
              <w:left w:type="dxa" w:w="200"/>
              <w:bottom w:type="dxa" w:w="120"/>
              <w:right w:type="dxa" w:w="200"/>
            </w:tcMar>
          </w:tcPr>
          <w:p>
            <w:pPr>
              <w:spacing w:after="60" w:before="60"/>
            </w:pPr>
            <w:r>
              <w:rPr>
                <w:rFonts w:ascii="Arial" w:cs="Arial" w:eastAsia="Arial" w:hAnsi="Arial"/>
                <w:i/>
                <w:iCs/>
                <w:color w:val="26215C"/>
                <w:sz w:val="20"/>
                <w:szCs w:val="20"/>
              </w:rPr>
              <w:t xml:space="preserve">CONSTAT : La combinaison PINN + reconstruction de courant single shunt + embarqué Cortex-M3/M4 sans FPU n'existe dans aucune publication à ce jour (avril 2026). C'est la niche de recherche de Spinotor.</w:t>
            </w:r>
          </w:p>
        </w:tc>
      </w:tr>
    </w:tbl>
    <w:p>
      <w:pPr>
        <w:spacing w:after="0" w:before="120"/>
      </w:pPr>
    </w:p>
    <w:p>
      <w:pPr>
        <w:spacing w:after="80" w:before="80" w:line="276"/>
      </w:pPr>
      <w:r>
        <w:rPr>
          <w:rFonts w:ascii="Arial" w:cs="Arial" w:eastAsia="Arial" w:hAnsi="Arial"/>
          <w:color w:val="000000"/>
          <w:sz w:val="22"/>
          <w:szCs w:val="22"/>
        </w:rPr>
        <w:t xml:space="preserve">Ce qui est bien couvert et saturé dans la littérature :</w:t>
      </w:r>
    </w:p>
    <w:p>
      <w:pPr>
        <w:pStyle w:val="ListParagraph"/>
        <w:numPr>
          <w:ilvl w:val="0"/>
          <w:numId w:val="2"/>
        </w:numPr>
        <w:spacing w:after="60" w:before="60"/>
      </w:pPr>
      <w:r>
        <w:rPr>
          <w:rFonts w:ascii="Arial" w:cs="Arial" w:eastAsia="Arial" w:hAnsi="Arial"/>
          <w:color w:val="000000"/>
          <w:sz w:val="22"/>
          <w:szCs w:val="22"/>
        </w:rPr>
        <w:t xml:space="preserve">Commande sensorless MSAP par RNA classiques (SMO + RNA, MRAS + RNA, EKF + RNA)</w:t>
      </w:r>
    </w:p>
    <w:p>
      <w:pPr>
        <w:pStyle w:val="ListParagraph"/>
        <w:numPr>
          <w:ilvl w:val="0"/>
          <w:numId w:val="2"/>
        </w:numPr>
        <w:spacing w:after="60" w:before="60"/>
      </w:pPr>
      <w:r>
        <w:rPr>
          <w:rFonts w:ascii="Arial" w:cs="Arial" w:eastAsia="Arial" w:hAnsi="Arial"/>
          <w:color w:val="000000"/>
          <w:sz w:val="22"/>
          <w:szCs w:val="22"/>
        </w:rPr>
        <w:t xml:space="preserve">PINNs appliqués à la modélisation électromagnétique du MSAP (depuis 2023)</w:t>
      </w:r>
    </w:p>
    <w:p>
      <w:pPr>
        <w:pStyle w:val="ListParagraph"/>
        <w:numPr>
          <w:ilvl w:val="0"/>
          <w:numId w:val="2"/>
        </w:numPr>
        <w:spacing w:after="60" w:before="60"/>
      </w:pPr>
      <w:r>
        <w:rPr>
          <w:rFonts w:ascii="Arial" w:cs="Arial" w:eastAsia="Arial" w:hAnsi="Arial"/>
          <w:color w:val="000000"/>
          <w:sz w:val="22"/>
          <w:szCs w:val="22"/>
        </w:rPr>
        <w:t xml:space="preserve">Architectures TinyML pour le FOC (TinyFC, 2025)</w:t>
      </w:r>
    </w:p>
    <w:p>
      <w:pPr>
        <w:spacing w:after="80" w:before="80" w:line="276"/>
      </w:pPr>
      <w:r>
        <w:rPr>
          <w:rFonts w:ascii="Arial" w:cs="Arial" w:eastAsia="Arial" w:hAnsi="Arial"/>
          <w:color w:val="000000"/>
          <w:sz w:val="22"/>
          <w:szCs w:val="22"/>
        </w:rPr>
        <w:t xml:space="preserve">Ce qui est vide dans la littérature :</w:t>
      </w:r>
    </w:p>
    <w:p>
      <w:pPr>
        <w:pStyle w:val="ListParagraph"/>
        <w:numPr>
          <w:ilvl w:val="0"/>
          <w:numId w:val="2"/>
        </w:numPr>
        <w:spacing w:after="60" w:before="60"/>
      </w:pPr>
      <w:r>
        <w:rPr>
          <w:rFonts w:ascii="Arial" w:cs="Arial" w:eastAsia="Arial" w:hAnsi="Arial"/>
          <w:color w:val="000000"/>
          <w:sz w:val="22"/>
          <w:szCs w:val="22"/>
        </w:rPr>
        <w:t xml:space="preserve">Single shunt + intelligence artificielle (pratiquement inexistant)</w:t>
      </w:r>
    </w:p>
    <w:p>
      <w:pPr>
        <w:pStyle w:val="ListParagraph"/>
        <w:numPr>
          <w:ilvl w:val="0"/>
          <w:numId w:val="2"/>
        </w:numPr>
        <w:spacing w:after="60" w:before="60"/>
      </w:pPr>
      <w:r>
        <w:rPr>
          <w:rFonts w:ascii="Arial" w:cs="Arial" w:eastAsia="Arial" w:hAnsi="Arial"/>
          <w:color w:val="000000"/>
          <w:sz w:val="22"/>
          <w:szCs w:val="22"/>
        </w:rPr>
        <w:t xml:space="preserve">PINN + reconstruction courant single shunt + embarqué (niche vierge confirmée)</w:t>
      </w:r>
    </w:p>
    <w:p>
      <w:pPr>
        <w:pStyle w:val="ListParagraph"/>
        <w:numPr>
          <w:ilvl w:val="0"/>
          <w:numId w:val="2"/>
        </w:numPr>
        <w:spacing w:after="60" w:before="60"/>
      </w:pPr>
      <w:r>
        <w:rPr>
          <w:rFonts w:ascii="Arial" w:cs="Arial" w:eastAsia="Arial" w:hAnsi="Arial"/>
          <w:color w:val="000000"/>
          <w:sz w:val="22"/>
          <w:szCs w:val="22"/>
        </w:rPr>
        <w:t xml:space="preserve">Déploiement temps réel d'un PINN sur MCU de commande moteur avec contrainte 50–100 µs</w:t>
      </w: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3. Formalisation de la Niche de Recherche</w:t>
      </w:r>
    </w:p>
    <w:p>
      <w:pPr>
        <w:spacing w:after="80" w:before="80" w:line="276"/>
      </w:pPr>
      <w:r>
        <w:rPr>
          <w:rFonts w:ascii="Arial" w:cs="Arial" w:eastAsia="Arial" w:hAnsi="Arial"/>
          <w:color w:val="000000"/>
          <w:sz w:val="22"/>
          <w:szCs w:val="22"/>
        </w:rPr>
        <w:t xml:space="preserve">Contexte cible : Cortex-M3 ou M4 sans FPU, 40 MHz, période PWM 100 µs (4000 cycles disponibles). Budget cycles restant après FOC classique : ~3270 cycles. Architecture PINN-Tiny viable : FC 6→12→8→3 en Q15 → ~670 cycles → 16,8 µs.</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3.1 Le ROLO — Reduced Order Luenberger Observer</w:t>
      </w:r>
    </w:p>
    <w:p>
      <w:pPr>
        <w:spacing w:after="80" w:before="80" w:line="276"/>
      </w:pPr>
      <w:r>
        <w:rPr>
          <w:rFonts w:ascii="Arial" w:cs="Arial" w:eastAsia="Arial" w:hAnsi="Arial"/>
          <w:color w:val="000000"/>
          <w:sz w:val="22"/>
          <w:szCs w:val="22"/>
        </w:rPr>
        <w:t xml:space="preserve">Le ROLO est l'observateur de référence pour la commande sensorless MSAP. Dans le repère stationnaire (α, β), il estime les composantes de FCEM (e_α, e_β) à partir des équations :</w:t>
      </w:r>
    </w:p>
    <w:p>
      <w:pPr>
        <w:spacing w:after="60" w:before="60"/>
        <w:ind w:left="720"/>
      </w:pPr>
      <w:r>
        <w:rPr>
          <w:rFonts w:ascii="Courier New" w:cs="Courier New" w:eastAsia="Courier New" w:hAnsi="Courier New"/>
          <w:color w:val="2C5F2E"/>
          <w:sz w:val="18"/>
          <w:szCs w:val="18"/>
        </w:rPr>
        <w:t xml:space="preserve">V_α = R·i_α + L·(di_α/dt) + e_α</w:t>
      </w:r>
    </w:p>
    <w:p>
      <w:pPr>
        <w:spacing w:after="60" w:before="60"/>
        <w:ind w:left="720"/>
      </w:pPr>
      <w:r>
        <w:rPr>
          <w:rFonts w:ascii="Courier New" w:cs="Courier New" w:eastAsia="Courier New" w:hAnsi="Courier New"/>
          <w:color w:val="2C5F2E"/>
          <w:sz w:val="18"/>
          <w:szCs w:val="18"/>
        </w:rPr>
        <w:t xml:space="preserve">V_β = R·i_β + L·(di_β/dt) + e_β</w:t>
      </w:r>
    </w:p>
    <w:p>
      <w:pPr>
        <w:spacing w:after="80" w:before="80" w:line="276"/>
      </w:pPr>
      <w:r>
        <w:rPr>
          <w:rFonts w:ascii="Arial" w:cs="Arial" w:eastAsia="Arial" w:hAnsi="Arial"/>
          <w:color w:val="000000"/>
          <w:sz w:val="22"/>
          <w:szCs w:val="22"/>
        </w:rPr>
        <w:t xml:space="preserve">La position rotorique est extraite par arctan(−ê_α / ê_β). Coût approximatif : ~200 cycles Cortex-M3.</w:t>
      </w:r>
    </w:p>
    <w:p>
      <w:pPr>
        <w:spacing w:after="80" w:before="80" w:line="276"/>
      </w:pPr>
      <w:r>
        <w:rPr>
          <w:rFonts w:ascii="Arial" w:cs="Arial" w:eastAsia="Arial" w:hAnsi="Arial"/>
          <w:color w:val="000000"/>
          <w:sz w:val="22"/>
          <w:szCs w:val="22"/>
        </w:rPr>
        <w:t xml:space="preserve">Limites principales : sensibilité aux variations paramétriques (Rs avec la température, ψf avec le vieillissement), difficultés aux très basses vitesses, et manque de robustesse en single shunt où le rapport signal/bruit est déjà dégradé.</w:t>
      </w:r>
    </w:p>
    <w:p>
      <w:pPr>
        <w:pStyle w:val="Heading2"/>
        <w:spacing w:after="140" w:before="280"/>
      </w:pPr>
      <w:r>
        <w:rPr>
          <w:rFonts w:ascii="Arial" w:cs="Arial" w:eastAsia="Arial" w:hAnsi="Arial"/>
          <w:b/>
          <w:bCs/>
          <w:color w:val="3C3489"/>
          <w:sz w:val="26"/>
          <w:szCs w:val="26"/>
        </w:rPr>
        <w:t xml:space="preserve">3.2 Problème central de la reconstruction single shunt</w:t>
      </w:r>
    </w:p>
    <w:p>
      <w:pPr>
        <w:spacing w:after="80" w:before="80" w:line="276"/>
      </w:pPr>
      <w:r>
        <w:rPr>
          <w:rFonts w:ascii="Arial" w:cs="Arial" w:eastAsia="Arial" w:hAnsi="Arial"/>
          <w:color w:val="000000"/>
          <w:sz w:val="22"/>
          <w:szCs w:val="22"/>
        </w:rPr>
        <w:t xml:space="preserve">Le single shunt souffre de zones aveugles de modulation : dans les secteurs où deux vecteurs actifs du SVPWM sont trop courts (rapport cyclique &gt; ~85–90% ou proche de 0), les deux impulsions de courant dans la résistance shunt se chevauchent ou l'une est trop courte pour être échantillonnée.</w:t>
      </w:r>
    </w:p>
    <w:p>
      <w:pPr>
        <w:spacing w:after="80" w:before="80" w:line="276"/>
      </w:pPr>
      <w:r>
        <w:rPr>
          <w:rFonts w:ascii="Arial" w:cs="Arial" w:eastAsia="Arial" w:hAnsi="Arial"/>
          <w:color w:val="000000"/>
          <w:sz w:val="22"/>
          <w:szCs w:val="22"/>
        </w:rPr>
        <w:t xml:space="preserve">Les méthodes classiques compensent par injection de vecteurs additionnels (duty-cycle compensation, sector shifting), ce qui introduit une distorsion de tension et dégrade la commande aux basses vitesses.</w:t>
      </w:r>
    </w:p>
    <w:p>
      <w:pPr>
        <w:pStyle w:val="Heading2"/>
        <w:spacing w:after="140" w:before="280"/>
      </w:pPr>
      <w:r>
        <w:rPr>
          <w:rFonts w:ascii="Arial" w:cs="Arial" w:eastAsia="Arial" w:hAnsi="Arial"/>
          <w:b/>
          <w:bCs/>
          <w:color w:val="3C3489"/>
          <w:sz w:val="26"/>
          <w:szCs w:val="26"/>
        </w:rPr>
        <w:t xml:space="preserve">3.3 La loss function PINN proposée</w:t>
      </w:r>
    </w:p>
    <w:p>
      <w:pPr>
        <w:spacing w:after="80" w:before="80" w:line="276"/>
      </w:pPr>
      <w:r>
        <w:rPr>
          <w:rFonts w:ascii="Arial" w:cs="Arial" w:eastAsia="Arial" w:hAnsi="Arial"/>
          <w:color w:val="000000"/>
          <w:sz w:val="22"/>
          <w:szCs w:val="22"/>
        </w:rPr>
        <w:t xml:space="preserve">L'entraînement offline se fait sur PC avec float32. La loss comporte quatre termes :</w:t>
      </w:r>
    </w:p>
    <w:p>
      <w:pPr>
        <w:spacing w:after="60" w:before="60"/>
        <w:ind w:left="720"/>
      </w:pPr>
      <w:r>
        <w:rPr>
          <w:rFonts w:ascii="Courier New" w:cs="Courier New" w:eastAsia="Courier New" w:hAnsi="Courier New"/>
          <w:color w:val="2C5F2E"/>
          <w:sz w:val="18"/>
          <w:szCs w:val="18"/>
        </w:rPr>
        <w:t xml:space="preserve">L_total = λ₁·L_data + λ₂·L_phys + λ₃·L_sector + λ₄·L_continuité</w:t>
      </w:r>
    </w:p>
    <w:p>
      <w:pPr>
        <w:pStyle w:val="ListParagraph"/>
        <w:numPr>
          <w:ilvl w:val="0"/>
          <w:numId w:val="2"/>
        </w:numPr>
        <w:spacing w:after="60" w:before="60"/>
      </w:pPr>
      <w:r>
        <w:rPr>
          <w:rFonts w:ascii="Arial" w:cs="Arial" w:eastAsia="Arial" w:hAnsi="Arial"/>
          <w:color w:val="000000"/>
          <w:sz w:val="22"/>
          <w:szCs w:val="22"/>
        </w:rPr>
        <w:t xml:space="preserve">L_data : erreur sur les courants reconstruits dans les secteurs non aveugles</w:t>
      </w:r>
    </w:p>
    <w:p>
      <w:pPr>
        <w:pStyle w:val="ListParagraph"/>
        <w:numPr>
          <w:ilvl w:val="0"/>
          <w:numId w:val="2"/>
        </w:numPr>
        <w:spacing w:after="60" w:before="60"/>
      </w:pPr>
      <w:r>
        <w:rPr>
          <w:rFonts w:ascii="Arial" w:cs="Arial" w:eastAsia="Arial" w:hAnsi="Arial"/>
          <w:color w:val="000000"/>
          <w:sz w:val="22"/>
          <w:szCs w:val="22"/>
        </w:rPr>
        <w:t xml:space="preserve">L_phys : résidu des équations dq — contrainte PINN : ||Vd − (Rs·id − ωe·Lq·iq)||² + ||Vq − (Rs·iq + ωe·(Ld·id + ψf))||²</w:t>
      </w:r>
    </w:p>
    <w:p>
      <w:pPr>
        <w:pStyle w:val="ListParagraph"/>
        <w:numPr>
          <w:ilvl w:val="0"/>
          <w:numId w:val="2"/>
        </w:numPr>
        <w:spacing w:after="60" w:before="60"/>
      </w:pPr>
      <w:r>
        <w:rPr>
          <w:rFonts w:ascii="Arial" w:cs="Arial" w:eastAsia="Arial" w:hAnsi="Arial"/>
          <w:color w:val="000000"/>
          <w:sz w:val="22"/>
          <w:szCs w:val="22"/>
        </w:rPr>
        <w:t xml:space="preserve">L_sector : transitions intersecteur — pénalise les discontinuités à ±60° électriques</w:t>
      </w:r>
    </w:p>
    <w:p>
      <w:pPr>
        <w:pStyle w:val="ListParagraph"/>
        <w:numPr>
          <w:ilvl w:val="0"/>
          <w:numId w:val="2"/>
        </w:numPr>
        <w:spacing w:after="60" w:before="60"/>
      </w:pPr>
      <w:r>
        <w:rPr>
          <w:rFonts w:ascii="Arial" w:cs="Arial" w:eastAsia="Arial" w:hAnsi="Arial"/>
          <w:color w:val="000000"/>
          <w:sz w:val="22"/>
          <w:szCs w:val="22"/>
        </w:rPr>
        <w:t xml:space="preserve">L_continuité : garantit la lipschitzianité par rapport à θ, évite les sauts lors du changement de secteur SVPWM</w:t>
      </w:r>
    </w:p>
    <w:p>
      <w:pPr>
        <w:spacing w:after="80" w:before="80" w:line="276"/>
      </w:pPr>
      <w:r>
        <w:rPr>
          <w:rFonts w:ascii="Arial" w:cs="Arial" w:eastAsia="Arial" w:hAnsi="Arial"/>
          <w:color w:val="000000"/>
          <w:sz w:val="22"/>
          <w:szCs w:val="22"/>
        </w:rPr>
        <w:t xml:space="preserve">Une fois entraîné, le réseau est quantifié en Q15 avec calibration post-entraînement, puis déployé comme une fonction C : produit matrice-vecteur en entiers 16 bits, activation ReLU tabulée, répété deux fois.</w:t>
      </w:r>
    </w:p>
    <w:p>
      <w:pPr>
        <w:pStyle w:val="Heading2"/>
        <w:spacing w:after="140" w:before="280"/>
      </w:pPr>
      <w:r>
        <w:rPr>
          <w:rFonts w:ascii="Arial" w:cs="Arial" w:eastAsia="Arial" w:hAnsi="Arial"/>
          <w:b/>
          <w:bCs/>
          <w:color w:val="3C3489"/>
          <w:sz w:val="26"/>
          <w:szCs w:val="26"/>
        </w:rPr>
        <w:t xml:space="preserve">3.4 Trois contributions publiables</w:t>
      </w:r>
    </w:p>
    <w:p>
      <w:pPr>
        <w:pStyle w:val="ListParagraph"/>
        <w:numPr>
          <w:ilvl w:val="0"/>
          <w:numId w:val="3"/>
        </w:numPr>
        <w:spacing w:after="60" w:before="60"/>
      </w:pPr>
      <w:r>
        <w:rPr>
          <w:rFonts w:ascii="Arial" w:cs="Arial" w:eastAsia="Arial" w:hAnsi="Arial"/>
          <w:color w:val="000000"/>
          <w:sz w:val="22"/>
          <w:szCs w:val="22"/>
        </w:rPr>
        <w:t xml:space="preserve">Contribution théorique : démonstration que les contraintes physiques du PINN sont préservables sous quantification Q15 avec une borne d'erreur quantifiable sur le résidu physique. Résultat de type quantization-aware PINN training.</w:t>
      </w:r>
    </w:p>
    <w:p>
      <w:pPr>
        <w:pStyle w:val="ListParagraph"/>
        <w:numPr>
          <w:ilvl w:val="0"/>
          <w:numId w:val="3"/>
        </w:numPr>
        <w:spacing w:after="60" w:before="60"/>
      </w:pPr>
      <w:r>
        <w:rPr>
          <w:rFonts w:ascii="Arial" w:cs="Arial" w:eastAsia="Arial" w:hAnsi="Arial"/>
          <w:color w:val="000000"/>
          <w:sz w:val="22"/>
          <w:szCs w:val="22"/>
        </w:rPr>
        <w:t xml:space="preserve">Contribution algorithmique : architecture de réseau pour la reconstruction single shunt en zone aveugle, avec loss couplant contrainte physique MSAP et continuité intersecteur. Objectif : élimination ou réduction des injections de vecteurs compensatoires.</w:t>
      </w:r>
    </w:p>
    <w:p>
      <w:pPr>
        <w:pStyle w:val="ListParagraph"/>
        <w:numPr>
          <w:ilvl w:val="0"/>
          <w:numId w:val="3"/>
        </w:numPr>
        <w:spacing w:after="60" w:before="60"/>
      </w:pPr>
      <w:r>
        <w:rPr>
          <w:rFonts w:ascii="Arial" w:cs="Arial" w:eastAsia="Arial" w:hAnsi="Arial"/>
          <w:color w:val="000000"/>
          <w:sz w:val="22"/>
          <w:szCs w:val="22"/>
        </w:rPr>
        <w:t xml:space="preserve">Contribution expérimentale : validation temps réel sur Cortex-M3/M4 sans FPU à 40 MHz. Benchmark face au ROLO classique et au SMO. Mesure des cycles effectifs, précision de reconstruction, stabilité boucle fermée sensorless.</w:t>
      </w:r>
    </w:p>
    <w:p>
      <w:pPr>
        <w:pStyle w:val="Heading2"/>
        <w:spacing w:after="140" w:before="280"/>
      </w:pPr>
      <w:r>
        <w:rPr>
          <w:rFonts w:ascii="Arial" w:cs="Arial" w:eastAsia="Arial" w:hAnsi="Arial"/>
          <w:b/>
          <w:bCs/>
          <w:color w:val="3C3489"/>
          <w:sz w:val="26"/>
          <w:szCs w:val="26"/>
        </w:rPr>
        <w:t xml:space="preserve">3.5 Cibles éditoriales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Journal / Conférence</w:t>
            </w:r>
          </w:p>
        </w:tc>
        <w:tc>
          <w:tcPr>
            <w:tcW w:type="dxa" w:w="38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Volet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IEEE Transactions on Industrial Electronics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Commande MSAP sensorless single shunt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IEEE Transactions on Power Electronics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Commande MSAP sensorless single shunt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IEEE Embedded Systems Letters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Quantification et déploiement MCU</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IEEE Transactions on Industrial Informatics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Volet embarqué et TinyML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IECON / ECCE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Paper conférence préliminaire</w:t>
            </w:r>
          </w:p>
        </w:tc>
      </w:tr>
    </w:tbl>
    <w:p>
      <w:pPr>
        <w:spacing w:after="0" w:before="120"/>
      </w:pP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4. Architecture du Simulateur Spinotor</w:t>
      </w:r>
    </w:p>
    <w:p>
      <w:pPr>
        <w:spacing w:after="80" w:before="80" w:line="276"/>
      </w:pPr>
      <w:r>
        <w:rPr>
          <w:rFonts w:ascii="Arial" w:cs="Arial" w:eastAsia="Arial" w:hAnsi="Arial"/>
          <w:color w:val="000000"/>
          <w:sz w:val="22"/>
          <w:szCs w:val="22"/>
        </w:rPr>
        <w:t xml:space="preserve">Spinotor est un simulateur Python de commande de moteurs BLDC/PMSM, hardware-réaliste, conçu pour la recherche académique sur les systèmes embarqués contraints. Dépôt GitHub : github.com/aminekhettat/spinotor.</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4.1 Structure des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8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src/core/motor_model.py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BLDCMotor — modèles scalar, dq, pinn. Intégration RK4. FCEM trapézoïdale et sinusoïdale. Saturation magnétique.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src/core/simulation_engine.py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SimulationEngine — orchestration moteur, charge, alimentation, mesure courant, historique complet.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src/core/pinn_model.py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PINNTrainer (PyTorch, offline) + PINNInferenceModel (NumPy pur, déploiement MCU)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src/control/transforms.py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Transformées Clarke et Park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src/control/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FOC, SVM, V/Hz, adaptive tuning, field weakening calibrator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src/hardware/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HardwareInterface, InverterCurrentSense (single shunt modélisé)</w:t>
            </w:r>
          </w:p>
        </w:tc>
      </w:tr>
    </w:tbl>
    <w:p>
      <w:pPr>
        <w:spacing w:after="0" w:before="120"/>
      </w:pPr>
    </w:p>
    <w:p>
      <w:pPr>
        <w:pStyle w:val="Heading2"/>
        <w:spacing w:after="140" w:before="280"/>
      </w:pPr>
      <w:r>
        <w:rPr>
          <w:rFonts w:ascii="Arial" w:cs="Arial" w:eastAsia="Arial" w:hAnsi="Arial"/>
          <w:b/>
          <w:bCs/>
          <w:color w:val="3C3489"/>
          <w:sz w:val="26"/>
          <w:szCs w:val="26"/>
        </w:rPr>
        <w:t xml:space="preserve">4.2 Point d'entrée du module PINN</w:t>
      </w:r>
    </w:p>
    <w:p>
      <w:pPr>
        <w:spacing w:after="80" w:before="80" w:line="276"/>
      </w:pPr>
      <w:r>
        <w:rPr>
          <w:rFonts w:ascii="Arial" w:cs="Arial" w:eastAsia="Arial" w:hAnsi="Arial"/>
          <w:color w:val="000000"/>
          <w:sz w:val="22"/>
          <w:szCs w:val="22"/>
        </w:rPr>
        <w:t xml:space="preserve">Le branchement dans BLDCMotor s'effectue via un nouveau model_type='pinn' dans _state_derivatives(). L'intégration ne modifie que ~20 lignes dans motor_model.py.</w:t>
      </w:r>
    </w:p>
    <w:p>
      <w:pPr>
        <w:spacing w:after="60" w:before="60"/>
        <w:ind w:left="720"/>
      </w:pPr>
      <w:r>
        <w:rPr>
          <w:rFonts w:ascii="Courier New" w:cs="Courier New" w:eastAsia="Courier New" w:hAnsi="Courier New"/>
          <w:color w:val="2C5F2E"/>
          <w:sz w:val="18"/>
          <w:szCs w:val="18"/>
        </w:rPr>
        <w:t xml:space="preserve">if self.params.model_type == 'pinn' and self._pinn_model is not None:</w:t>
      </w:r>
    </w:p>
    <w:p>
      <w:pPr>
        <w:spacing w:after="60" w:before="60"/>
        <w:ind w:left="720"/>
      </w:pPr>
      <w:r>
        <w:rPr>
          <w:rFonts w:ascii="Courier New" w:cs="Courier New" w:eastAsia="Courier New" w:hAnsi="Courier New"/>
          <w:color w:val="2C5F2E"/>
          <w:sz w:val="18"/>
          <w:szCs w:val="18"/>
        </w:rPr>
        <w:t xml:space="preserve">    return self._pinn_model.predict_derivatives(state, voltages, poles_pairs)</w:t>
      </w:r>
    </w:p>
    <w:p>
      <w:pPr>
        <w:pStyle w:val="Heading2"/>
        <w:spacing w:after="140" w:before="280"/>
      </w:pPr>
      <w:r>
        <w:rPr>
          <w:rFonts w:ascii="Arial" w:cs="Arial" w:eastAsia="Arial" w:hAnsi="Arial"/>
          <w:b/>
          <w:bCs/>
          <w:color w:val="3C3489"/>
          <w:sz w:val="26"/>
          <w:szCs w:val="26"/>
        </w:rPr>
        <w:t xml:space="preserve">4.3 Workflow d'entraînement et de déploiement</w:t>
      </w:r>
    </w:p>
    <w:p>
      <w:pPr>
        <w:pStyle w:val="ListParagraph"/>
        <w:numPr>
          <w:ilvl w:val="0"/>
          <w:numId w:val="3"/>
        </w:numPr>
        <w:spacing w:after="60" w:before="60"/>
      </w:pPr>
      <w:r>
        <w:rPr>
          <w:rFonts w:ascii="Arial" w:cs="Arial" w:eastAsia="Arial" w:hAnsi="Arial"/>
          <w:color w:val="000000"/>
          <w:sz w:val="22"/>
          <w:szCs w:val="22"/>
        </w:rPr>
        <w:t xml:space="preserve">Lancer une simulation avec model_type='dq' pour générer des trajectoires d'entraînement</w:t>
      </w:r>
    </w:p>
    <w:p>
      <w:pPr>
        <w:pStyle w:val="ListParagraph"/>
        <w:numPr>
          <w:ilvl w:val="0"/>
          <w:numId w:val="3"/>
        </w:numPr>
        <w:spacing w:after="60" w:before="60"/>
      </w:pPr>
      <w:r>
        <w:rPr>
          <w:rFonts w:ascii="Arial" w:cs="Arial" w:eastAsia="Arial" w:hAnsi="Arial"/>
          <w:color w:val="000000"/>
          <w:sz w:val="22"/>
          <w:szCs w:val="22"/>
        </w:rPr>
        <w:t xml:space="preserve">Appeler engine.get_history() — retourne currents_a_true, omega, theta, voltages_*</w:t>
      </w:r>
    </w:p>
    <w:p>
      <w:pPr>
        <w:pStyle w:val="ListParagraph"/>
        <w:numPr>
          <w:ilvl w:val="0"/>
          <w:numId w:val="3"/>
        </w:numPr>
        <w:spacing w:after="60" w:before="60"/>
      </w:pPr>
      <w:r>
        <w:rPr>
          <w:rFonts w:ascii="Arial" w:cs="Arial" w:eastAsia="Arial" w:hAnsi="Arial"/>
          <w:color w:val="000000"/>
          <w:sz w:val="22"/>
          <w:szCs w:val="22"/>
        </w:rPr>
        <w:t xml:space="preserve">PINNTrainer.fit(history) — entraînement PyTorch avec loss physique dq</w:t>
      </w:r>
    </w:p>
    <w:p>
      <w:pPr>
        <w:pStyle w:val="ListParagraph"/>
        <w:numPr>
          <w:ilvl w:val="0"/>
          <w:numId w:val="3"/>
        </w:numPr>
        <w:spacing w:after="60" w:before="60"/>
      </w:pPr>
      <w:r>
        <w:rPr>
          <w:rFonts w:ascii="Arial" w:cs="Arial" w:eastAsia="Arial" w:hAnsi="Arial"/>
          <w:color w:val="000000"/>
          <w:sz w:val="22"/>
          <w:szCs w:val="22"/>
        </w:rPr>
        <w:t xml:space="preserve">pinn.export_numpy() — export vers PINNInferenceModel NumPy pur</w:t>
      </w:r>
    </w:p>
    <w:p>
      <w:pPr>
        <w:pStyle w:val="ListParagraph"/>
        <w:numPr>
          <w:ilvl w:val="0"/>
          <w:numId w:val="3"/>
        </w:numPr>
        <w:spacing w:after="60" w:before="60"/>
      </w:pPr>
      <w:r>
        <w:rPr>
          <w:rFonts w:ascii="Arial" w:cs="Arial" w:eastAsia="Arial" w:hAnsi="Arial"/>
          <w:color w:val="000000"/>
          <w:sz w:val="22"/>
          <w:szCs w:val="22"/>
        </w:rPr>
        <w:t xml:space="preserve">motor.attach_pinn(pinn) — branchement dans BLDCMotor</w:t>
      </w:r>
    </w:p>
    <w:p>
      <w:pPr>
        <w:pStyle w:val="ListParagraph"/>
        <w:numPr>
          <w:ilvl w:val="0"/>
          <w:numId w:val="3"/>
        </w:numPr>
        <w:spacing w:after="60" w:before="60"/>
      </w:pPr>
      <w:r>
        <w:rPr>
          <w:rFonts w:ascii="Arial" w:cs="Arial" w:eastAsia="Arial" w:hAnsi="Arial"/>
          <w:color w:val="000000"/>
          <w:sz w:val="22"/>
          <w:szCs w:val="22"/>
        </w:rPr>
        <w:t xml:space="preserve">Relancer la simulation avec model_type='pinn' — le PINN remplace le modèle dq</w:t>
      </w:r>
    </w:p>
    <w:p>
      <w:pPr>
        <w:pStyle w:val="Heading2"/>
        <w:spacing w:after="140" w:before="280"/>
      </w:pPr>
      <w:r>
        <w:rPr>
          <w:rFonts w:ascii="Arial" w:cs="Arial" w:eastAsia="Arial" w:hAnsi="Arial"/>
          <w:b/>
          <w:bCs/>
          <w:color w:val="3C3489"/>
          <w:sz w:val="26"/>
          <w:szCs w:val="26"/>
        </w:rPr>
        <w:t xml:space="preserve">4.4 Architecture réseau (déploiement MCU)</w:t>
      </w:r>
    </w:p>
    <w:p>
      <w:pPr>
        <w:spacing w:after="80" w:before="80" w:line="276"/>
      </w:pPr>
      <w:r>
        <w:rPr>
          <w:rFonts w:ascii="Arial" w:cs="Arial" w:eastAsia="Arial" w:hAnsi="Arial"/>
          <w:color w:val="000000"/>
          <w:sz w:val="22"/>
          <w:szCs w:val="22"/>
        </w:rPr>
        <w:t xml:space="preserve">Architecture FC 2 couches tanh : entrée 7 (id, iq, ω, sin(θe), cos(θe), Vd, Vq) → couche cachée H=16 (tanh) → couche cachée H=16 (tanh) → sortie 3 (did/dt, diq/dt, dω/dt). Normalisation Z-score. Export Q15 pour inférence en virgule fixe.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single" w:color="7F77DD" w:sz="1"/>
              <w:right w:val="single" w:color="7F77DD" w:sz="1"/>
            </w:tcBorders>
            <w:shd w:fill="F5F4FC" w:val="clear"/>
            <w:tcMar>
              <w:top w:type="dxa" w:w="120"/>
              <w:left w:type="dxa" w:w="200"/>
              <w:bottom w:type="dxa" w:w="120"/>
              <w:right w:type="dxa" w:w="200"/>
            </w:tcMar>
          </w:tcPr>
          <w:p>
            <w:pPr>
              <w:spacing w:after="60" w:before="60"/>
            </w:pPr>
            <w:r>
              <w:rPr>
                <w:rFonts w:ascii="Arial" w:cs="Arial" w:eastAsia="Arial" w:hAnsi="Arial"/>
                <w:i/>
                <w:iCs/>
                <w:color w:val="26215C"/>
                <w:sz w:val="20"/>
                <w:szCs w:val="20"/>
              </w:rPr>
              <w:t xml:space="preserve">Budget Cortex-M3 @ 40 MHz, période PWM 100 µs : FOC classique ~730 cycles. PINN-Tiny FC 6→12→8→3 en Q15 : ~670 cycles (16,8 µs). Total : ~1400 cycles sur 4000 disponibles. Marge confortable.</w:t>
            </w:r>
          </w:p>
        </w:tc>
      </w:tr>
    </w:tbl>
    <w:p>
      <w:pPr>
        <w:spacing w:after="0" w:before="120"/>
      </w:pP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5. Branding : Nom, Logo et Identité Visuelle</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5.1 Choix du nom</w:t>
      </w:r>
    </w:p>
    <w:p>
      <w:pPr>
        <w:spacing w:after="80" w:before="80" w:line="276"/>
      </w:pPr>
      <w:r>
        <w:rPr>
          <w:rFonts w:ascii="Arial" w:cs="Arial" w:eastAsia="Arial" w:hAnsi="Arial"/>
          <w:color w:val="000000"/>
          <w:sz w:val="22"/>
          <w:szCs w:val="22"/>
        </w:rPr>
        <w:t xml:space="preserve">Après analyse de disponibilité sur PyPI et GitHub, et évaluation de 20+ candidats, le nom retenu est SPINOTOR.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single" w:color="7F77DD" w:sz="1"/>
              <w:right w:val="single" w:color="7F77DD" w:sz="1"/>
            </w:tcBorders>
            <w:shd w:fill="F5F4FC" w:val="clear"/>
            <w:tcMar>
              <w:top w:type="dxa" w:w="120"/>
              <w:left w:type="dxa" w:w="200"/>
              <w:bottom w:type="dxa" w:w="120"/>
              <w:right w:type="dxa" w:w="200"/>
            </w:tcMar>
          </w:tcPr>
          <w:p>
            <w:pPr>
              <w:spacing w:after="60" w:before="60"/>
            </w:pPr>
            <w:r>
              <w:rPr>
                <w:rFonts w:ascii="Arial" w:cs="Arial" w:eastAsia="Arial" w:hAnsi="Arial"/>
                <w:i/>
                <w:iCs/>
                <w:color w:val="26215C"/>
                <w:sz w:val="20"/>
                <w:szCs w:val="20"/>
              </w:rPr>
              <w:t xml:space="preserve">SPINOTOR = Spin + Rotor. Libre sur PyPI et GitHub dans le domaine moteur. Prononçable identiquement en français, anglais et arabe. Citable dans un article IEEE : 'Simulations were performed using Spinotor v1.0'.</w:t>
            </w:r>
          </w:p>
        </w:tc>
      </w:tr>
    </w:tbl>
    <w:p>
      <w:pPr>
        <w:spacing w:after="0" w:before="120"/>
      </w:pPr>
    </w:p>
    <w:p>
      <w:pPr>
        <w:pStyle w:val="Heading2"/>
        <w:spacing w:after="140" w:before="280"/>
      </w:pPr>
      <w:r>
        <w:rPr>
          <w:rFonts w:ascii="Arial" w:cs="Arial" w:eastAsia="Arial" w:hAnsi="Arial"/>
          <w:b/>
          <w:bCs/>
          <w:color w:val="3C3489"/>
          <w:sz w:val="26"/>
          <w:szCs w:val="26"/>
        </w:rPr>
        <w:t xml:space="preserve">5.2 Noms éliminés et raisons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68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Raison d'élimination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SIMBA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Pris — outil commercial AESIM.tech (simba.io), même domaine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PIMSIM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Pris — simulateur mémoire Processing-In-Memory, conférence DATE IEEE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TwinDrive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Libre mais limitant — enferme le projet dans le modèle jumeau uniquement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Volta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Pris sur PyPI — package Yandex pour mesures de consommation mobile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Ampère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Pris sur PyPI — module Python pour modèles de batteries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Spinoza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Disponible mais bruit de visibilité — Spinoza Centre for Neuroimaging Amsterdam</w:t>
            </w:r>
          </w:p>
        </w:tc>
      </w:tr>
    </w:tbl>
    <w:p>
      <w:pPr>
        <w:spacing w:after="0" w:before="120"/>
      </w:pPr>
    </w:p>
    <w:p>
      <w:pPr>
        <w:pStyle w:val="Heading2"/>
        <w:spacing w:after="140" w:before="280"/>
      </w:pPr>
      <w:r>
        <w:rPr>
          <w:rFonts w:ascii="Arial" w:cs="Arial" w:eastAsia="Arial" w:hAnsi="Arial"/>
          <w:b/>
          <w:bCs/>
          <w:color w:val="3C3489"/>
          <w:sz w:val="26"/>
          <w:szCs w:val="26"/>
        </w:rPr>
        <w:t xml:space="preserve">5.3 Palette couleurs officielle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Code Hex</w:t>
            </w:r>
          </w:p>
        </w:tc>
        <w:tc>
          <w:tcPr>
            <w:tcW w:type="dxa" w:w="48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Violet principal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#534AB7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Fond logo, texte accent principal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Violet foncé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#3C3489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Contour, ombre, heading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Violet nuit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#26215C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Fond dark mode, fond nuit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Lavande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#7F77DD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Contour dark mode, éléments intermédiaires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Lavande clair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#AFA9EC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Éléments sur fond nuit, texte secondaire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Blanc ivoire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#EEEDFE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Flèche et hub sur fond violet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Fond clair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#F1EFE8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Variante logo fond blanc cassé</w:t>
            </w:r>
          </w:p>
        </w:tc>
      </w:tr>
    </w:tbl>
    <w:p>
      <w:pPr>
        <w:spacing w:after="0" w:before="120"/>
      </w:pPr>
    </w:p>
    <w:p>
      <w:pPr>
        <w:pStyle w:val="Heading2"/>
        <w:spacing w:after="140" w:before="280"/>
      </w:pPr>
      <w:r>
        <w:rPr>
          <w:rFonts w:ascii="Arial" w:cs="Arial" w:eastAsia="Arial" w:hAnsi="Arial"/>
          <w:b/>
          <w:bCs/>
          <w:color w:val="3C3489"/>
          <w:sz w:val="26"/>
          <w:szCs w:val="26"/>
        </w:rPr>
        <w:t xml:space="preserve">5.4 Fichiers logos générés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spinotor_logo_v1_violet_plein.svg / .png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SVG + PNG 512px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Site web, documentation, présentation — fond violet plein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spinotor_logo_v2_fond_clair.svg / .png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SVG + PNG 512px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Impression, fond blanc — contour et flèche violets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spinotor_logo_v3_fond_nuit.svg / .png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SVG + PNG 512px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README dark mode, slides sombres — lavande sur nuit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spinotor_favicon_32x32.svg / .png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SVG + PNG 32px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Onglet navigateur, bookmark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spinotor_favicon_64x64.png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PNG 64px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Favicon haute résolution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spinotor_icone_app_256x256.svg / .png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SVG + PNG 256px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Icône exécutable Windows / macOS / PyPI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spinotor_icone_app_512x512.png / .jpg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PNG + JPG 512px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Icône haute résolution, usage général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spinotor_badge_pypi_readme.svg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SVG 400×120px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Badge horizontal README GitHub / PyPI</w:t>
            </w:r>
          </w:p>
        </w:tc>
      </w:tr>
    </w:tbl>
    <w:p>
      <w:pPr>
        <w:spacing w:after="0" w:before="120"/>
      </w:pP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6. Publication PyPI et Gestion du Dépôt GitHub</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6.1 Renommer le dépôt GitHub</w:t>
      </w:r>
    </w:p>
    <w:p>
      <w:pPr>
        <w:spacing w:after="80" w:before="80" w:line="276"/>
      </w:pPr>
      <w:r>
        <w:rPr>
          <w:rFonts w:ascii="Arial" w:cs="Arial" w:eastAsia="Arial" w:hAnsi="Arial"/>
          <w:color w:val="000000"/>
          <w:sz w:val="22"/>
          <w:szCs w:val="22"/>
        </w:rPr>
        <w:t xml:space="preserve">Le dépôt original BLDC-Simulator doit être renommé spinotor via Settings → Repository name → Rename dans l'interface GitHub.</w:t>
      </w:r>
    </w:p>
    <w:p>
      <w:pPr>
        <w:spacing w:after="80" w:before="80" w:line="276"/>
      </w:pPr>
      <w:r>
        <w:rPr>
          <w:rFonts w:ascii="Arial" w:cs="Arial" w:eastAsia="Arial" w:hAnsi="Arial"/>
          <w:color w:val="000000"/>
          <w:sz w:val="22"/>
          <w:szCs w:val="22"/>
        </w:rPr>
        <w:t xml:space="preserve">Mettre à jour le remote local :</w:t>
      </w:r>
    </w:p>
    <w:p>
      <w:pPr>
        <w:spacing w:after="60" w:before="60"/>
        <w:ind w:left="720"/>
      </w:pPr>
      <w:r>
        <w:rPr>
          <w:rFonts w:ascii="Courier New" w:cs="Courier New" w:eastAsia="Courier New" w:hAnsi="Courier New"/>
          <w:color w:val="2C5F2E"/>
          <w:sz w:val="18"/>
          <w:szCs w:val="18"/>
        </w:rPr>
        <w:t xml:space="preserve">git remote set-url origin https://github.com/aminekhettat/spinotor</w:t>
      </w:r>
    </w:p>
    <w:p>
      <w:pPr>
        <w:spacing w:after="80" w:before="80" w:line="276"/>
      </w:pPr>
      <w:r>
        <w:rPr>
          <w:rFonts w:ascii="Arial" w:cs="Arial" w:eastAsia="Arial" w:hAnsi="Arial"/>
          <w:color w:val="000000"/>
          <w:sz w:val="22"/>
          <w:szCs w:val="22"/>
        </w:rPr>
        <w:t xml:space="preserve">GitHub crée automatiquement une redirection depuis l'ancienne URL vers la nouvelle.</w:t>
      </w:r>
    </w:p>
    <w:p>
      <w:pPr>
        <w:pStyle w:val="Heading2"/>
        <w:spacing w:after="140" w:before="280"/>
      </w:pPr>
      <w:r>
        <w:rPr>
          <w:rFonts w:ascii="Arial" w:cs="Arial" w:eastAsia="Arial" w:hAnsi="Arial"/>
          <w:b/>
          <w:bCs/>
          <w:color w:val="3C3489"/>
          <w:sz w:val="26"/>
          <w:szCs w:val="26"/>
        </w:rPr>
        <w:t xml:space="preserve">6.2 Réserver le nom sur PyPI</w:t>
      </w:r>
    </w:p>
    <w:p>
      <w:pPr>
        <w:spacing w:after="80" w:before="80" w:line="276"/>
      </w:pPr>
      <w:r>
        <w:rPr>
          <w:rFonts w:ascii="Arial" w:cs="Arial" w:eastAsia="Arial" w:hAnsi="Arial"/>
          <w:color w:val="000000"/>
          <w:sz w:val="22"/>
          <w:szCs w:val="22"/>
        </w:rPr>
        <w:t xml:space="preserve">PyPI ne permet pas de réserver un nom à vide. La seule façon de bloquer 'spinotor' est de publier une version minimale (squelette). Contenu minimal requis :</w:t>
      </w:r>
    </w:p>
    <w:p>
      <w:pPr>
        <w:spacing w:after="60" w:before="60"/>
        <w:ind w:left="720"/>
      </w:pPr>
      <w:r>
        <w:rPr>
          <w:rFonts w:ascii="Courier New" w:cs="Courier New" w:eastAsia="Courier New" w:hAnsi="Courier New"/>
          <w:color w:val="2C5F2E"/>
          <w:sz w:val="18"/>
          <w:szCs w:val="18"/>
        </w:rPr>
        <w:t xml:space="preserve">spinotor/</w:t>
      </w:r>
    </w:p>
    <w:p>
      <w:pPr>
        <w:spacing w:after="60" w:before="60"/>
        <w:ind w:left="720"/>
      </w:pPr>
      <w:r>
        <w:rPr>
          <w:rFonts w:ascii="Courier New" w:cs="Courier New" w:eastAsia="Courier New" w:hAnsi="Courier New"/>
          <w:color w:val="2C5F2E"/>
          <w:sz w:val="18"/>
          <w:szCs w:val="18"/>
        </w:rPr>
        <w:t xml:space="preserve">    pyproject.toml</w:t>
      </w:r>
    </w:p>
    <w:p>
      <w:pPr>
        <w:spacing w:after="60" w:before="60"/>
        <w:ind w:left="720"/>
      </w:pPr>
      <w:r>
        <w:rPr>
          <w:rFonts w:ascii="Courier New" w:cs="Courier New" w:eastAsia="Courier New" w:hAnsi="Courier New"/>
          <w:color w:val="2C5F2E"/>
          <w:sz w:val="18"/>
          <w:szCs w:val="18"/>
        </w:rPr>
        <w:t xml:space="preserve">    src/spinotor/__init__.py   # __version__ = '0.1.0'</w:t>
      </w:r>
    </w:p>
    <w:p>
      <w:pPr>
        <w:spacing w:after="80" w:before="80" w:line="276"/>
      </w:pPr>
      <w:r>
        <w:rPr>
          <w:rFonts w:ascii="Arial" w:cs="Arial" w:eastAsia="Arial" w:hAnsi="Arial"/>
          <w:color w:val="000000"/>
          <w:sz w:val="22"/>
          <w:szCs w:val="22"/>
        </w:rPr>
        <w:t xml:space="preserve">Commandes de publication :</w:t>
      </w:r>
    </w:p>
    <w:p>
      <w:pPr>
        <w:spacing w:after="60" w:before="60"/>
        <w:ind w:left="720"/>
      </w:pPr>
      <w:r>
        <w:rPr>
          <w:rFonts w:ascii="Courier New" w:cs="Courier New" w:eastAsia="Courier New" w:hAnsi="Courier New"/>
          <w:color w:val="2C5F2E"/>
          <w:sz w:val="18"/>
          <w:szCs w:val="18"/>
        </w:rPr>
        <w:t xml:space="preserve">pip install build twine</w:t>
      </w:r>
    </w:p>
    <w:p>
      <w:pPr>
        <w:spacing w:after="60" w:before="60"/>
        <w:ind w:left="720"/>
      </w:pPr>
      <w:r>
        <w:rPr>
          <w:rFonts w:ascii="Courier New" w:cs="Courier New" w:eastAsia="Courier New" w:hAnsi="Courier New"/>
          <w:color w:val="2C5F2E"/>
          <w:sz w:val="18"/>
          <w:szCs w:val="18"/>
        </w:rPr>
        <w:t xml:space="preserve">python -m build</w:t>
      </w:r>
    </w:p>
    <w:p>
      <w:pPr>
        <w:spacing w:after="60" w:before="60"/>
        <w:ind w:left="720"/>
      </w:pPr>
      <w:r>
        <w:rPr>
          <w:rFonts w:ascii="Courier New" w:cs="Courier New" w:eastAsia="Courier New" w:hAnsi="Courier New"/>
          <w:color w:val="2C5F2E"/>
          <w:sz w:val="18"/>
          <w:szCs w:val="18"/>
        </w:rPr>
        <w:t xml:space="preserve">python -m twine upload dist/*</w:t>
      </w:r>
    </w:p>
    <w:p>
      <w:pPr>
        <w:spacing w:after="80" w:before="80" w:line="276"/>
      </w:pPr>
      <w:r>
        <w:rPr>
          <w:rFonts w:ascii="Arial" w:cs="Arial" w:eastAsia="Arial" w:hAnsi="Arial"/>
          <w:color w:val="000000"/>
          <w:sz w:val="22"/>
          <w:szCs w:val="22"/>
        </w:rPr>
        <w:t xml:space="preserve">Identifiants twine : username = __token__, password = votre API token PyPI.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single" w:color="7F77DD" w:sz="1"/>
              <w:right w:val="single" w:color="7F77DD" w:sz="1"/>
            </w:tcBorders>
            <w:shd w:fill="F5F4FC" w:val="clear"/>
            <w:tcMar>
              <w:top w:type="dxa" w:w="120"/>
              <w:left w:type="dxa" w:w="200"/>
              <w:bottom w:type="dxa" w:w="120"/>
              <w:right w:type="dxa" w:w="200"/>
            </w:tcMar>
          </w:tcPr>
          <w:p>
            <w:pPr>
              <w:spacing w:after="60" w:before="60"/>
            </w:pPr>
            <w:r>
              <w:rPr>
                <w:rFonts w:ascii="Arial" w:cs="Arial" w:eastAsia="Arial" w:hAnsi="Arial"/>
                <w:i/>
                <w:iCs/>
                <w:color w:val="26215C"/>
                <w:sz w:val="20"/>
                <w:szCs w:val="20"/>
              </w:rPr>
              <w:t xml:space="preserve">Conseil : tester d'abord sur TestPyPI (test.pypi.org) avec --repository testpypi avant la publication officielle.</w:t>
            </w:r>
          </w:p>
        </w:tc>
      </w:tr>
    </w:tbl>
    <w:p>
      <w:pPr>
        <w:spacing w:after="0" w:before="120"/>
      </w:pPr>
    </w:p>
    <w:p>
      <w:pPr>
        <w:pStyle w:val="Heading2"/>
        <w:spacing w:after="140" w:before="280"/>
      </w:pPr>
      <w:r>
        <w:rPr>
          <w:rFonts w:ascii="Arial" w:cs="Arial" w:eastAsia="Arial" w:hAnsi="Arial"/>
          <w:b/>
          <w:bCs/>
          <w:color w:val="3C3489"/>
          <w:sz w:val="26"/>
          <w:szCs w:val="26"/>
        </w:rPr>
        <w:t xml:space="preserve">6.3 Licence</w:t>
      </w:r>
    </w:p>
    <w:p>
      <w:pPr>
        <w:spacing w:after="80" w:before="80" w:line="276"/>
      </w:pPr>
      <w:r>
        <w:rPr>
          <w:rFonts w:ascii="Arial" w:cs="Arial" w:eastAsia="Arial" w:hAnsi="Arial"/>
          <w:color w:val="000000"/>
          <w:sz w:val="22"/>
          <w:szCs w:val="22"/>
        </w:rPr>
        <w:t xml:space="preserve">Licence personnalisée : Spinotor Non-Commercial Academic License 1.0. Usage académique, recherche, enseignement et personnel autorisé. Usage commercial, industriel ou redistribution dans un produit payant interdit sans accord écrit de l'auteur.</w:t>
      </w:r>
    </w:p>
    <w:p>
      <w:pPr>
        <w:spacing w:after="80" w:before="80" w:line="276"/>
      </w:pPr>
      <w:r>
        <w:rPr>
          <w:rFonts w:ascii="Arial" w:cs="Arial" w:eastAsia="Arial" w:hAnsi="Arial"/>
          <w:color w:val="000000"/>
          <w:sz w:val="22"/>
          <w:szCs w:val="22"/>
        </w:rPr>
        <w:t xml:space="preserve">Dans pyproject.toml : license = { text = 'Spinotor Non-Commercial Academic License 1.0' }</w:t>
      </w:r>
    </w:p>
    <w:p>
      <w:pPr>
        <w:spacing w:after="80" w:before="80" w:line="276"/>
      </w:pPr>
      <w:r>
        <w:rPr>
          <w:rFonts w:ascii="Arial" w:cs="Arial" w:eastAsia="Arial" w:hAnsi="Arial"/>
          <w:color w:val="000000"/>
          <w:sz w:val="22"/>
          <w:szCs w:val="22"/>
        </w:rPr>
        <w:t xml:space="preserve">GitHub affiche 'Custom License' — signal immédiat aux visiteurs que l'usage commercial est restreint.</w:t>
      </w: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7. Analyse Comparative : Spinotor vs Concurrents</w:t>
      </w:r>
    </w:p>
    <w:p>
      <w:pPr>
        <w:spacing w:after="80" w:before="80" w:line="276"/>
      </w:pPr>
      <w:r>
        <w:rPr>
          <w:rFonts w:ascii="Arial" w:cs="Arial" w:eastAsia="Arial" w:hAnsi="Arial"/>
          <w:color w:val="000000"/>
          <w:sz w:val="22"/>
          <w:szCs w:val="22"/>
        </w:rPr>
        <w:t xml:space="preserve">Deux simulateurs Python académiques occupent l'espace des entraînements électriques : motulator (Aalto University / ABB) et gym-electric-motor (Université de Paderborn). L'analyse ci-dessous positionne Spinotor par rapport à ces deux outils.</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7.1 Présentation des concurrents</w:t>
      </w:r>
    </w:p>
    <w:p>
      <w:pPr>
        <w:pStyle w:val="Heading3"/>
        <w:spacing w:after="100" w:before="200"/>
      </w:pPr>
      <w:r>
        <w:rPr>
          <w:rFonts w:ascii="Arial" w:cs="Arial" w:eastAsia="Arial" w:hAnsi="Arial"/>
          <w:b/>
          <w:bCs/>
          <w:color w:val="26215C"/>
          <w:sz w:val="22"/>
          <w:szCs w:val="22"/>
        </w:rPr>
        <w:t xml:space="preserve">motulator (Aalto University)</w:t>
      </w:r>
    </w:p>
    <w:p>
      <w:pPr>
        <w:spacing w:after="80" w:before="80" w:line="276"/>
      </w:pPr>
      <w:r>
        <w:rPr>
          <w:rFonts w:ascii="Arial" w:cs="Arial" w:eastAsia="Arial" w:hAnsi="Arial"/>
          <w:color w:val="000000"/>
          <w:sz w:val="22"/>
          <w:szCs w:val="22"/>
        </w:rPr>
        <w:t xml:space="preserve">Né en 2022, présenté à l'IEEE IEMDC 2023, sponsorisé par ABB Oy et le Research Council of Finland. Moteurs supportés : PMSM, SyRM, induction. Intégration RK4 ordre 5(4) via SciPy. Saturation magnétique avec LUT arbitraires depuis v0.6.0. Aucun module IA. Licence MIT. ~500 étoiles GitHub.</w:t>
      </w:r>
    </w:p>
    <w:p>
      <w:pPr>
        <w:pStyle w:val="Heading3"/>
        <w:spacing w:after="100" w:before="200"/>
      </w:pPr>
      <w:r>
        <w:rPr>
          <w:rFonts w:ascii="Arial" w:cs="Arial" w:eastAsia="Arial" w:hAnsi="Arial"/>
          <w:b/>
          <w:bCs/>
          <w:color w:val="26215C"/>
          <w:sz w:val="22"/>
          <w:szCs w:val="22"/>
        </w:rPr>
        <w:t xml:space="preserve">gym-electric-motor — GEM (Université de Paderborn)</w:t>
      </w:r>
    </w:p>
    <w:p>
      <w:pPr>
        <w:spacing w:after="80" w:before="80" w:line="276"/>
      </w:pPr>
      <w:r>
        <w:rPr>
          <w:rFonts w:ascii="Arial" w:cs="Arial" w:eastAsia="Arial" w:hAnsi="Arial"/>
          <w:color w:val="000000"/>
          <w:sz w:val="22"/>
          <w:szCs w:val="22"/>
        </w:rPr>
        <w:t xml:space="preserve">Toolbox Python pour simulation et RL de moteurs électriques, bâtie sur Farama Gymnasium. Moteurs : PMSM, SyRM, CC multiples. Publié dans JOSS 2021 et IEEE TNNLS 2022. Interface step/reset Gymnasium. Commandes PI automatisées et agents DDPG/DQN/PPO. Licence MIT. ~600 étoiles GitHub.</w:t>
      </w:r>
    </w:p>
    <w:p>
      <w:pPr>
        <w:pStyle w:val="Heading2"/>
        <w:spacing w:after="140" w:before="280"/>
      </w:pPr>
      <w:r>
        <w:rPr>
          <w:rFonts w:ascii="Arial" w:cs="Arial" w:eastAsia="Arial" w:hAnsi="Arial"/>
          <w:b/>
          <w:bCs/>
          <w:color w:val="3C3489"/>
          <w:sz w:val="26"/>
          <w:szCs w:val="26"/>
        </w:rPr>
        <w:t xml:space="preserve">7.2 Tableau comparatif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80"/>
        <w:gridCol w:w="2080"/>
      </w:tblGrid>
      <w:tr>
        <w:tc>
          <w:tcPr>
            <w:tcW w:type="dxa" w:w="3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Spinotor</w:t>
            </w:r>
          </w:p>
        </w:tc>
        <w:tc>
          <w:tcPr>
            <w:tcW w:type="dxa" w:w="208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motulator</w:t>
            </w:r>
          </w:p>
        </w:tc>
        <w:tc>
          <w:tcPr>
            <w:tcW w:type="dxa" w:w="208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GEM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Origine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Praticien embarqué, Algérie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Aalto / ABB, Finlande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Université Paderborn, Allemagne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Moteurs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BLDC, PMSM scalaire et dq</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PMSM, SyRM, induction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PMSM, SyRM, CC multiples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Single shunt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natif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Saturation magnétique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(flux weakening, Ld/Lq)</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(LUT arbitraires)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Modèle onduleur réel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(pertes, dead-time)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Partiel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Partiel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Mesure courant modélisée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(bruit ADC, shunt)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Module PINN / jumeau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(en développement)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Intégration 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 (prévu)</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natif (Gymnasium)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Interface hardware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 (HardwareInterface)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Licence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Non-commercial académique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Publication IEEE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IEMDC 2023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JOSS 2021 + TNNLS 2022</w:t>
            </w:r>
          </w:p>
        </w:tc>
      </w:tr>
    </w:tbl>
    <w:p>
      <w:pPr>
        <w:spacing w:after="0" w:before="120"/>
      </w:pPr>
    </w:p>
    <w:p>
      <w:pPr>
        <w:pStyle w:val="Heading2"/>
        <w:spacing w:after="140" w:before="280"/>
      </w:pPr>
      <w:r>
        <w:rPr>
          <w:rFonts w:ascii="Arial" w:cs="Arial" w:eastAsia="Arial" w:hAnsi="Arial"/>
          <w:b/>
          <w:bCs/>
          <w:color w:val="3C3489"/>
          <w:sz w:val="26"/>
          <w:szCs w:val="26"/>
        </w:rPr>
        <w:t xml:space="preserve">7.3 Positionnement stratégique</w:t>
      </w:r>
    </w:p>
    <w:p>
      <w:pPr>
        <w:spacing w:after="80" w:before="80" w:line="276"/>
      </w:pPr>
      <w:r>
        <w:rPr>
          <w:rFonts w:ascii="Arial" w:cs="Arial" w:eastAsia="Arial" w:hAnsi="Arial"/>
          <w:color w:val="000000"/>
          <w:sz w:val="22"/>
          <w:szCs w:val="22"/>
        </w:rPr>
        <w:t xml:space="preserve">motulator est le concurrent le plus sérieux sur le plan académique : bien documenté, sponsorisé par ABB, avec une rigueur numérique exemplaire. Sa force est la précision des modèles physiques. Sa faiblesse : absence totale d'IA et de modélisation hardware.</w:t>
      </w:r>
    </w:p>
    <w:p>
      <w:pPr>
        <w:spacing w:after="80" w:before="80" w:line="276"/>
      </w:pPr>
      <w:r>
        <w:rPr>
          <w:rFonts w:ascii="Arial" w:cs="Arial" w:eastAsia="Arial" w:hAnsi="Arial"/>
          <w:color w:val="000000"/>
          <w:sz w:val="22"/>
          <w:szCs w:val="22"/>
        </w:rPr>
        <w:t xml:space="preserve">GEM est le concurrent sur le volet RL : très populaire dans la communauté reinforcement learning, avec une interface Gymnasium éprouvée. Sa faiblesse : bac à sable RL avant tout, la chaîne de mesure n'est pas modélisée, le single shunt n'existe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
              <w:left w:val="single" w:color="7F77DD" w:sz="1"/>
              <w:bottom w:val="single" w:color="7F77DD" w:sz="1"/>
              <w:right w:val="single" w:color="7F77DD" w:sz="1"/>
            </w:tcBorders>
            <w:shd w:fill="F5F4FC" w:val="clear"/>
            <w:tcMar>
              <w:top w:type="dxa" w:w="120"/>
              <w:left w:type="dxa" w:w="200"/>
              <w:bottom w:type="dxa" w:w="120"/>
              <w:right w:type="dxa" w:w="200"/>
            </w:tcMar>
          </w:tcPr>
          <w:p>
            <w:pPr>
              <w:spacing w:after="60" w:before="60"/>
            </w:pPr>
            <w:r>
              <w:rPr>
                <w:rFonts w:ascii="Arial" w:cs="Arial" w:eastAsia="Arial" w:hAnsi="Arial"/>
                <w:i/>
                <w:iCs/>
                <w:color w:val="26215C"/>
                <w:sz w:val="20"/>
                <w:szCs w:val="20"/>
              </w:rPr>
              <w:t xml:space="preserve">Niche Spinotor : simulation hardware-réaliste incluant la chaîne de mesure single shunt, couplée à un jumeau PINN et à une interface hardware pour co-simulation. Aucun des deux concurrents n'adresse cette combinaison.</w:t>
            </w:r>
          </w:p>
        </w:tc>
      </w:tr>
    </w:tbl>
    <w:p>
      <w:pPr>
        <w:spacing w:after="0" w:before="120"/>
      </w:pP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8. Forums et Communautés</w:t>
      </w:r>
    </w:p>
    <w:p>
      <w:pPr>
        <w:spacing w:after="80" w:before="80" w:line="276"/>
      </w:pPr>
      <w:r>
        <w:rPr>
          <w:rFonts w:ascii="Arial" w:cs="Arial" w:eastAsia="Arial" w:hAnsi="Arial"/>
          <w:color w:val="000000"/>
          <w:sz w:val="22"/>
          <w:szCs w:val="22"/>
        </w:rPr>
        <w:t xml:space="preserve">Panorama des forums et communautés recommandés pour la diffusion et le développement de Spinotor, classés par niveau et type d'audience.</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8.1 Communautés techniques — Niveau ingénieur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Forum</w:t>
            </w:r>
          </w:p>
        </w:tc>
        <w:tc>
          <w:tcPr>
            <w:tcW w:type="dxa" w:w="30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SimpleFOC Community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community.simplefoc.com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FOC open source BLDC/stepper, 1500+ membres, très actif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VESC Project Forum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vesc-project.com/forum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FOC haute performance embarqué réel, développeurs et bêta-testeurs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About Circuits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forum.allaboutcircuits.com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Ingénierie électronique généraliste, discussions BLDC/PMSM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Automation &amp; Control Engineering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control.com/forums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Niveau académique/industriel, références IEEE directes</w:t>
            </w:r>
          </w:p>
        </w:tc>
      </w:tr>
    </w:tbl>
    <w:p>
      <w:pPr>
        <w:spacing w:after="0" w:before="120"/>
      </w:pPr>
    </w:p>
    <w:p>
      <w:pPr>
        <w:pStyle w:val="Heading2"/>
        <w:spacing w:after="140" w:before="280"/>
      </w:pPr>
      <w:r>
        <w:rPr>
          <w:rFonts w:ascii="Arial" w:cs="Arial" w:eastAsia="Arial" w:hAnsi="Arial"/>
          <w:b/>
          <w:bCs/>
          <w:color w:val="3C3489"/>
          <w:sz w:val="26"/>
          <w:szCs w:val="26"/>
        </w:rPr>
        <w:t xml:space="preserve">8.2 Communautés fabricants semiconducteurs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Forum</w:t>
            </w:r>
          </w:p>
        </w:tc>
        <w:tc>
          <w:tcPr>
            <w:tcW w:type="dxa" w:w="350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60"/>
            <w:tcBorders>
              <w:top w:val="single" w:color="AAAAAA" w:sz="1"/>
              <w:left w:val="single" w:color="AAAAAA" w:sz="1"/>
              <w:bottom w:val="single" w:color="AAAAAA" w:sz="1"/>
              <w:right w:val="single" w:color="AAAAAA"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STMicroelectronics Motor Control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community.st.com/t5/stm32-mcus-motor-control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FOC sensorless STM32, Cortex-M cible Spinotor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Infineon Developer Community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community.infineon.com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MOTIX BLDC/PMSM, Cortex-M0 XMC</w:t>
            </w:r>
          </w:p>
        </w:tc>
      </w:tr>
    </w:tbl>
    <w:p>
      <w:pPr>
        <w:spacing w:after="0" w:before="120"/>
      </w:pPr>
    </w:p>
    <w:p>
      <w:pPr>
        <w:pStyle w:val="Heading2"/>
        <w:spacing w:after="140" w:before="280"/>
      </w:pPr>
      <w:r>
        <w:rPr>
          <w:rFonts w:ascii="Arial" w:cs="Arial" w:eastAsia="Arial" w:hAnsi="Arial"/>
          <w:b/>
          <w:bCs/>
          <w:color w:val="3C3489"/>
          <w:sz w:val="26"/>
          <w:szCs w:val="26"/>
        </w:rPr>
        <w:t xml:space="preserve">8.3 Communautés académiques</w:t>
      </w:r>
    </w:p>
    <w:p>
      <w:pPr>
        <w:pStyle w:val="ListParagraph"/>
        <w:numPr>
          <w:ilvl w:val="0"/>
          <w:numId w:val="2"/>
        </w:numPr>
        <w:spacing w:after="60" w:before="60"/>
      </w:pPr>
      <w:r>
        <w:rPr>
          <w:rFonts w:ascii="Arial" w:cs="Arial" w:eastAsia="Arial" w:hAnsi="Arial"/>
          <w:color w:val="000000"/>
          <w:sz w:val="22"/>
          <w:szCs w:val="22"/>
        </w:rPr>
        <w:t xml:space="preserve">IEEE Collabratec (ieee-collabratec.ieee.org) — groupes PELS et IES, adhésion IEEE recommandée</w:t>
      </w:r>
    </w:p>
    <w:p>
      <w:pPr>
        <w:pStyle w:val="ListParagraph"/>
        <w:numPr>
          <w:ilvl w:val="0"/>
          <w:numId w:val="2"/>
        </w:numPr>
        <w:spacing w:after="60" w:before="60"/>
      </w:pPr>
      <w:r>
        <w:rPr>
          <w:rFonts w:ascii="Arial" w:cs="Arial" w:eastAsia="Arial" w:hAnsi="Arial"/>
          <w:color w:val="000000"/>
          <w:sz w:val="22"/>
          <w:szCs w:val="22"/>
        </w:rPr>
        <w:t xml:space="preserve">ResearchGate — contact direct des auteurs de papiers PINN PMSM cités dans la bibliographie</w:t>
      </w:r>
    </w:p>
    <w:p>
      <w:pPr>
        <w:pStyle w:val="ListParagraph"/>
        <w:numPr>
          <w:ilvl w:val="0"/>
          <w:numId w:val="2"/>
        </w:numPr>
        <w:spacing w:after="60" w:before="60"/>
      </w:pPr>
      <w:r>
        <w:rPr>
          <w:rFonts w:ascii="Arial" w:cs="Arial" w:eastAsia="Arial" w:hAnsi="Arial"/>
          <w:color w:val="000000"/>
          <w:sz w:val="22"/>
          <w:szCs w:val="22"/>
        </w:rPr>
        <w:t xml:space="preserve">GitHub Discussions de motulator et gym-electric-motor — pairs académiques directs</w:t>
      </w:r>
    </w:p>
    <w:p>
      <w:pPr>
        <w:pStyle w:val="Heading2"/>
        <w:spacing w:after="140" w:before="280"/>
      </w:pPr>
      <w:r>
        <w:rPr>
          <w:rFonts w:ascii="Arial" w:cs="Arial" w:eastAsia="Arial" w:hAnsi="Arial"/>
          <w:b/>
          <w:bCs/>
          <w:color w:val="3C3489"/>
          <w:sz w:val="26"/>
          <w:szCs w:val="26"/>
        </w:rPr>
        <w:t xml:space="preserve">8.4 Communautés maker — Pour la visibilité de Spinotor</w:t>
      </w:r>
    </w:p>
    <w:p>
      <w:pPr>
        <w:pStyle w:val="ListParagraph"/>
        <w:numPr>
          <w:ilvl w:val="0"/>
          <w:numId w:val="2"/>
        </w:numPr>
        <w:spacing w:after="60" w:before="60"/>
      </w:pPr>
      <w:r>
        <w:rPr>
          <w:rFonts w:ascii="Arial" w:cs="Arial" w:eastAsia="Arial" w:hAnsi="Arial"/>
          <w:color w:val="000000"/>
          <w:sz w:val="22"/>
          <w:szCs w:val="22"/>
        </w:rPr>
        <w:t xml:space="preserve">Hackaday (hackaday.io / hackaday.com) — articles FOC BLDC, annonce publique recommandée</w:t>
      </w:r>
    </w:p>
    <w:p>
      <w:pPr>
        <w:pStyle w:val="ListParagraph"/>
        <w:numPr>
          <w:ilvl w:val="0"/>
          <w:numId w:val="2"/>
        </w:numPr>
        <w:spacing w:after="60" w:before="60"/>
      </w:pPr>
      <w:r>
        <w:rPr>
          <w:rFonts w:ascii="Arial" w:cs="Arial" w:eastAsia="Arial" w:hAnsi="Arial"/>
          <w:color w:val="000000"/>
          <w:sz w:val="22"/>
          <w:szCs w:val="22"/>
        </w:rPr>
        <w:t xml:space="preserve">Reddit r/ElectricalEngineering et r/embedded — large audience</w:t>
      </w:r>
    </w:p>
    <w:p>
      <w:pPr>
        <w:pStyle w:val="ListParagraph"/>
        <w:numPr>
          <w:ilvl w:val="0"/>
          <w:numId w:val="2"/>
        </w:numPr>
        <w:spacing w:after="60" w:before="60"/>
      </w:pPr>
      <w:r>
        <w:rPr>
          <w:rFonts w:ascii="Arial" w:cs="Arial" w:eastAsia="Arial" w:hAnsi="Arial"/>
          <w:color w:val="000000"/>
          <w:sz w:val="22"/>
          <w:szCs w:val="22"/>
        </w:rPr>
        <w:t xml:space="preserve">EEVblog Forum (eevblog.com/forum) — ingénierie électronique sérieuse</w:t>
      </w:r>
    </w:p>
    <w:p>
      <w:pPr>
        <w:pStyle w:val="Heading2"/>
        <w:spacing w:after="140" w:before="280"/>
      </w:pPr>
      <w:r>
        <w:rPr>
          <w:rFonts w:ascii="Arial" w:cs="Arial" w:eastAsia="Arial" w:hAnsi="Arial"/>
          <w:b/>
          <w:bCs/>
          <w:color w:val="3C3489"/>
          <w:sz w:val="26"/>
          <w:szCs w:val="26"/>
        </w:rPr>
        <w:t xml:space="preserve">8.5 Recommandation stratégique d'annonce</w:t>
      </w:r>
    </w:p>
    <w:p>
      <w:pPr>
        <w:spacing w:after="80" w:before="80" w:line="276"/>
      </w:pPr>
      <w:r>
        <w:rPr>
          <w:rFonts w:ascii="Arial" w:cs="Arial" w:eastAsia="Arial" w:hAnsi="Arial"/>
          <w:color w:val="000000"/>
          <w:sz w:val="22"/>
          <w:szCs w:val="22"/>
        </w:rPr>
        <w:t xml:space="preserve">Priorité 1 : forum SimpleFOC (communauté FOC la plus active), forum STMicroelectronics Motor Control (cible hardware), GitHub Discussions de motulator (pairs académiques directs). Ce sont les trois endroits où annoncer une version bêta de Spinotor aura le plus d'impact.</w:t>
      </w:r>
    </w:p>
    <w:p>
      <w:pPr>
        <w:pBdr>
          <w:bottom w:val="single" w:color="7F77DD" w:sz="4" w:space="1"/>
        </w:pBdr>
        <w:spacing w:after="200" w:before="200"/>
      </w:pPr>
    </w:p>
    <w:p>
      <w:r>
        <w:br w:type="page"/>
      </w:r>
    </w:p>
    <w:p>
      <w:pPr>
        <w:pStyle w:val="Heading1"/>
        <w:spacing w:after="180" w:before="360"/>
      </w:pPr>
      <w:r>
        <w:rPr>
          <w:rFonts w:ascii="Arial" w:cs="Arial" w:eastAsia="Arial" w:hAnsi="Arial"/>
          <w:b/>
          <w:bCs/>
          <w:color w:val="534AB7"/>
          <w:sz w:val="32"/>
          <w:szCs w:val="32"/>
        </w:rPr>
        <w:t xml:space="preserve">9. Synthèse et Prochaines Étapes</w:t>
      </w:r>
    </w:p>
    <w:p>
      <w:pPr>
        <w:pBdr>
          <w:bottom w:val="single" w:color="7F77DD" w:sz="4" w:space="1"/>
        </w:pBdr>
        <w:spacing w:after="200" w:before="200"/>
      </w:pPr>
    </w:p>
    <w:p>
      <w:pPr>
        <w:pStyle w:val="Heading2"/>
        <w:spacing w:after="140" w:before="280"/>
      </w:pPr>
      <w:r>
        <w:rPr>
          <w:rFonts w:ascii="Arial" w:cs="Arial" w:eastAsia="Arial" w:hAnsi="Arial"/>
          <w:b/>
          <w:bCs/>
          <w:color w:val="3C3489"/>
          <w:sz w:val="26"/>
          <w:szCs w:val="26"/>
        </w:rPr>
        <w:t xml:space="preserve">9.1 Ce qui a été accompli</w:t>
      </w:r>
    </w:p>
    <w:p>
      <w:pPr>
        <w:pStyle w:val="ListParagraph"/>
        <w:numPr>
          <w:ilvl w:val="0"/>
          <w:numId w:val="3"/>
        </w:numPr>
        <w:spacing w:after="60" w:before="60"/>
      </w:pPr>
      <w:r>
        <w:rPr>
          <w:rFonts w:ascii="Arial" w:cs="Arial" w:eastAsia="Arial" w:hAnsi="Arial"/>
          <w:color w:val="000000"/>
          <w:sz w:val="22"/>
          <w:szCs w:val="22"/>
        </w:rPr>
        <w:t xml:space="preserve">Bibliographie complète RNA + PINN pour MSAP (50+ références académiques classifiées)</w:t>
      </w:r>
    </w:p>
    <w:p>
      <w:pPr>
        <w:pStyle w:val="ListParagraph"/>
        <w:numPr>
          <w:ilvl w:val="0"/>
          <w:numId w:val="3"/>
        </w:numPr>
        <w:spacing w:after="60" w:before="60"/>
      </w:pPr>
      <w:r>
        <w:rPr>
          <w:rFonts w:ascii="Arial" w:cs="Arial" w:eastAsia="Arial" w:hAnsi="Arial"/>
          <w:color w:val="000000"/>
          <w:sz w:val="22"/>
          <w:szCs w:val="22"/>
        </w:rPr>
        <w:t xml:space="preserve">Identification et formalisation de la niche de recherche vierge : PINN + single shunt + Cortex-M3/M4 sans FPU</w:t>
      </w:r>
    </w:p>
    <w:p>
      <w:pPr>
        <w:pStyle w:val="ListParagraph"/>
        <w:numPr>
          <w:ilvl w:val="0"/>
          <w:numId w:val="3"/>
        </w:numPr>
        <w:spacing w:after="60" w:before="60"/>
      </w:pPr>
      <w:r>
        <w:rPr>
          <w:rFonts w:ascii="Arial" w:cs="Arial" w:eastAsia="Arial" w:hAnsi="Arial"/>
          <w:color w:val="000000"/>
          <w:sz w:val="22"/>
          <w:szCs w:val="22"/>
        </w:rPr>
        <w:t xml:space="preserve">Analyse complète du simulateur BLDC-Simulator existant sur GitHub</w:t>
      </w:r>
    </w:p>
    <w:p>
      <w:pPr>
        <w:pStyle w:val="ListParagraph"/>
        <w:numPr>
          <w:ilvl w:val="0"/>
          <w:numId w:val="3"/>
        </w:numPr>
        <w:spacing w:after="60" w:before="60"/>
      </w:pPr>
      <w:r>
        <w:rPr>
          <w:rFonts w:ascii="Arial" w:cs="Arial" w:eastAsia="Arial" w:hAnsi="Arial"/>
          <w:color w:val="000000"/>
          <w:sz w:val="22"/>
          <w:szCs w:val="22"/>
        </w:rPr>
        <w:t xml:space="preserve">Conception et documentation du module pinn_model.py (PINNTrainer + PINNInferenceModel)</w:t>
      </w:r>
    </w:p>
    <w:p>
      <w:pPr>
        <w:pStyle w:val="ListParagraph"/>
        <w:numPr>
          <w:ilvl w:val="0"/>
          <w:numId w:val="3"/>
        </w:numPr>
        <w:spacing w:after="60" w:before="60"/>
      </w:pPr>
      <w:r>
        <w:rPr>
          <w:rFonts w:ascii="Arial" w:cs="Arial" w:eastAsia="Arial" w:hAnsi="Arial"/>
          <w:color w:val="000000"/>
          <w:sz w:val="22"/>
          <w:szCs w:val="22"/>
        </w:rPr>
        <w:t xml:space="preserve">Validation du budget cycles sur Cortex-M3 40 MHz : PINN-Tiny viable en 670 cycles</w:t>
      </w:r>
    </w:p>
    <w:p>
      <w:pPr>
        <w:pStyle w:val="ListParagraph"/>
        <w:numPr>
          <w:ilvl w:val="0"/>
          <w:numId w:val="3"/>
        </w:numPr>
        <w:spacing w:after="60" w:before="60"/>
      </w:pPr>
      <w:r>
        <w:rPr>
          <w:rFonts w:ascii="Arial" w:cs="Arial" w:eastAsia="Arial" w:hAnsi="Arial"/>
          <w:color w:val="000000"/>
          <w:sz w:val="22"/>
          <w:szCs w:val="22"/>
        </w:rPr>
        <w:t xml:space="preserve">Choix du nom Spinotor (disponible PyPI et GitHub, libre de collision)</w:t>
      </w:r>
    </w:p>
    <w:p>
      <w:pPr>
        <w:pStyle w:val="ListParagraph"/>
        <w:numPr>
          <w:ilvl w:val="0"/>
          <w:numId w:val="3"/>
        </w:numPr>
        <w:spacing w:after="60" w:before="60"/>
      </w:pPr>
      <w:r>
        <w:rPr>
          <w:rFonts w:ascii="Arial" w:cs="Arial" w:eastAsia="Arial" w:hAnsi="Arial"/>
          <w:color w:val="000000"/>
          <w:sz w:val="22"/>
          <w:szCs w:val="22"/>
        </w:rPr>
        <w:t xml:space="preserve">Conception de l'identité visuelle complète (3 variantes logo, favicon, icône app)</w:t>
      </w:r>
    </w:p>
    <w:p>
      <w:pPr>
        <w:pStyle w:val="ListParagraph"/>
        <w:numPr>
          <w:ilvl w:val="0"/>
          <w:numId w:val="3"/>
        </w:numPr>
        <w:spacing w:after="60" w:before="60"/>
      </w:pPr>
      <w:r>
        <w:rPr>
          <w:rFonts w:ascii="Arial" w:cs="Arial" w:eastAsia="Arial" w:hAnsi="Arial"/>
          <w:color w:val="000000"/>
          <w:sz w:val="22"/>
          <w:szCs w:val="22"/>
        </w:rPr>
        <w:t xml:space="preserve">Génération de 16 fichiers SVG/PNG/JPG prêts à l'emploi</w:t>
      </w:r>
    </w:p>
    <w:p>
      <w:pPr>
        <w:pStyle w:val="ListParagraph"/>
        <w:numPr>
          <w:ilvl w:val="0"/>
          <w:numId w:val="3"/>
        </w:numPr>
        <w:spacing w:after="60" w:before="60"/>
      </w:pPr>
      <w:r>
        <w:rPr>
          <w:rFonts w:ascii="Arial" w:cs="Arial" w:eastAsia="Arial" w:hAnsi="Arial"/>
          <w:color w:val="000000"/>
          <w:sz w:val="22"/>
          <w:szCs w:val="22"/>
        </w:rPr>
        <w:t xml:space="preserve">Licence personnalisée Non-Commercial Academic License 1.0</w:t>
      </w:r>
    </w:p>
    <w:p>
      <w:pPr>
        <w:pStyle w:val="ListParagraph"/>
        <w:numPr>
          <w:ilvl w:val="0"/>
          <w:numId w:val="3"/>
        </w:numPr>
        <w:spacing w:after="60" w:before="60"/>
      </w:pPr>
      <w:r>
        <w:rPr>
          <w:rFonts w:ascii="Arial" w:cs="Arial" w:eastAsia="Arial" w:hAnsi="Arial"/>
          <w:color w:val="000000"/>
          <w:sz w:val="22"/>
          <w:szCs w:val="22"/>
        </w:rPr>
        <w:t xml:space="preserve">Analyse comparative Spinotor vs motulator vs GEM</w:t>
      </w:r>
    </w:p>
    <w:p>
      <w:pPr>
        <w:pStyle w:val="ListParagraph"/>
        <w:numPr>
          <w:ilvl w:val="0"/>
          <w:numId w:val="3"/>
        </w:numPr>
        <w:spacing w:after="60" w:before="60"/>
      </w:pPr>
      <w:r>
        <w:rPr>
          <w:rFonts w:ascii="Arial" w:cs="Arial" w:eastAsia="Arial" w:hAnsi="Arial"/>
          <w:color w:val="000000"/>
          <w:sz w:val="22"/>
          <w:szCs w:val="22"/>
        </w:rPr>
        <w:t xml:space="preserve">Cartographie complète des forums et communautés cibles</w:t>
      </w:r>
    </w:p>
    <w:p>
      <w:pPr>
        <w:pStyle w:val="Heading2"/>
        <w:spacing w:after="140" w:before="280"/>
      </w:pPr>
      <w:r>
        <w:rPr>
          <w:rFonts w:ascii="Arial" w:cs="Arial" w:eastAsia="Arial" w:hAnsi="Arial"/>
          <w:b/>
          <w:bCs/>
          <w:color w:val="3C3489"/>
          <w:sz w:val="26"/>
          <w:szCs w:val="26"/>
        </w:rPr>
        <w:t xml:space="preserve">9.2 Prochaines étapes recommandées</w:t>
      </w:r>
    </w:p>
    <w:p>
      <w:pPr>
        <w:pStyle w:val="ListParagraph"/>
        <w:numPr>
          <w:ilvl w:val="0"/>
          <w:numId w:val="3"/>
        </w:numPr>
        <w:spacing w:after="60" w:before="60"/>
      </w:pPr>
      <w:r>
        <w:rPr>
          <w:rFonts w:ascii="Arial" w:cs="Arial" w:eastAsia="Arial" w:hAnsi="Arial"/>
          <w:color w:val="000000"/>
          <w:sz w:val="22"/>
          <w:szCs w:val="22"/>
        </w:rPr>
        <w:t xml:space="preserve">Renommer le dépôt GitHub de BLDC-Simulator à spinotor</w:t>
      </w:r>
    </w:p>
    <w:p>
      <w:pPr>
        <w:pStyle w:val="ListParagraph"/>
        <w:numPr>
          <w:ilvl w:val="0"/>
          <w:numId w:val="3"/>
        </w:numPr>
        <w:spacing w:after="60" w:before="60"/>
      </w:pPr>
      <w:r>
        <w:rPr>
          <w:rFonts w:ascii="Arial" w:cs="Arial" w:eastAsia="Arial" w:hAnsi="Arial"/>
          <w:color w:val="000000"/>
          <w:sz w:val="22"/>
          <w:szCs w:val="22"/>
        </w:rPr>
        <w:t xml:space="preserve">Publier le package squelette sur PyPI pour réserver le nom</w:t>
      </w:r>
    </w:p>
    <w:p>
      <w:pPr>
        <w:pStyle w:val="ListParagraph"/>
        <w:numPr>
          <w:ilvl w:val="0"/>
          <w:numId w:val="3"/>
        </w:numPr>
        <w:spacing w:after="60" w:before="60"/>
      </w:pPr>
      <w:r>
        <w:rPr>
          <w:rFonts w:ascii="Arial" w:cs="Arial" w:eastAsia="Arial" w:hAnsi="Arial"/>
          <w:color w:val="000000"/>
          <w:sz w:val="22"/>
          <w:szCs w:val="22"/>
        </w:rPr>
        <w:t xml:space="preserve">Ajouter le fichier LICENSE Spinotor Non-Commercial Academic License 1.0</w:t>
      </w:r>
    </w:p>
    <w:p>
      <w:pPr>
        <w:pStyle w:val="ListParagraph"/>
        <w:numPr>
          <w:ilvl w:val="0"/>
          <w:numId w:val="3"/>
        </w:numPr>
        <w:spacing w:after="60" w:before="60"/>
      </w:pPr>
      <w:r>
        <w:rPr>
          <w:rFonts w:ascii="Arial" w:cs="Arial" w:eastAsia="Arial" w:hAnsi="Arial"/>
          <w:color w:val="000000"/>
          <w:sz w:val="22"/>
          <w:szCs w:val="22"/>
        </w:rPr>
        <w:t xml:space="preserve">Ajouter les logos au README du dépôt GitHub</w:t>
      </w:r>
    </w:p>
    <w:p>
      <w:pPr>
        <w:pStyle w:val="ListParagraph"/>
        <w:numPr>
          <w:ilvl w:val="0"/>
          <w:numId w:val="3"/>
        </w:numPr>
        <w:spacing w:after="60" w:before="60"/>
      </w:pPr>
      <w:r>
        <w:rPr>
          <w:rFonts w:ascii="Arial" w:cs="Arial" w:eastAsia="Arial" w:hAnsi="Arial"/>
          <w:color w:val="000000"/>
          <w:sz w:val="22"/>
          <w:szCs w:val="22"/>
        </w:rPr>
        <w:t xml:space="preserve">Implémenter le module pinn_model.py dans src/core/</w:t>
      </w:r>
    </w:p>
    <w:p>
      <w:pPr>
        <w:pStyle w:val="ListParagraph"/>
        <w:numPr>
          <w:ilvl w:val="0"/>
          <w:numId w:val="3"/>
        </w:numPr>
        <w:spacing w:after="60" w:before="60"/>
      </w:pPr>
      <w:r>
        <w:rPr>
          <w:rFonts w:ascii="Arial" w:cs="Arial" w:eastAsia="Arial" w:hAnsi="Arial"/>
          <w:color w:val="000000"/>
          <w:sz w:val="22"/>
          <w:szCs w:val="22"/>
        </w:rPr>
        <w:t xml:space="preserve">Entraîner et valider le PINN-Tiny sur les données de simulation existantes</w:t>
      </w:r>
    </w:p>
    <w:p>
      <w:pPr>
        <w:pStyle w:val="ListParagraph"/>
        <w:numPr>
          <w:ilvl w:val="0"/>
          <w:numId w:val="3"/>
        </w:numPr>
        <w:spacing w:after="60" w:before="60"/>
      </w:pPr>
      <w:r>
        <w:rPr>
          <w:rFonts w:ascii="Arial" w:cs="Arial" w:eastAsia="Arial" w:hAnsi="Arial"/>
          <w:color w:val="000000"/>
          <w:sz w:val="22"/>
          <w:szCs w:val="22"/>
        </w:rPr>
        <w:t xml:space="preserve">Rédiger le paper conférence (IEEE IECON ou ECCE) pour validation préliminaire de la niche</w:t>
      </w:r>
    </w:p>
    <w:p>
      <w:pPr>
        <w:pStyle w:val="ListParagraph"/>
        <w:numPr>
          <w:ilvl w:val="0"/>
          <w:numId w:val="3"/>
        </w:numPr>
        <w:spacing w:after="60" w:before="60"/>
      </w:pPr>
      <w:r>
        <w:rPr>
          <w:rFonts w:ascii="Arial" w:cs="Arial" w:eastAsia="Arial" w:hAnsi="Arial"/>
          <w:color w:val="000000"/>
          <w:sz w:val="22"/>
          <w:szCs w:val="22"/>
        </w:rPr>
        <w:t xml:space="preserve">Préparer l'annonce sur SimpleFOC Community et GitHub Discussions de motulator</w:t>
      </w:r>
    </w:p>
    <w:p>
      <w:pPr>
        <w:pStyle w:val="Heading2"/>
        <w:spacing w:after="140" w:before="280"/>
      </w:pPr>
      <w:r>
        <w:rPr>
          <w:rFonts w:ascii="Arial" w:cs="Arial" w:eastAsia="Arial" w:hAnsi="Arial"/>
          <w:b/>
          <w:bCs/>
          <w:color w:val="3C3489"/>
          <w:sz w:val="26"/>
          <w:szCs w:val="26"/>
        </w:rPr>
        <w:t xml:space="preserve">9.3 Axes de recherche à approfondir</w:t>
      </w:r>
    </w:p>
    <w:p>
      <w:pPr>
        <w:pStyle w:val="ListParagraph"/>
        <w:numPr>
          <w:ilvl w:val="0"/>
          <w:numId w:val="2"/>
        </w:numPr>
        <w:spacing w:after="60" w:before="60"/>
      </w:pPr>
      <w:r>
        <w:rPr>
          <w:rFonts w:ascii="Arial" w:cs="Arial" w:eastAsia="Arial" w:hAnsi="Arial"/>
          <w:color w:val="000000"/>
          <w:sz w:val="22"/>
          <w:szCs w:val="22"/>
        </w:rPr>
        <w:t xml:space="preserve">Quantification Q15 du PINN avec préservation des contraintes physiques — formalisation mathématique</w:t>
      </w:r>
    </w:p>
    <w:p>
      <w:pPr>
        <w:pStyle w:val="ListParagraph"/>
        <w:numPr>
          <w:ilvl w:val="0"/>
          <w:numId w:val="2"/>
        </w:numPr>
        <w:spacing w:after="60" w:before="60"/>
      </w:pPr>
      <w:r>
        <w:rPr>
          <w:rFonts w:ascii="Arial" w:cs="Arial" w:eastAsia="Arial" w:hAnsi="Arial"/>
          <w:color w:val="000000"/>
          <w:sz w:val="22"/>
          <w:szCs w:val="22"/>
        </w:rPr>
        <w:t xml:space="preserve">Comparaison expérimentale PINN-Tiny vs ROLO sur banc moteur réel Cortex-M3</w:t>
      </w:r>
    </w:p>
    <w:p>
      <w:pPr>
        <w:pStyle w:val="ListParagraph"/>
        <w:numPr>
          <w:ilvl w:val="0"/>
          <w:numId w:val="2"/>
        </w:numPr>
        <w:spacing w:after="60" w:before="60"/>
      </w:pPr>
      <w:r>
        <w:rPr>
          <w:rFonts w:ascii="Arial" w:cs="Arial" w:eastAsia="Arial" w:hAnsi="Arial"/>
          <w:color w:val="000000"/>
          <w:sz w:val="22"/>
          <w:szCs w:val="22"/>
        </w:rPr>
        <w:t xml:space="preserve">Identification paramétrique couplée (Rs, ψf) pendant la commande sensorless</w:t>
      </w:r>
    </w:p>
    <w:p>
      <w:pPr>
        <w:pStyle w:val="ListParagraph"/>
        <w:numPr>
          <w:ilvl w:val="0"/>
          <w:numId w:val="2"/>
        </w:numPr>
        <w:spacing w:after="60" w:before="60"/>
      </w:pPr>
      <w:r>
        <w:rPr>
          <w:rFonts w:ascii="Arial" w:cs="Arial" w:eastAsia="Arial" w:hAnsi="Arial"/>
          <w:color w:val="000000"/>
          <w:sz w:val="22"/>
          <w:szCs w:val="22"/>
        </w:rPr>
        <w:t xml:space="preserve">Extension à d'autres topologies d'onduleur (demi-pont, pont en H)</w:t>
      </w:r>
    </w:p>
    <w:p>
      <w:pPr>
        <w:pBdr>
          <w:bottom w:val="single" w:color="7F77DD" w:sz="4" w:space="1"/>
        </w:pBdr>
        <w:spacing w:after="200" w:before="200"/>
      </w:pPr>
    </w:p>
    <w:p>
      <w:pPr>
        <w:spacing w:after="120" w:before="480"/>
        <w:jc w:val="center"/>
      </w:pPr>
      <w:r>
        <w:rPr>
          <w:rFonts w:ascii="Arial" w:cs="Arial" w:eastAsia="Arial" w:hAnsi="Arial"/>
          <w:i/>
          <w:iCs/>
          <w:color w:val="888780"/>
          <w:sz w:val="20"/>
          <w:szCs w:val="20"/>
        </w:rPr>
        <w:t xml:space="preserve">— Fin du document —</w:t>
      </w:r>
    </w:p>
    <w:p>
      <w:pPr>
        <w:spacing w:after="0" w:before="0"/>
        <w:jc w:val="center"/>
      </w:pPr>
      <w:r>
        <w:rPr>
          <w:rFonts w:ascii="Arial" w:cs="Arial" w:eastAsia="Arial" w:hAnsi="Arial"/>
          <w:color w:val="7F77DD"/>
          <w:sz w:val="18"/>
          <w:szCs w:val="18"/>
        </w:rPr>
        <w:t xml:space="preserve">© 2026 Amine Khettat — Spinotor Non-Commercial Academic License 1.0</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7DD" w:sz="4" w:space="1"/>
      </w:pBdr>
      <w:tabs>
        <w:tab w:val="right" w:pos="9026"/>
      </w:tabs>
      <w:spacing w:before="100"/>
    </w:pPr>
    <w:r>
      <w:rPr>
        <w:rFonts w:ascii="Arial" w:cs="Arial" w:eastAsia="Arial" w:hAnsi="Arial"/>
        <w:color w:val="888780"/>
        <w:sz w:val="16"/>
        <w:szCs w:val="16"/>
      </w:rPr>
      <w:t xml:space="preserve">Spinotor — Physics-informed BLDC/PMSM Motor Simulator</w:t>
    </w:r>
    <w:r>
      <w:rPr>
        <w:rFonts w:ascii="Arial" w:cs="Arial" w:eastAsia="Arial" w:hAnsi="Arial"/>
        <w:sz w:val="16"/>
        <w:szCs w:val="16"/>
      </w:rPr>
      <w:t xml:space="preserv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4" w:space="1"/>
      </w:pBdr>
      <w:spacing w:after="100"/>
    </w:pPr>
    <w:r>
      <w:rPr>
        <w:rFonts w:ascii="Arial" w:cs="Arial" w:eastAsia="Arial" w:hAnsi="Arial"/>
        <w:color w:val="7F77DD"/>
        <w:sz w:val="18"/>
        <w:szCs w:val="18"/>
      </w:rPr>
      <w:t xml:space="preserve">SPINOTOR — Dossier de Recherche et Développement</w:t>
    </w:r>
    <w:r>
      <w:rPr>
        <w:rFonts w:ascii="Arial" w:cs="Arial" w:eastAsia="Arial" w:hAnsi="Arial"/>
        <w:color w:val="888780"/>
        <w:sz w:val="16"/>
        <w:szCs w:val="16"/>
      </w:rPr>
      <w:t xml:space="preserve">   |   Confidentiel — Amine Khettat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534AB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C348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62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2026-04-01T09:52:21.177Z</dcterms:created>
  <dcterms:modified xsi:type="dcterms:W3CDTF">2026-04-01T09:52:21.178Z</dcterms:modified>
</cp:coreProperties>
</file>

<file path=docProps/custom.xml><?xml version="1.0" encoding="utf-8"?>
<Properties xmlns="http://schemas.openxmlformats.org/officeDocument/2006/custom-properties" xmlns:vt="http://schemas.openxmlformats.org/officeDocument/2006/docPropsVTypes"/>
</file>