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pStyle w:val="Heading1"/>
        <w:pBdr>
          <w:bottom w:val="single" w:color="1F3864" w:sz="4" w:space="2"/>
        </w:pBdr>
        <w:spacing w:after="80" w:before="0"/>
        <w:jc w:val="center"/>
      </w:pPr>
      <w:r>
        <w:rPr>
          <w:rFonts w:ascii="Arial" w:cs="Arial" w:eastAsia="Arial" w:hAnsi="Arial"/>
          <w:b/>
          <w:bCs/>
          <w:caps/>
          <w:sz w:val="34"/>
          <w:szCs w:val="34"/>
        </w:rPr>
        <w:t xml:space="preserve">SPINOTOR — Auto-Calibration Framework</w:t>
      </w:r>
    </w:p>
    <w:p>
      <w:pPr>
        <w:pStyle w:val="Heading2"/>
        <w:spacing w:after="40" w:before="80"/>
        <w:jc w:val="center"/>
      </w:pPr>
      <w:r>
        <w:rPr>
          <w:rFonts w:ascii="Arial" w:cs="Arial" w:eastAsia="Arial" w:hAnsi="Arial"/>
          <w:b/>
          <w:bCs/>
          <w:sz w:val="26"/>
          <w:szCs w:val="26"/>
        </w:rPr>
        <w:t xml:space="preserve">Technical Reference Manual</w:t>
      </w:r>
    </w:p>
    <w:p>
      <w:pPr>
        <w:pStyle w:val="Heading3"/>
        <w:spacing w:after="280" w:before="0"/>
        <w:jc w:val="center"/>
      </w:pPr>
      <w:r>
        <w:rPr>
          <w:rFonts w:ascii="Arial" w:cs="Arial" w:eastAsia="Arial" w:hAnsi="Arial"/>
          <w:b/>
          <w:bCs/>
          <w:sz w:val="22"/>
          <w:szCs w:val="22"/>
        </w:rPr>
        <w:t xml:space="preserve">Theory, Methods and Implementation of Automated Parameter Identification</w:t>
      </w:r>
    </w:p>
    <w:p>
      <w:pPr>
        <w:pStyle w:val="Heading3"/>
        <w:spacing w:after="40" w:before="80"/>
        <w:jc w:val="center"/>
      </w:pPr>
      <w:r>
        <w:rPr>
          <w:rFonts w:ascii="Arial" w:cs="Arial" w:eastAsia="Arial" w:hAnsi="Arial"/>
          <w:b/>
          <w:bCs/>
          <w:sz w:val="20"/>
          <w:szCs w:val="20"/>
        </w:rPr>
        <w:t xml:space="preserve">Document Information</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2600"/>
        <w:gridCol w:w="5600"/>
      </w:tblGrid>
      <w:tr>
        <w:tc>
          <w:tcPr>
            <w:tcW w:type="dxa" w:w="26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color w:val="FFFFFF"/>
                <w:sz w:val="17"/>
                <w:szCs w:val="17"/>
              </w:rPr>
              <w:t xml:space="preserve">Field</w:t>
            </w:r>
          </w:p>
        </w:tc>
        <w:tc>
          <w:tcPr>
            <w:tcW w:type="dxa" w:w="56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color w:val="FFFFFF"/>
                <w:sz w:val="17"/>
                <w:szCs w:val="17"/>
              </w:rPr>
              <w:t xml:space="preserve">Value</w:t>
            </w:r>
          </w:p>
        </w:tc>
      </w:tr>
      <w:tr>
        <w:tc>
          <w:tcPr>
            <w:tcW w:type="dxa" w:w="2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7"/>
                <w:szCs w:val="17"/>
              </w:rPr>
              <w:t xml:space="preserve">Author</w:t>
            </w:r>
          </w:p>
        </w:tc>
        <w:tc>
          <w:tcPr>
            <w:tcW w:type="dxa" w:w="5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7"/>
                <w:szCs w:val="17"/>
              </w:rPr>
              <w:t xml:space="preserve">Amine Khettat</w:t>
            </w:r>
          </w:p>
        </w:tc>
      </w:tr>
      <w:tr>
        <w:tc>
          <w:tcPr>
            <w:tcW w:type="dxa" w:w="2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7"/>
                <w:szCs w:val="17"/>
              </w:rPr>
              <w:t xml:space="preserve">Organization</w:t>
            </w:r>
          </w:p>
        </w:tc>
        <w:tc>
          <w:tcPr>
            <w:tcW w:type="dxa" w:w="5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7"/>
                <w:szCs w:val="17"/>
              </w:rPr>
              <w:t xml:space="preserve">Blind Systems Engineering</w:t>
            </w:r>
          </w:p>
        </w:tc>
      </w:tr>
      <w:tr>
        <w:tc>
          <w:tcPr>
            <w:tcW w:type="dxa" w:w="2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7"/>
                <w:szCs w:val="17"/>
              </w:rPr>
              <w:t xml:space="preserve">Contact</w:t>
            </w:r>
          </w:p>
        </w:tc>
        <w:tc>
          <w:tcPr>
            <w:tcW w:type="dxa" w:w="5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7"/>
                <w:szCs w:val="17"/>
              </w:rPr>
              <w:t xml:space="preserve">amine.khettat@blindsystems.org</w:t>
            </w:r>
          </w:p>
        </w:tc>
      </w:tr>
      <w:tr>
        <w:tc>
          <w:tcPr>
            <w:tcW w:type="dxa" w:w="2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7"/>
                <w:szCs w:val="17"/>
              </w:rPr>
              <w:t xml:space="preserve">Project</w:t>
            </w:r>
          </w:p>
        </w:tc>
        <w:tc>
          <w:tcPr>
            <w:tcW w:type="dxa" w:w="5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7"/>
                <w:szCs w:val="17"/>
              </w:rPr>
              <w:t xml:space="preserve">SPINOTOR — Motor Drive Simulator</w:t>
            </w:r>
          </w:p>
        </w:tc>
      </w:tr>
      <w:tr>
        <w:tc>
          <w:tcPr>
            <w:tcW w:type="dxa" w:w="2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7"/>
                <w:szCs w:val="17"/>
              </w:rPr>
              <w:t xml:space="preserve">Version</w:t>
            </w:r>
          </w:p>
        </w:tc>
        <w:tc>
          <w:tcPr>
            <w:tcW w:type="dxa" w:w="5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7"/>
                <w:szCs w:val="17"/>
              </w:rPr>
              <w:t xml:space="preserve">1.0</w:t>
            </w:r>
          </w:p>
        </w:tc>
      </w:tr>
      <w:tr>
        <w:tc>
          <w:tcPr>
            <w:tcW w:type="dxa" w:w="2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7"/>
                <w:szCs w:val="17"/>
              </w:rPr>
              <w:t xml:space="preserve">Date</w:t>
            </w:r>
          </w:p>
        </w:tc>
        <w:tc>
          <w:tcPr>
            <w:tcW w:type="dxa" w:w="5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7"/>
                <w:szCs w:val="17"/>
              </w:rPr>
              <w:t xml:space="preserve">April 2026</w:t>
            </w:r>
          </w:p>
        </w:tc>
      </w:tr>
      <w:tr>
        <w:tc>
          <w:tcPr>
            <w:tcW w:type="dxa" w:w="2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7"/>
                <w:szCs w:val="17"/>
              </w:rPr>
              <w:t xml:space="preserve">Distribution</w:t>
            </w:r>
          </w:p>
        </w:tc>
        <w:tc>
          <w:tcPr>
            <w:tcW w:type="dxa" w:w="5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7"/>
                <w:szCs w:val="17"/>
              </w:rPr>
              <w:t xml:space="preserve">CONFIDENTIAL — Do not distribute</w:t>
            </w:r>
          </w:p>
        </w:tc>
      </w:tr>
    </w:tbl>
    <w:p>
      <w:pPr>
        <w:spacing w:before="280"/>
      </w:pPr>
    </w:p>
    <w:p>
      <w:pPr>
        <w:pStyle w:val="Heading2"/>
        <w:spacing w:after="40" w:before="80"/>
        <w:jc w:val="center"/>
      </w:pPr>
      <w:r>
        <w:rPr>
          <w:rFonts w:ascii="Arial" w:cs="Arial" w:eastAsia="Arial" w:hAnsi="Arial"/>
          <w:b/>
          <w:bCs/>
          <w:sz w:val="22"/>
          <w:szCs w:val="22"/>
        </w:rPr>
        <w:t xml:space="preserve">Abstract</w:t>
      </w:r>
    </w:p>
    <w:p>
      <w:pPr>
        <w:spacing w:after="60" w:before="0"/>
        <w:ind w:left="360" w:right="360"/>
        <w:jc w:val="both"/>
      </w:pPr>
      <w:r>
        <w:rPr>
          <w:rFonts w:ascii="Times New Roman" w:cs="Times New Roman" w:eastAsia="Times New Roman" w:hAnsi="Times New Roman"/>
          <w:i/>
          <w:iCs/>
          <w:sz w:val="20"/>
          <w:szCs w:val="20"/>
        </w:rPr>
        <w:t xml:space="preserve">This document presents the complete auto-calibration framework implemented in the SPINOTOR motor drive simulation platform. For each subsystem subject to automatic parameter identification — PI current and speed regulators, PLL observer, SMO, ST-SMO, Active Flux observer, SOGI adaptive filter, Extended EMF (EEMF) model, field-weakening controller, startup sequencer, and Power Factor Controller (PFC) — the report provides: (i) the theoretical foundation from classical control and electrical machine theory, (ii) the calibration methodology with analytical formulae and algorithmic description, and (iii) illustrative figures generated directly by the simulator. The exposition follows IEEE journal conventions with full bibliographic references.</w:t>
      </w:r>
    </w:p>
    <w:p>
      <w:pPr>
        <w:ind w:left="360" w:right="360"/>
      </w:pPr>
      <w:r>
        <w:rPr>
          <w:rFonts w:ascii="Times New Roman" w:cs="Times New Roman" w:eastAsia="Times New Roman" w:hAnsi="Times New Roman"/>
          <w:b/>
          <w:bCs/>
          <w:i/>
          <w:iCs/>
          <w:sz w:val="20"/>
          <w:szCs w:val="20"/>
        </w:rPr>
        <w:t xml:space="preserve">Index Terms — </w:t>
      </w:r>
      <w:r>
        <w:rPr>
          <w:rFonts w:ascii="Times New Roman" w:cs="Times New Roman" w:eastAsia="Times New Roman" w:hAnsi="Times New Roman"/>
          <w:i/>
          <w:iCs/>
          <w:sz w:val="20"/>
          <w:szCs w:val="20"/>
        </w:rPr>
        <w:t xml:space="preserve">SPINOTOR, BLDC motor, PMSM, auto-calibration, FOC, sliding mode observer, PLL, active flux, SOGI, field weakening, sensorless control, PI tuning.</w:t>
      </w:r>
    </w:p>
    <w:p>
      <w:r>
        <w:br w:type="page"/>
      </w:r>
    </w:p>
    <w:p>
      <w:pPr>
        <w:pStyle w:val="Heading1"/>
        <w:pBdr>
          <w:bottom w:val="single" w:color="1F3864" w:sz="4" w:space="2"/>
        </w:pBdr>
        <w:spacing w:after="100" w:before="320"/>
      </w:pPr>
      <w:r>
        <w:rPr>
          <w:rFonts w:ascii="Arial" w:cs="Arial" w:eastAsia="Arial" w:hAnsi="Arial"/>
          <w:b/>
          <w:bCs/>
          <w:caps/>
          <w:sz w:val="26"/>
          <w:szCs w:val="26"/>
        </w:rPr>
        <w:t xml:space="preserve">I. Introduction</w:t>
      </w:r>
    </w:p>
    <w:p>
      <w:pPr>
        <w:spacing w:after="60" w:before="60"/>
        <w:jc w:val="both"/>
      </w:pPr>
      <w:r>
        <w:rPr>
          <w:rFonts w:ascii="Times New Roman" w:cs="Times New Roman" w:eastAsia="Times New Roman" w:hAnsi="Times New Roman"/>
          <w:sz w:val="20"/>
          <w:szCs w:val="20"/>
        </w:rPr>
        <w:t xml:space="preserve">Modern BLDC and PMSM drives require precise tuning of multiple control loops and estimation algorithms to achieve high dynamic performance, energy efficiency, and safe operation over a wide speed range [1, 2]. Manual parameter selection is error-prone, time-consuming, and motor-dependent. The SPINOTOR platform integrates a comprehensive auto-calibration pipeline that derives controller gains and observer parameters analytically from motor nameplate data, then validates them through frequency-domain analysis and closed-loop simulation [3, 4].</w:t>
      </w:r>
    </w:p>
    <w:p>
      <w:pPr>
        <w:spacing w:after="60" w:before="60"/>
        <w:jc w:val="both"/>
      </w:pPr>
      <w:r>
        <w:rPr>
          <w:rFonts w:ascii="Times New Roman" w:cs="Times New Roman" w:eastAsia="Times New Roman" w:hAnsi="Times New Roman"/>
          <w:b/>
          <w:bCs/>
          <w:sz w:val="20"/>
          <w:szCs w:val="20"/>
        </w:rPr>
        <w:t xml:space="preserve">Stage 1 </w:t>
      </w:r>
      <w:r>
        <w:rPr>
          <w:rFonts w:ascii="Times New Roman" w:cs="Times New Roman" w:eastAsia="Times New Roman" w:hAnsi="Times New Roman"/>
          <w:sz w:val="20"/>
          <w:szCs w:val="20"/>
        </w:rPr>
        <w:t xml:space="preserve">determines the PI gains for the d- and q-axis current loops and outer speed loop using bandwidth-based analytical design reinforced by a multi-resolution frequency-domain grid search [4].</w:t>
      </w:r>
    </w:p>
    <w:p>
      <w:pPr>
        <w:spacing w:after="60" w:before="60"/>
        <w:jc w:val="both"/>
      </w:pPr>
      <w:r>
        <w:rPr>
          <w:rFonts w:ascii="Times New Roman" w:cs="Times New Roman" w:eastAsia="Times New Roman" w:hAnsi="Times New Roman"/>
          <w:b/>
          <w:bCs/>
          <w:sz w:val="20"/>
          <w:szCs w:val="20"/>
        </w:rPr>
        <w:t xml:space="preserve">Stage 2 </w:t>
      </w:r>
      <w:r>
        <w:rPr>
          <w:rFonts w:ascii="Times New Roman" w:cs="Times New Roman" w:eastAsia="Times New Roman" w:hAnsi="Times New Roman"/>
          <w:sz w:val="20"/>
          <w:szCs w:val="20"/>
        </w:rPr>
        <w:t xml:space="preserve">handles field-weakening calibration through physics-based computation followed by a simulation sweep over a gain grid [5]. Observer-specific calibration is performed analytically and applied immediately after Stage 1.</w:t>
      </w:r>
    </w:p>
    <w:p>
      <w:r>
        <w:br w:type="page"/>
      </w:r>
    </w:p>
    <w:p>
      <w:pPr>
        <w:pStyle w:val="Heading1"/>
        <w:pBdr>
          <w:bottom w:val="single" w:color="1F3864" w:sz="4" w:space="2"/>
        </w:pBdr>
        <w:spacing w:after="100" w:before="320"/>
      </w:pPr>
      <w:r>
        <w:rPr>
          <w:rFonts w:ascii="Arial" w:cs="Arial" w:eastAsia="Arial" w:hAnsi="Arial"/>
          <w:b/>
          <w:bCs/>
          <w:caps/>
          <w:sz w:val="26"/>
          <w:szCs w:val="26"/>
        </w:rPr>
        <w:t xml:space="preserve">II. PI Current and Speed Regulators</w:t>
      </w:r>
    </w:p>
    <w:p>
      <w:pPr>
        <w:pStyle w:val="Heading2"/>
        <w:spacing w:after="60" w:before="200"/>
      </w:pPr>
      <w:r>
        <w:rPr>
          <w:rFonts w:ascii="Arial" w:cs="Arial" w:eastAsia="Arial" w:hAnsi="Arial"/>
          <w:b/>
          <w:bCs/>
          <w:sz w:val="22"/>
          <w:szCs w:val="22"/>
        </w:rPr>
        <w:t xml:space="preserve">A. Theory</w:t>
      </w:r>
    </w:p>
    <w:p>
      <w:pPr>
        <w:spacing w:after="60" w:before="60"/>
        <w:jc w:val="both"/>
      </w:pPr>
      <w:r>
        <w:rPr>
          <w:rFonts w:ascii="Times New Roman" w:cs="Times New Roman" w:eastAsia="Times New Roman" w:hAnsi="Times New Roman"/>
          <w:sz w:val="20"/>
          <w:szCs w:val="20"/>
        </w:rPr>
        <w:t xml:space="preserve">The d- and q-axis current dynamics of a PMSM in the rotating reference frame are described by the first-order transfer function [2, 6]:</w:t>
      </w:r>
    </w:p>
    <w:p>
      <w:pPr>
        <w:spacing w:after="80" w:before="80"/>
        <w:jc w:val="center"/>
      </w:pPr>
      <w:r>
        <w:rPr>
          <w:rFonts w:ascii="Courier New" w:cs="Courier New" w:eastAsia="Courier New" w:hAnsi="Courier New"/>
          <w:i/>
          <w:iCs/>
          <w:sz w:val="18"/>
          <w:szCs w:val="18"/>
        </w:rPr>
        <w:t xml:space="preserve">G_i(s) = 1 / (L·s + R)</w:t>
      </w:r>
    </w:p>
    <w:p>
      <w:pPr>
        <w:spacing w:after="60" w:before="60"/>
        <w:jc w:val="both"/>
      </w:pPr>
      <w:r>
        <w:rPr>
          <w:rFonts w:ascii="Times New Roman" w:cs="Times New Roman" w:eastAsia="Times New Roman" w:hAnsi="Times New Roman"/>
          <w:sz w:val="20"/>
          <w:szCs w:val="20"/>
        </w:rPr>
        <w:t xml:space="preserve">A PI controller C_i(s) = Kp + Ki/s forms a type-1 closed loop with zero steady-state error [3]. The IMC bandwidth design [4, 7] gives:</w:t>
      </w:r>
    </w:p>
    <w:p>
      <w:pPr>
        <w:spacing w:after="80" w:before="80"/>
        <w:jc w:val="center"/>
      </w:pPr>
      <w:r>
        <w:rPr>
          <w:rFonts w:ascii="Courier New" w:cs="Courier New" w:eastAsia="Courier New" w:hAnsi="Courier New"/>
          <w:i/>
          <w:iCs/>
          <w:sz w:val="18"/>
          <w:szCs w:val="18"/>
        </w:rPr>
        <w:t xml:space="preserve">Kp = ωc · L,    Ki = ωc · R</w:t>
      </w:r>
    </w:p>
    <w:p>
      <w:pPr>
        <w:spacing w:after="60" w:before="60"/>
        <w:jc w:val="both"/>
      </w:pPr>
      <w:r>
        <w:rPr>
          <w:rFonts w:ascii="Times New Roman" w:cs="Times New Roman" w:eastAsia="Times New Roman" w:hAnsi="Times New Roman"/>
          <w:sz w:val="20"/>
          <w:szCs w:val="20"/>
        </w:rPr>
        <w:t xml:space="preserve">This zero-pole cancellation decouples the electrical time constant τe = L/R from the closed-loop bandwidth. For the outer speed loop [9]:</w:t>
      </w:r>
    </w:p>
    <w:p>
      <w:pPr>
        <w:spacing w:after="80" w:before="80"/>
        <w:jc w:val="center"/>
      </w:pPr>
      <w:r>
        <w:rPr>
          <w:rFonts w:ascii="Courier New" w:cs="Courier New" w:eastAsia="Courier New" w:hAnsi="Courier New"/>
          <w:i/>
          <w:iCs/>
          <w:sz w:val="18"/>
          <w:szCs w:val="18"/>
        </w:rPr>
        <w:t xml:space="preserve">Kp,ω = ωc,ω · J / Kt,    Ki,ω = ωc,ω · B / Kt</w:t>
      </w:r>
    </w:p>
    <w:p>
      <w:pPr>
        <w:spacing w:after="60" w:before="60"/>
        <w:jc w:val="both"/>
      </w:pPr>
      <w:r>
        <w:rPr>
          <w:rFonts w:ascii="Times New Roman" w:cs="Times New Roman" w:eastAsia="Times New Roman" w:hAnsi="Times New Roman"/>
          <w:sz w:val="20"/>
          <w:szCs w:val="20"/>
        </w:rPr>
        <w:t xml:space="preserve">Anti-windup via back-calculation [3]:</w:t>
      </w:r>
    </w:p>
    <w:p>
      <w:pPr>
        <w:spacing w:after="80" w:before="80"/>
        <w:jc w:val="center"/>
      </w:pPr>
      <w:r>
        <w:rPr>
          <w:rFonts w:ascii="Courier New" w:cs="Courier New" w:eastAsia="Courier New" w:hAnsi="Courier New"/>
          <w:i/>
          <w:iCs/>
          <w:sz w:val="18"/>
          <w:szCs w:val="18"/>
        </w:rPr>
        <w:t xml:space="preserve">dI/dt = (e + Kaw·(u_sat − u_unsat)) · dt</w:t>
      </w:r>
    </w:p>
    <w:p>
      <w:pPr>
        <w:pStyle w:val="Heading2"/>
        <w:spacing w:after="60" w:before="200"/>
      </w:pPr>
      <w:r>
        <w:rPr>
          <w:rFonts w:ascii="Arial" w:cs="Arial" w:eastAsia="Arial" w:hAnsi="Arial"/>
          <w:b/>
          <w:bCs/>
          <w:sz w:val="22"/>
          <w:szCs w:val="22"/>
        </w:rPr>
        <w:t xml:space="preserve">B. Calibration Methodology</w:t>
      </w:r>
    </w:p>
    <w:p>
      <w:pPr>
        <w:spacing w:after="60" w:before="60"/>
        <w:jc w:val="both"/>
      </w:pPr>
      <w:r>
        <w:rPr>
          <w:rFonts w:ascii="Times New Roman" w:cs="Times New Roman" w:eastAsia="Times New Roman" w:hAnsi="Times New Roman"/>
          <w:b/>
          <w:bCs/>
          <w:sz w:val="20"/>
          <w:szCs w:val="20"/>
        </w:rPr>
        <w:t xml:space="preserve">Step 1 — Analytical initial guess: </w:t>
      </w:r>
      <w:r>
        <w:rPr>
          <w:rFonts w:ascii="Times New Roman" w:cs="Times New Roman" w:eastAsia="Times New Roman" w:hAnsi="Times New Roman"/>
          <w:sz w:val="20"/>
          <w:szCs w:val="20"/>
        </w:rPr>
        <w:t xml:space="preserve">Kp and Ki are computed from motor parameters (R, L, Kt, J, B) using the bandwidth formulae. This guarantees a stable loop for any motor within the accepted parameter range [4].</w:t>
      </w:r>
    </w:p>
    <w:p>
      <w:pPr>
        <w:spacing w:after="60" w:before="60"/>
        <w:jc w:val="both"/>
      </w:pPr>
      <w:r>
        <w:rPr>
          <w:rFonts w:ascii="Times New Roman" w:cs="Times New Roman" w:eastAsia="Times New Roman" w:hAnsi="Times New Roman"/>
          <w:b/>
          <w:bCs/>
          <w:sz w:val="20"/>
          <w:szCs w:val="20"/>
        </w:rPr>
        <w:t xml:space="preserve">Step 2 — Coarse grid search: </w:t>
      </w:r>
      <w:r>
        <w:rPr>
          <w:rFonts w:ascii="Times New Roman" w:cs="Times New Roman" w:eastAsia="Times New Roman" w:hAnsi="Times New Roman"/>
          <w:sz w:val="20"/>
          <w:szCs w:val="20"/>
        </w:rPr>
        <w:t xml:space="preserve">An 8×8 logarithmic grid spanning ±50% (in decades) around the analytical guess is evaluated. Open-loop frequency response is computed over 2000 frequencies. Gain and phase margins are estimated by linear interpolation of zero crossings. Controllability and observability are verified by the Kalman rank condition [8].</w:t>
      </w:r>
    </w:p>
    <w:p>
      <w:pPr>
        <w:spacing w:after="60" w:before="60"/>
        <w:jc w:val="both"/>
      </w:pPr>
      <w:r>
        <w:rPr>
          <w:rFonts w:ascii="Times New Roman" w:cs="Times New Roman" w:eastAsia="Times New Roman" w:hAnsi="Times New Roman"/>
          <w:b/>
          <w:bCs/>
          <w:sz w:val="20"/>
          <w:szCs w:val="20"/>
        </w:rPr>
        <w:t xml:space="preserve">Step 3 — Fine grid refinement: </w:t>
      </w:r>
      <w:r>
        <w:rPr>
          <w:rFonts w:ascii="Times New Roman" w:cs="Times New Roman" w:eastAsia="Times New Roman" w:hAnsi="Times New Roman"/>
          <w:sz w:val="20"/>
          <w:szCs w:val="20"/>
        </w:rPr>
        <w:t xml:space="preserve">A 10×10 grid spanning ±25% around the best coarse candidate yields the final gains. The scoring function penalizes margins below targets (GM ≥ 6 dB, PM ≥ 45°) [3, 9].</w:t>
      </w:r>
    </w:p>
    <w:p>
      <w:pPr>
        <w:spacing w:after="30" w:before="60"/>
        <w:jc w:val="center"/>
      </w:pPr>
      <w:r>
        <w:drawing>
          <wp:inline distT="0" distB="0" distL="0" distR="0">
            <wp:extent cx="3810000" cy="2886075"/>
            <wp:effectExtent t="0" r="0" b="0" l="0"/>
            <wp:docPr id="1" name="fig1_bode_current.png" descr="fig1_bode_current.png" title="fig1_bode_curr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2886075"/>
                    </a:xfrm>
                    <a:prstGeom prst="rect">
                      <a:avLst/>
                    </a:prstGeom>
                  </pic:spPr>
                </pic:pic>
              </a:graphicData>
            </a:graphic>
          </wp:inline>
        </w:drawing>
      </w:r>
    </w:p>
    <w:p>
      <w:pPr>
        <w:spacing w:after="100" w:before="30"/>
        <w:jc w:val="center"/>
      </w:pPr>
      <w:r>
        <w:rPr>
          <w:rFonts w:ascii="Arial" w:cs="Arial" w:eastAsia="Arial" w:hAnsi="Arial"/>
          <w:i/>
          <w:iCs/>
          <w:sz w:val="17"/>
          <w:szCs w:val="17"/>
        </w:rPr>
        <w:t xml:space="preserve">Fig. 1. Open-loop Bode diagram of the PI current loop (R = 2.5 Ω, L = 5 mH). Gain crossover and phase margin are indicated.</w:t>
      </w:r>
    </w:p>
    <w:p>
      <w:pPr>
        <w:pStyle w:val="Heading2"/>
        <w:spacing w:after="60" w:before="200"/>
      </w:pPr>
      <w:r>
        <w:rPr>
          <w:rFonts w:ascii="Arial" w:cs="Arial" w:eastAsia="Arial" w:hAnsi="Arial"/>
          <w:b/>
          <w:bCs/>
          <w:sz w:val="22"/>
          <w:szCs w:val="22"/>
        </w:rPr>
        <w:t xml:space="preserve">C. D/Q Feed-Forward Decoupling</w:t>
      </w:r>
    </w:p>
    <w:p>
      <w:pPr>
        <w:spacing w:after="60" w:before="60"/>
        <w:jc w:val="both"/>
      </w:pPr>
      <w:r>
        <w:rPr>
          <w:rFonts w:ascii="Times New Roman" w:cs="Times New Roman" w:eastAsia="Times New Roman" w:hAnsi="Times New Roman"/>
          <w:sz w:val="20"/>
          <w:szCs w:val="20"/>
        </w:rPr>
        <w:t xml:space="preserve">When D/Q decoupling is enabled, feed-forward voltages vd,ff = −ωe·Lq·iq and vq,ff = ωe·(Ld·id + λpm) are added to the PI outputs, rendering both axes independently regulated at all operating points [2, 6]. See Section XII.</w:t>
      </w:r>
    </w:p>
    <w:p>
      <w:r>
        <w:br w:type="page"/>
      </w:r>
    </w:p>
    <w:p>
      <w:pPr>
        <w:pStyle w:val="Heading1"/>
        <w:pBdr>
          <w:bottom w:val="single" w:color="1F3864" w:sz="4" w:space="2"/>
        </w:pBdr>
        <w:spacing w:after="100" w:before="320"/>
      </w:pPr>
      <w:r>
        <w:rPr>
          <w:rFonts w:ascii="Arial" w:cs="Arial" w:eastAsia="Arial" w:hAnsi="Arial"/>
          <w:b/>
          <w:bCs/>
          <w:caps/>
          <w:sz w:val="26"/>
          <w:szCs w:val="26"/>
        </w:rPr>
        <w:t xml:space="preserve">III. Phase-Locked Loop (PLL) Observer</w:t>
      </w:r>
    </w:p>
    <w:p>
      <w:pPr>
        <w:pStyle w:val="Heading2"/>
        <w:spacing w:after="60" w:before="200"/>
      </w:pPr>
      <w:r>
        <w:rPr>
          <w:rFonts w:ascii="Arial" w:cs="Arial" w:eastAsia="Arial" w:hAnsi="Arial"/>
          <w:b/>
          <w:bCs/>
          <w:sz w:val="22"/>
          <w:szCs w:val="22"/>
        </w:rPr>
        <w:t xml:space="preserve">A. Theory</w:t>
      </w:r>
    </w:p>
    <w:p>
      <w:pPr>
        <w:spacing w:after="60" w:before="60"/>
        <w:jc w:val="both"/>
      </w:pPr>
      <w:r>
        <w:rPr>
          <w:rFonts w:ascii="Times New Roman" w:cs="Times New Roman" w:eastAsia="Times New Roman" w:hAnsi="Times New Roman"/>
          <w:sz w:val="20"/>
          <w:szCs w:val="20"/>
        </w:rPr>
        <w:t xml:space="preserve">The PLL observer estimates rotor position θ̂e and speed ω̂e by tracking the reconstructed back-EMF phase angle [10, 11]. The EMF is derived from applied voltages and measured currents:</w:t>
      </w:r>
    </w:p>
    <w:p>
      <w:pPr>
        <w:spacing w:after="80" w:before="80"/>
        <w:jc w:val="center"/>
      </w:pPr>
      <w:r>
        <w:rPr>
          <w:rFonts w:ascii="Courier New" w:cs="Courier New" w:eastAsia="Courier New" w:hAnsi="Courier New"/>
          <w:i/>
          <w:iCs/>
          <w:sz w:val="18"/>
          <w:szCs w:val="18"/>
        </w:rPr>
        <w:t xml:space="preserve">e_α = v_α − R·i_α − L·di_α/dt</w:t>
      </w:r>
    </w:p>
    <w:p>
      <w:pPr>
        <w:spacing w:after="80" w:before="80"/>
        <w:jc w:val="center"/>
      </w:pPr>
      <w:r>
        <w:rPr>
          <w:rFonts w:ascii="Courier New" w:cs="Courier New" w:eastAsia="Courier New" w:hAnsi="Courier New"/>
          <w:i/>
          <w:iCs/>
          <w:sz w:val="18"/>
          <w:szCs w:val="18"/>
        </w:rPr>
        <w:t xml:space="preserve">e_β = v_β − R·i_β − L·di_β/dt</w:t>
      </w:r>
    </w:p>
    <w:p>
      <w:pPr>
        <w:spacing w:after="60" w:before="60"/>
        <w:jc w:val="both"/>
      </w:pPr>
      <w:r>
        <w:rPr>
          <w:rFonts w:ascii="Times New Roman" w:cs="Times New Roman" w:eastAsia="Times New Roman" w:hAnsi="Times New Roman"/>
          <w:sz w:val="20"/>
          <w:szCs w:val="20"/>
        </w:rPr>
        <w:t xml:space="preserve">The second-order PLL is parameterized by natural frequency ωn and damping ratio ζ [12]:</w:t>
      </w:r>
    </w:p>
    <w:p>
      <w:pPr>
        <w:spacing w:after="80" w:before="80"/>
        <w:jc w:val="center"/>
      </w:pPr>
      <w:r>
        <w:rPr>
          <w:rFonts w:ascii="Courier New" w:cs="Courier New" w:eastAsia="Courier New" w:hAnsi="Courier New"/>
          <w:i/>
          <w:iCs/>
          <w:sz w:val="18"/>
          <w:szCs w:val="18"/>
        </w:rPr>
        <w:t xml:space="preserve">Kp = 2·ζ·ωn,    Ki = ωn²</w:t>
      </w:r>
    </w:p>
    <w:p>
      <w:pPr>
        <w:pStyle w:val="Heading2"/>
        <w:spacing w:after="60" w:before="200"/>
      </w:pPr>
      <w:r>
        <w:rPr>
          <w:rFonts w:ascii="Arial" w:cs="Arial" w:eastAsia="Arial" w:hAnsi="Arial"/>
          <w:b/>
          <w:bCs/>
          <w:sz w:val="22"/>
          <w:szCs w:val="22"/>
        </w:rPr>
        <w:t xml:space="preserve">B. Calibration Methodology</w:t>
      </w:r>
    </w:p>
    <w:p>
      <w:pPr>
        <w:spacing w:after="60" w:before="60"/>
        <w:jc w:val="both"/>
      </w:pPr>
      <w:r>
        <w:rPr>
          <w:rFonts w:ascii="Times New Roman" w:cs="Times New Roman" w:eastAsia="Times New Roman" w:hAnsi="Times New Roman"/>
          <w:sz w:val="20"/>
          <w:szCs w:val="20"/>
        </w:rPr>
        <w:t xml:space="preserve">The natural frequency is set from the motor's maximum electrical speed [10]:</w:t>
      </w:r>
    </w:p>
    <w:p>
      <w:pPr>
        <w:spacing w:after="80" w:before="80"/>
        <w:jc w:val="center"/>
      </w:pPr>
      <w:r>
        <w:rPr>
          <w:rFonts w:ascii="Courier New" w:cs="Courier New" w:eastAsia="Courier New" w:hAnsi="Courier New"/>
          <w:i/>
          <w:iCs/>
          <w:sz w:val="18"/>
          <w:szCs w:val="18"/>
        </w:rPr>
        <w:t xml:space="preserve">ωn = clip(0.10 · ωe,max,   50,   600)  [rad/s]</w:t>
      </w:r>
    </w:p>
    <w:p>
      <w:pPr>
        <w:spacing w:after="60" w:before="60"/>
        <w:jc w:val="both"/>
      </w:pPr>
      <w:r>
        <w:rPr>
          <w:rFonts w:ascii="Times New Roman" w:cs="Times New Roman" w:eastAsia="Times New Roman" w:hAnsi="Times New Roman"/>
          <w:sz w:val="20"/>
          <w:szCs w:val="20"/>
        </w:rPr>
        <w:t xml:space="preserve">Damping ratio ζ = 0.9 provides slightly over-damped convergence [12, 13]. When adaptive PLL bandwidth is active, ωn ∝ |ω̂e| at each step, widening bandwidth in the field-weakening region [13]. Recommended for isotropic motors with ωe,max &gt; 1500 rad/s (Section XIV) [42, 43].</w:t>
      </w:r>
    </w:p>
    <w:p>
      <w:r>
        <w:br w:type="page"/>
      </w:r>
    </w:p>
    <w:p>
      <w:pPr>
        <w:pStyle w:val="Heading1"/>
        <w:pBdr>
          <w:bottom w:val="single" w:color="1F3864" w:sz="4" w:space="2"/>
        </w:pBdr>
        <w:spacing w:after="100" w:before="320"/>
      </w:pPr>
      <w:r>
        <w:rPr>
          <w:rFonts w:ascii="Arial" w:cs="Arial" w:eastAsia="Arial" w:hAnsi="Arial"/>
          <w:b/>
          <w:bCs/>
          <w:caps/>
          <w:sz w:val="26"/>
          <w:szCs w:val="26"/>
        </w:rPr>
        <w:t xml:space="preserve">IV. Sliding Mode Observer (SMO)</w:t>
      </w:r>
    </w:p>
    <w:p>
      <w:pPr>
        <w:pStyle w:val="Heading2"/>
        <w:spacing w:after="60" w:before="200"/>
      </w:pPr>
      <w:r>
        <w:rPr>
          <w:rFonts w:ascii="Arial" w:cs="Arial" w:eastAsia="Arial" w:hAnsi="Arial"/>
          <w:b/>
          <w:bCs/>
          <w:sz w:val="22"/>
          <w:szCs w:val="22"/>
        </w:rPr>
        <w:t xml:space="preserve">A. Theory</w:t>
      </w:r>
    </w:p>
    <w:p>
      <w:pPr>
        <w:spacing w:after="60" w:before="60"/>
        <w:jc w:val="both"/>
      </w:pPr>
      <w:r>
        <w:rPr>
          <w:rFonts w:ascii="Times New Roman" w:cs="Times New Roman" w:eastAsia="Times New Roman" w:hAnsi="Times New Roman"/>
          <w:sz w:val="20"/>
          <w:szCs w:val="20"/>
        </w:rPr>
        <w:t xml:space="preserve">The SMO is based on the αβ-frame motor model [14, 15]:</w:t>
      </w:r>
    </w:p>
    <w:p>
      <w:pPr>
        <w:spacing w:after="80" w:before="80"/>
        <w:jc w:val="center"/>
      </w:pPr>
      <w:r>
        <w:rPr>
          <w:rFonts w:ascii="Courier New" w:cs="Courier New" w:eastAsia="Courier New" w:hAnsi="Courier New"/>
          <w:i/>
          <w:iCs/>
          <w:sz w:val="18"/>
          <w:szCs w:val="18"/>
        </w:rPr>
        <w:t xml:space="preserve">L·dî_α/dt = v_α − R·î_α − z_α,    z_α = K_slide · sat(î_α − i_α, Δ)</w:t>
      </w:r>
    </w:p>
    <w:p>
      <w:pPr>
        <w:spacing w:after="60" w:before="60"/>
        <w:jc w:val="both"/>
      </w:pPr>
      <w:r>
        <w:rPr>
          <w:rFonts w:ascii="Times New Roman" w:cs="Times New Roman" w:eastAsia="Times New Roman" w:hAnsi="Times New Roman"/>
          <w:sz w:val="20"/>
          <w:szCs w:val="20"/>
        </w:rPr>
        <w:t xml:space="preserve">The saturation function sat(x, Δ) = clip(x/Δ, −1, +1) reduces chattering [16]. In sliding mode, the equivalent control converges to the back-EMF, extracted by a LPF:</w:t>
      </w:r>
    </w:p>
    <w:p>
      <w:pPr>
        <w:spacing w:after="80" w:before="80"/>
        <w:jc w:val="center"/>
      </w:pPr>
      <w:r>
        <w:rPr>
          <w:rFonts w:ascii="Courier New" w:cs="Courier New" w:eastAsia="Courier New" w:hAnsi="Courier New"/>
          <w:i/>
          <w:iCs/>
          <w:sz w:val="18"/>
          <w:szCs w:val="18"/>
        </w:rPr>
        <w:t xml:space="preserve">ê_α[k+1] = (1−α)·ê_α[k] + α·z_α[k],    α = dt / (τ_LPF + dt)</w:t>
      </w:r>
    </w:p>
    <w:p>
      <w:pPr>
        <w:spacing w:after="60" w:before="60"/>
        <w:jc w:val="both"/>
      </w:pPr>
      <w:r>
        <w:rPr>
          <w:rFonts w:ascii="Times New Roman" w:cs="Times New Roman" w:eastAsia="Times New Roman" w:hAnsi="Times New Roman"/>
          <w:sz w:val="20"/>
          <w:szCs w:val="20"/>
        </w:rPr>
        <w:t xml:space="preserve">Rotor position: θ̂e = atan2(ê_β, ê_α) − π/2 [14].</w:t>
      </w:r>
    </w:p>
    <w:p>
      <w:pPr>
        <w:pStyle w:val="Heading2"/>
        <w:spacing w:after="60" w:before="200"/>
      </w:pPr>
      <w:r>
        <w:rPr>
          <w:rFonts w:ascii="Arial" w:cs="Arial" w:eastAsia="Arial" w:hAnsi="Arial"/>
          <w:b/>
          <w:bCs/>
          <w:sz w:val="22"/>
          <w:szCs w:val="22"/>
        </w:rPr>
        <w:t xml:space="preserve">B. Calibration Methodology</w:t>
      </w:r>
    </w:p>
    <w:p>
      <w:pPr>
        <w:spacing w:after="60" w:before="60"/>
        <w:jc w:val="both"/>
      </w:pPr>
      <w:r>
        <w:rPr>
          <w:rFonts w:ascii="Times New Roman" w:cs="Times New Roman" w:eastAsia="Times New Roman" w:hAnsi="Times New Roman"/>
          <w:sz w:val="20"/>
          <w:szCs w:val="20"/>
        </w:rPr>
        <w:t xml:space="preserve">The reachability condition K_slide &gt; Ke·ωe,max is satisfied by [14, 15]:</w:t>
      </w:r>
    </w:p>
    <w:p>
      <w:pPr>
        <w:spacing w:after="80" w:before="80"/>
        <w:jc w:val="center"/>
      </w:pPr>
      <w:r>
        <w:rPr>
          <w:rFonts w:ascii="Courier New" w:cs="Courier New" w:eastAsia="Courier New" w:hAnsi="Courier New"/>
          <w:i/>
          <w:iCs/>
          <w:sz w:val="18"/>
          <w:szCs w:val="18"/>
        </w:rPr>
        <w:t xml:space="preserve">K_slide = max(50,  1.5 · Ke · ωe,max) × 1.5</w:t>
      </w:r>
    </w:p>
    <w:p>
      <w:pPr>
        <w:spacing w:after="60" w:before="60"/>
        <w:jc w:val="both"/>
      </w:pPr>
      <w:r>
        <w:rPr>
          <w:rFonts w:ascii="Times New Roman" w:cs="Times New Roman" w:eastAsia="Times New Roman" w:hAnsi="Times New Roman"/>
          <w:sz w:val="20"/>
          <w:szCs w:val="20"/>
        </w:rPr>
        <w:t xml:space="preserve">LPF time constant: τ_LPF = 3·L/R, limiting phase lag to ≈14° at the electrical frequency [15]. Boundary layer: Δ = 0.06·K_slide/100. For salient IPM motors (Ld ≠ Lq), the missing term (Lq − Ld)·id·ωe biases the SMO; the Active Flux observer must be used instead [17, 22].</w:t>
      </w:r>
    </w:p>
    <w:p>
      <w:pPr>
        <w:spacing w:after="30" w:before="60"/>
        <w:jc w:val="center"/>
      </w:pPr>
      <w:r>
        <w:drawing>
          <wp:inline distT="0" distB="0" distL="0" distR="0">
            <wp:extent cx="3810000" cy="2886075"/>
            <wp:effectExtent t="0" r="0" b="0" l="0"/>
            <wp:docPr id="1" name="fig3_observer_error.png" descr="fig3_observer_error.png" title="fig3_observer_err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2886075"/>
                    </a:xfrm>
                    <a:prstGeom prst="rect">
                      <a:avLst/>
                    </a:prstGeom>
                  </pic:spPr>
                </pic:pic>
              </a:graphicData>
            </a:graphic>
          </wp:inline>
        </w:drawing>
      </w:r>
    </w:p>
    <w:p>
      <w:pPr>
        <w:spacing w:after="100" w:before="30"/>
        <w:jc w:val="center"/>
      </w:pPr>
      <w:r>
        <w:rPr>
          <w:rFonts w:ascii="Arial" w:cs="Arial" w:eastAsia="Arial" w:hAnsi="Arial"/>
          <w:i/>
          <w:iCs/>
          <w:sz w:val="17"/>
          <w:szCs w:val="17"/>
        </w:rPr>
        <w:t xml:space="preserve">Fig. 2. Comparative angle estimation error: fixed-LPF SMO, PLL, and SOGI-enhanced SMO vs. mechanical speed.</w:t>
      </w:r>
    </w:p>
    <w:p>
      <w:r>
        <w:br w:type="page"/>
      </w:r>
    </w:p>
    <w:p>
      <w:pPr>
        <w:pStyle w:val="Heading1"/>
        <w:pBdr>
          <w:bottom w:val="single" w:color="1F3864" w:sz="4" w:space="2"/>
        </w:pBdr>
        <w:spacing w:after="100" w:before="320"/>
      </w:pPr>
      <w:r>
        <w:rPr>
          <w:rFonts w:ascii="Arial" w:cs="Arial" w:eastAsia="Arial" w:hAnsi="Arial"/>
          <w:b/>
          <w:bCs/>
          <w:caps/>
          <w:sz w:val="26"/>
          <w:szCs w:val="26"/>
        </w:rPr>
        <w:t xml:space="preserve">V. Super-Twisting SMO (ST-SMO)</w:t>
      </w:r>
    </w:p>
    <w:p>
      <w:pPr>
        <w:pStyle w:val="Heading2"/>
        <w:spacing w:after="60" w:before="200"/>
      </w:pPr>
      <w:r>
        <w:rPr>
          <w:rFonts w:ascii="Arial" w:cs="Arial" w:eastAsia="Arial" w:hAnsi="Arial"/>
          <w:b/>
          <w:bCs/>
          <w:sz w:val="22"/>
          <w:szCs w:val="22"/>
        </w:rPr>
        <w:t xml:space="preserve">A. Theory</w:t>
      </w:r>
    </w:p>
    <w:p>
      <w:pPr>
        <w:spacing w:after="60" w:before="60"/>
        <w:jc w:val="both"/>
      </w:pPr>
      <w:r>
        <w:rPr>
          <w:rFonts w:ascii="Times New Roman" w:cs="Times New Roman" w:eastAsia="Times New Roman" w:hAnsi="Times New Roman"/>
          <w:sz w:val="20"/>
          <w:szCs w:val="20"/>
        </w:rPr>
        <w:t xml:space="preserve">The Super-Twisting algorithm [18] introduces an integral state converging to the back-EMF in finite time, eliminating the LPF phase lag [19]:</w:t>
      </w:r>
    </w:p>
    <w:p>
      <w:pPr>
        <w:spacing w:after="80" w:before="80"/>
        <w:jc w:val="center"/>
      </w:pPr>
      <w:r>
        <w:rPr>
          <w:rFonts w:ascii="Courier New" w:cs="Courier New" w:eastAsia="Courier New" w:hAnsi="Courier New"/>
          <w:i/>
          <w:iCs/>
          <w:sz w:val="18"/>
          <w:szCs w:val="18"/>
        </w:rPr>
        <w:t xml:space="preserve">z_α^(1) = K1·|σ_α|^(1/2)·sign(σ_α) + z_α^(2)</w:t>
      </w:r>
    </w:p>
    <w:p>
      <w:pPr>
        <w:spacing w:after="80" w:before="80"/>
        <w:jc w:val="center"/>
      </w:pPr>
      <w:r>
        <w:rPr>
          <w:rFonts w:ascii="Courier New" w:cs="Courier New" w:eastAsia="Courier New" w:hAnsi="Courier New"/>
          <w:i/>
          <w:iCs/>
          <w:sz w:val="18"/>
          <w:szCs w:val="18"/>
        </w:rPr>
        <w:t xml:space="preserve">dz_α^(2)/dt = K2·sign(σ_α)</w:t>
      </w:r>
    </w:p>
    <w:p>
      <w:pPr>
        <w:spacing w:after="60" w:before="60"/>
        <w:jc w:val="both"/>
      </w:pPr>
      <w:r>
        <w:rPr>
          <w:rFonts w:ascii="Times New Roman" w:cs="Times New Roman" w:eastAsia="Times New Roman" w:hAnsi="Times New Roman"/>
          <w:sz w:val="20"/>
          <w:szCs w:val="20"/>
        </w:rPr>
        <w:t xml:space="preserve">At steady state z_α^(2) → ê_α — zero phase lag on the back-EMF estimate [20].</w:t>
      </w:r>
    </w:p>
    <w:p>
      <w:pPr>
        <w:pStyle w:val="Heading2"/>
        <w:spacing w:after="60" w:before="200"/>
      </w:pPr>
      <w:r>
        <w:rPr>
          <w:rFonts w:ascii="Arial" w:cs="Arial" w:eastAsia="Arial" w:hAnsi="Arial"/>
          <w:b/>
          <w:bCs/>
          <w:sz w:val="22"/>
          <w:szCs w:val="22"/>
        </w:rPr>
        <w:t xml:space="preserve">B. Calibration Methodology</w:t>
      </w:r>
    </w:p>
    <w:p>
      <w:pPr>
        <w:spacing w:after="60" w:before="60"/>
        <w:jc w:val="both"/>
      </w:pPr>
      <w:r>
        <w:rPr>
          <w:rFonts w:ascii="Times New Roman" w:cs="Times New Roman" w:eastAsia="Times New Roman" w:hAnsi="Times New Roman"/>
          <w:sz w:val="20"/>
          <w:szCs w:val="20"/>
        </w:rPr>
        <w:t xml:space="preserve">The gain K1 is set from the EMF derivative bound [18, 20]:</w:t>
      </w:r>
    </w:p>
    <w:p>
      <w:pPr>
        <w:spacing w:after="80" w:before="80"/>
        <w:jc w:val="center"/>
      </w:pPr>
      <w:r>
        <w:rPr>
          <w:rFonts w:ascii="Courier New" w:cs="Courier New" w:eastAsia="Courier New" w:hAnsi="Courier New"/>
          <w:i/>
          <w:iCs/>
          <w:sz w:val="18"/>
          <w:szCs w:val="18"/>
        </w:rPr>
        <w:t xml:space="preserve">K1 = λ · Ke · ωe,max · 2.0</w:t>
      </w:r>
    </w:p>
    <w:p>
      <w:pPr>
        <w:spacing w:after="60" w:before="60"/>
        <w:jc w:val="both"/>
      </w:pPr>
      <w:r>
        <w:rPr>
          <w:rFonts w:ascii="Times New Roman" w:cs="Times New Roman" w:eastAsia="Times New Roman" w:hAnsi="Times New Roman"/>
          <w:sz w:val="20"/>
          <w:szCs w:val="20"/>
        </w:rPr>
        <w:t xml:space="preserve">with λ = 3.0 (isotropic) and λ = 4.0 (salient motors, to compensate unmodelled cross-coupling [17, 21]).</w:t>
      </w:r>
    </w:p>
    <w:p>
      <w:pPr>
        <w:spacing w:after="80" w:before="80"/>
        <w:jc w:val="center"/>
      </w:pPr>
      <w:r>
        <w:rPr>
          <w:rFonts w:ascii="Courier New" w:cs="Courier New" w:eastAsia="Courier New" w:hAnsi="Courier New"/>
          <w:i/>
          <w:iCs/>
          <w:sz w:val="18"/>
          <w:szCs w:val="18"/>
        </w:rPr>
        <w:t xml:space="preserve">K2 = max(50,  1.5 · Ke · ωe,max) · 1.5</w:t>
      </w:r>
    </w:p>
    <w:p>
      <w:pPr>
        <w:spacing w:after="60" w:before="60"/>
        <w:jc w:val="both"/>
      </w:pPr>
      <w:r>
        <w:rPr>
          <w:rFonts w:ascii="Times New Roman" w:cs="Times New Roman" w:eastAsia="Times New Roman" w:hAnsi="Times New Roman"/>
          <w:sz w:val="20"/>
          <w:szCs w:val="20"/>
        </w:rPr>
        <w:t xml:space="preserve">The finite-time convergence condition K1 &gt; 2√(ΓM/Γm) is verified for all motors within the accepted parameter range [18].</w:t>
      </w:r>
    </w:p>
    <w:p>
      <w:r>
        <w:br w:type="page"/>
      </w:r>
    </w:p>
    <w:p>
      <w:pPr>
        <w:pStyle w:val="Heading1"/>
        <w:pBdr>
          <w:bottom w:val="single" w:color="1F3864" w:sz="4" w:space="2"/>
        </w:pBdr>
        <w:spacing w:after="100" w:before="320"/>
      </w:pPr>
      <w:r>
        <w:rPr>
          <w:rFonts w:ascii="Arial" w:cs="Arial" w:eastAsia="Arial" w:hAnsi="Arial"/>
          <w:b/>
          <w:bCs/>
          <w:caps/>
          <w:sz w:val="26"/>
          <w:szCs w:val="26"/>
        </w:rPr>
        <w:t xml:space="preserve">VI. Active Flux Observer</w:t>
      </w:r>
    </w:p>
    <w:p>
      <w:pPr>
        <w:pStyle w:val="Heading2"/>
        <w:spacing w:after="60" w:before="200"/>
      </w:pPr>
      <w:r>
        <w:rPr>
          <w:rFonts w:ascii="Arial" w:cs="Arial" w:eastAsia="Arial" w:hAnsi="Arial"/>
          <w:b/>
          <w:bCs/>
          <w:sz w:val="22"/>
          <w:szCs w:val="22"/>
        </w:rPr>
        <w:t xml:space="preserve">A. Theory</w:t>
      </w:r>
    </w:p>
    <w:p>
      <w:pPr>
        <w:spacing w:after="60" w:before="60"/>
        <w:jc w:val="both"/>
      </w:pPr>
      <w:r>
        <w:rPr>
          <w:rFonts w:ascii="Times New Roman" w:cs="Times New Roman" w:eastAsia="Times New Roman" w:hAnsi="Times New Roman"/>
          <w:sz w:val="20"/>
          <w:szCs w:val="20"/>
        </w:rPr>
        <w:t xml:space="preserve">The Active Flux concept [22] defines ψa = ψs − Ld·is. For an IPM motor, ψa always points along the d-axis [22, 23]:</w:t>
      </w:r>
    </w:p>
    <w:p>
      <w:pPr>
        <w:spacing w:after="80" w:before="80"/>
        <w:jc w:val="center"/>
      </w:pPr>
      <w:r>
        <w:rPr>
          <w:rFonts w:ascii="Courier New" w:cs="Courier New" w:eastAsia="Courier New" w:hAnsi="Courier New"/>
          <w:i/>
          <w:iCs/>
          <w:sz w:val="18"/>
          <w:szCs w:val="18"/>
        </w:rPr>
        <w:t xml:space="preserve">θ̂e = atan2(ψ_a,β,  ψ_a,α)</w:t>
      </w:r>
    </w:p>
    <w:p>
      <w:pPr>
        <w:spacing w:after="60" w:before="60"/>
        <w:jc w:val="both"/>
      </w:pPr>
      <w:r>
        <w:rPr>
          <w:rFonts w:ascii="Times New Roman" w:cs="Times New Roman" w:eastAsia="Times New Roman" w:hAnsi="Times New Roman"/>
          <w:sz w:val="20"/>
          <w:szCs w:val="20"/>
        </w:rPr>
        <w:t xml:space="preserve">Stator flux is estimated by voltage-model integration [22, 24]:</w:t>
      </w:r>
    </w:p>
    <w:p>
      <w:pPr>
        <w:spacing w:after="80" w:before="80"/>
        <w:jc w:val="center"/>
      </w:pPr>
      <w:r>
        <w:rPr>
          <w:rFonts w:ascii="Courier New" w:cs="Courier New" w:eastAsia="Courier New" w:hAnsi="Courier New"/>
          <w:i/>
          <w:iCs/>
          <w:sz w:val="18"/>
          <w:szCs w:val="18"/>
        </w:rPr>
        <w:t xml:space="preserve">dψ_s,α/dt = v_α − R·i_α,    dψ_s,β/dt = v_β − R·i_β</w:t>
      </w:r>
    </w:p>
    <w:p>
      <w:pPr>
        <w:spacing w:after="60" w:before="60"/>
        <w:jc w:val="both"/>
      </w:pPr>
      <w:r>
        <w:rPr>
          <w:rFonts w:ascii="Times New Roman" w:cs="Times New Roman" w:eastAsia="Times New Roman" w:hAnsi="Times New Roman"/>
          <w:sz w:val="20"/>
          <w:szCs w:val="20"/>
        </w:rPr>
        <w:t xml:space="preserve">A drift corrector high-pass filter at cutoff ωc prevents integrator divergence [24, 25].</w:t>
      </w:r>
    </w:p>
    <w:p>
      <w:pPr>
        <w:pStyle w:val="Heading2"/>
        <w:spacing w:after="60" w:before="200"/>
      </w:pPr>
      <w:r>
        <w:rPr>
          <w:rFonts w:ascii="Arial" w:cs="Arial" w:eastAsia="Arial" w:hAnsi="Arial"/>
          <w:b/>
          <w:bCs/>
          <w:sz w:val="22"/>
          <w:szCs w:val="22"/>
        </w:rPr>
        <w:t xml:space="preserve">B. Calibration Methodology</w:t>
      </w:r>
    </w:p>
    <w:p>
      <w:pPr>
        <w:spacing w:after="60" w:before="60"/>
        <w:jc w:val="both"/>
      </w:pPr>
      <w:r>
        <w:rPr>
          <w:rFonts w:ascii="Times New Roman" w:cs="Times New Roman" w:eastAsia="Times New Roman" w:hAnsi="Times New Roman"/>
          <w:sz w:val="20"/>
          <w:szCs w:val="20"/>
        </w:rPr>
        <w:t xml:space="preserve">The drift corrector cutoff frequency is calibrated from the minimum expected electrical speed at startup handoff [22, 24]:</w:t>
      </w:r>
    </w:p>
    <w:p>
      <w:pPr>
        <w:spacing w:after="80" w:before="80"/>
        <w:jc w:val="center"/>
      </w:pPr>
      <w:r>
        <w:rPr>
          <w:rFonts w:ascii="Courier New" w:cs="Courier New" w:eastAsia="Courier New" w:hAnsi="Courier New"/>
          <w:i/>
          <w:iCs/>
          <w:sz w:val="18"/>
          <w:szCs w:val="18"/>
        </w:rPr>
        <w:t xml:space="preserve">f_c = clip(f_e,min / 10,   0.05,   0.5)   [Hz]</w:t>
      </w:r>
    </w:p>
    <w:p>
      <w:pPr>
        <w:spacing w:after="60" w:before="60"/>
        <w:jc w:val="both"/>
      </w:pPr>
      <w:r>
        <w:rPr>
          <w:rFonts w:ascii="Times New Roman" w:cs="Times New Roman" w:eastAsia="Times New Roman" w:hAnsi="Times New Roman"/>
          <w:sz w:val="20"/>
          <w:szCs w:val="20"/>
        </w:rPr>
        <w:t xml:space="preserve">Automatically selected for salient IPM motors (Lq/Ld &gt; 1.2) [22, 25] — see Section XIV.</w:t>
      </w:r>
    </w:p>
    <w:p>
      <w:pPr>
        <w:spacing w:after="30" w:before="60"/>
        <w:jc w:val="center"/>
      </w:pPr>
      <w:r>
        <w:drawing>
          <wp:inline distT="0" distB="0" distL="0" distR="0">
            <wp:extent cx="3810000" cy="2886075"/>
            <wp:effectExtent t="0" r="0" b="0" l="0"/>
            <wp:docPr id="1" name="fig8_active_flux.png" descr="fig8_active_flux.png" title="fig8_active_flu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2886075"/>
                    </a:xfrm>
                    <a:prstGeom prst="rect">
                      <a:avLst/>
                    </a:prstGeom>
                  </pic:spPr>
                </pic:pic>
              </a:graphicData>
            </a:graphic>
          </wp:inline>
        </w:drawing>
      </w:r>
    </w:p>
    <w:p>
      <w:pPr>
        <w:spacing w:after="100" w:before="30"/>
        <w:jc w:val="center"/>
      </w:pPr>
      <w:r>
        <w:rPr>
          <w:rFonts w:ascii="Arial" w:cs="Arial" w:eastAsia="Arial" w:hAnsi="Arial"/>
          <w:i/>
          <w:iCs/>
          <w:sz w:val="17"/>
          <w:szCs w:val="17"/>
        </w:rPr>
        <w:t xml:space="preserve">Fig. 3. Angle estimation error: standard SMO (~13° IPM saliency bias) vs. Active Flux observer for a salient IPM motor.</w:t>
      </w:r>
    </w:p>
    <w:p>
      <w:r>
        <w:br w:type="page"/>
      </w:r>
    </w:p>
    <w:p>
      <w:pPr>
        <w:pStyle w:val="Heading1"/>
        <w:pBdr>
          <w:bottom w:val="single" w:color="1F3864" w:sz="4" w:space="2"/>
        </w:pBdr>
        <w:spacing w:after="100" w:before="320"/>
      </w:pPr>
      <w:r>
        <w:rPr>
          <w:rFonts w:ascii="Arial" w:cs="Arial" w:eastAsia="Arial" w:hAnsi="Arial"/>
          <w:b/>
          <w:bCs/>
          <w:caps/>
          <w:sz w:val="26"/>
          <w:szCs w:val="26"/>
        </w:rPr>
        <w:t xml:space="preserve">VII. Extended EMF (EEMF) Model</w:t>
      </w:r>
    </w:p>
    <w:p>
      <w:pPr>
        <w:pStyle w:val="Heading2"/>
        <w:spacing w:after="60" w:before="200"/>
      </w:pPr>
      <w:r>
        <w:rPr>
          <w:rFonts w:ascii="Arial" w:cs="Arial" w:eastAsia="Arial" w:hAnsi="Arial"/>
          <w:b/>
          <w:bCs/>
          <w:sz w:val="22"/>
          <w:szCs w:val="22"/>
        </w:rPr>
        <w:t xml:space="preserve">A. Theory</w:t>
      </w:r>
    </w:p>
    <w:p>
      <w:pPr>
        <w:spacing w:after="60" w:before="60"/>
        <w:jc w:val="both"/>
      </w:pPr>
      <w:r>
        <w:rPr>
          <w:rFonts w:ascii="Times New Roman" w:cs="Times New Roman" w:eastAsia="Times New Roman" w:hAnsi="Times New Roman"/>
          <w:sz w:val="20"/>
          <w:szCs w:val="20"/>
        </w:rPr>
        <w:t xml:space="preserve">For salient motors (Ld ≠ Lq), the standard EMF model introduces an angle-dependent error ∝ (Lq − Ld)·id·ωe [26]. The EEMF model [26] substitutes Lq in the di/dt term:</w:t>
      </w:r>
    </w:p>
    <w:p>
      <w:pPr>
        <w:spacing w:after="80" w:before="80"/>
        <w:jc w:val="center"/>
      </w:pPr>
      <w:r>
        <w:rPr>
          <w:rFonts w:ascii="Courier New" w:cs="Courier New" w:eastAsia="Courier New" w:hAnsi="Courier New"/>
          <w:i/>
          <w:iCs/>
          <w:sz w:val="18"/>
          <w:szCs w:val="18"/>
        </w:rPr>
        <w:t xml:space="preserve">e_EEMF,α = v_α − R·i_α − Lq·di_α/dt</w:t>
      </w:r>
    </w:p>
    <w:p>
      <w:pPr>
        <w:spacing w:after="80" w:before="80"/>
        <w:jc w:val="center"/>
      </w:pPr>
      <w:r>
        <w:rPr>
          <w:rFonts w:ascii="Courier New" w:cs="Courier New" w:eastAsia="Courier New" w:hAnsi="Courier New"/>
          <w:i/>
          <w:iCs/>
          <w:sz w:val="18"/>
          <w:szCs w:val="18"/>
        </w:rPr>
        <w:t xml:space="preserve">e_EEMF,β = v_β − R·i_β − Lq·di_β/dt</w:t>
      </w:r>
    </w:p>
    <w:p>
      <w:pPr>
        <w:spacing w:after="60" w:before="60"/>
        <w:jc w:val="both"/>
      </w:pPr>
      <w:r>
        <w:rPr>
          <w:rFonts w:ascii="Times New Roman" w:cs="Times New Roman" w:eastAsia="Times New Roman" w:hAnsi="Times New Roman"/>
          <w:sz w:val="20"/>
          <w:szCs w:val="20"/>
        </w:rPr>
        <w:t xml:space="preserve">The resulting EEMF vector remains proportional to [−sin θe ; cos θe], enabling unbiased position estimation and eliminating the ~13° no-load angle bias [26, 27].</w:t>
      </w:r>
    </w:p>
    <w:p>
      <w:pPr>
        <w:pStyle w:val="Heading2"/>
        <w:spacing w:after="60" w:before="200"/>
      </w:pPr>
      <w:r>
        <w:rPr>
          <w:rFonts w:ascii="Arial" w:cs="Arial" w:eastAsia="Arial" w:hAnsi="Arial"/>
          <w:b/>
          <w:bCs/>
          <w:sz w:val="22"/>
          <w:szCs w:val="22"/>
        </w:rPr>
        <w:t xml:space="preserve">B. Calibration Methodology</w:t>
      </w:r>
    </w:p>
    <w:p>
      <w:pPr>
        <w:spacing w:after="60" w:before="60"/>
        <w:jc w:val="both"/>
      </w:pPr>
      <w:r>
        <w:rPr>
          <w:rFonts w:ascii="Times New Roman" w:cs="Times New Roman" w:eastAsia="Times New Roman" w:hAnsi="Times New Roman"/>
          <w:sz w:val="20"/>
          <w:szCs w:val="20"/>
        </w:rPr>
        <w:t xml:space="preserve">If σ = Lq/Ld &gt; 1.2, the EEMF model is automatically activated with the SOGI filter (Section VIII) [26, 27]. The MRAS resistance adaptation gain is set to [28]:</w:t>
      </w:r>
    </w:p>
    <w:p>
      <w:pPr>
        <w:spacing w:after="80" w:before="80"/>
        <w:jc w:val="center"/>
      </w:pPr>
      <w:r>
        <w:rPr>
          <w:rFonts w:ascii="Courier New" w:cs="Courier New" w:eastAsia="Courier New" w:hAnsi="Courier New"/>
          <w:i/>
          <w:iCs/>
          <w:sz w:val="18"/>
          <w:szCs w:val="18"/>
        </w:rPr>
        <w:t xml:space="preserve">γ_R = 1 / (0.5 · R · I_max²)</w:t>
      </w:r>
    </w:p>
    <w:p>
      <w:r>
        <w:br w:type="page"/>
      </w:r>
    </w:p>
    <w:p>
      <w:pPr>
        <w:pStyle w:val="Heading1"/>
        <w:pBdr>
          <w:bottom w:val="single" w:color="1F3864" w:sz="4" w:space="2"/>
        </w:pBdr>
        <w:spacing w:after="100" w:before="320"/>
      </w:pPr>
      <w:r>
        <w:rPr>
          <w:rFonts w:ascii="Arial" w:cs="Arial" w:eastAsia="Arial" w:hAnsi="Arial"/>
          <w:b/>
          <w:bCs/>
          <w:caps/>
          <w:sz w:val="26"/>
          <w:szCs w:val="26"/>
        </w:rPr>
        <w:t xml:space="preserve">VIII. SOGI Adaptive EMF Filter</w:t>
      </w:r>
    </w:p>
    <w:p>
      <w:pPr>
        <w:pStyle w:val="Heading2"/>
        <w:spacing w:after="60" w:before="200"/>
      </w:pPr>
      <w:r>
        <w:rPr>
          <w:rFonts w:ascii="Arial" w:cs="Arial" w:eastAsia="Arial" w:hAnsi="Arial"/>
          <w:b/>
          <w:bCs/>
          <w:sz w:val="22"/>
          <w:szCs w:val="22"/>
        </w:rPr>
        <w:t xml:space="preserve">A. Theory</w:t>
      </w:r>
    </w:p>
    <w:p>
      <w:pPr>
        <w:spacing w:after="60" w:before="60"/>
        <w:jc w:val="both"/>
      </w:pPr>
      <w:r>
        <w:rPr>
          <w:rFonts w:ascii="Times New Roman" w:cs="Times New Roman" w:eastAsia="Times New Roman" w:hAnsi="Times New Roman"/>
          <w:sz w:val="20"/>
          <w:szCs w:val="20"/>
        </w:rPr>
        <w:t xml:space="preserve">The Second-Order Generalized Integrator (SOGI) [29, 30] replaces the fixed-frequency LPF with a speed-adaptive resonant bandpass:</w:t>
      </w:r>
    </w:p>
    <w:p>
      <w:pPr>
        <w:spacing w:after="80" w:before="80"/>
        <w:jc w:val="center"/>
      </w:pPr>
      <w:r>
        <w:rPr>
          <w:rFonts w:ascii="Courier New" w:cs="Courier New" w:eastAsia="Courier New" w:hAnsi="Courier New"/>
          <w:i/>
          <w:iCs/>
          <w:sz w:val="18"/>
          <w:szCs w:val="18"/>
        </w:rPr>
        <w:t xml:space="preserve">H_SOGI(s) = k·ωe·s / (s² + k·ωe·s + ωe²)</w:t>
      </w:r>
    </w:p>
    <w:p>
      <w:pPr>
        <w:spacing w:after="60" w:before="60"/>
        <w:jc w:val="both"/>
      </w:pPr>
      <w:r>
        <w:rPr>
          <w:rFonts w:ascii="Times New Roman" w:cs="Times New Roman" w:eastAsia="Times New Roman" w:hAnsi="Times New Roman"/>
          <w:sz w:val="20"/>
          <w:szCs w:val="20"/>
        </w:rPr>
        <w:t xml:space="preserve">with k = √2 (critically damped). Zero phase lag at resonance: ∠H_SOGI(jωe) = 0°, eliminating the LPF-induced position error growing with speed (~14° at 3000 RPM for a 1 ms LPF) [29, 31].</w:t>
      </w:r>
    </w:p>
    <w:p>
      <w:pPr>
        <w:pStyle w:val="Heading2"/>
        <w:spacing w:after="60" w:before="200"/>
      </w:pPr>
      <w:r>
        <w:rPr>
          <w:rFonts w:ascii="Arial" w:cs="Arial" w:eastAsia="Arial" w:hAnsi="Arial"/>
          <w:b/>
          <w:bCs/>
          <w:sz w:val="22"/>
          <w:szCs w:val="22"/>
        </w:rPr>
        <w:t xml:space="preserve">B. Calibration Methodology</w:t>
      </w:r>
    </w:p>
    <w:p>
      <w:pPr>
        <w:spacing w:after="60" w:before="60"/>
        <w:jc w:val="both"/>
      </w:pPr>
      <w:r>
        <w:rPr>
          <w:rFonts w:ascii="Times New Roman" w:cs="Times New Roman" w:eastAsia="Times New Roman" w:hAnsi="Times New Roman"/>
          <w:sz w:val="20"/>
          <w:szCs w:val="20"/>
        </w:rPr>
        <w:t xml:space="preserve">No gain tuning is needed: k = √2 is fixed by critical damping [29]. The resonant frequency ωe is updated adaptively at each simulation step [30, 31]. Automatically activated when the EEMF model is active or ST-SMO mode is selected.</w:t>
      </w:r>
    </w:p>
    <w:p>
      <w:pPr>
        <w:spacing w:after="30" w:before="60"/>
        <w:jc w:val="center"/>
      </w:pPr>
      <w:r>
        <w:drawing>
          <wp:inline distT="0" distB="0" distL="0" distR="0">
            <wp:extent cx="3810000" cy="2886075"/>
            <wp:effectExtent t="0" r="0" b="0" l="0"/>
            <wp:docPr id="1" name="fig6_sogi_lpf.png" descr="fig6_sogi_lpf.png" title="fig6_sogi_lp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2886075"/>
                    </a:xfrm>
                    <a:prstGeom prst="rect">
                      <a:avLst/>
                    </a:prstGeom>
                  </pic:spPr>
                </pic:pic>
              </a:graphicData>
            </a:graphic>
          </wp:inline>
        </w:drawing>
      </w:r>
    </w:p>
    <w:p>
      <w:pPr>
        <w:spacing w:after="100" w:before="30"/>
        <w:jc w:val="center"/>
      </w:pPr>
      <w:r>
        <w:rPr>
          <w:rFonts w:ascii="Arial" w:cs="Arial" w:eastAsia="Arial" w:hAnsi="Arial"/>
          <w:i/>
          <w:iCs/>
          <w:sz w:val="17"/>
          <w:szCs w:val="17"/>
        </w:rPr>
        <w:t xml:space="preserve">Fig. 4. Phase response of SOGI (solid) vs. fixed-frequency LPF (dashed). SOGI achieves zero phase lag at resonance [29].</w:t>
      </w:r>
    </w:p>
    <w:p>
      <w:r>
        <w:br w:type="page"/>
      </w:r>
    </w:p>
    <w:p>
      <w:pPr>
        <w:pStyle w:val="Heading1"/>
        <w:pBdr>
          <w:bottom w:val="single" w:color="1F3864" w:sz="4" w:space="2"/>
        </w:pBdr>
        <w:spacing w:after="100" w:before="320"/>
      </w:pPr>
      <w:r>
        <w:rPr>
          <w:rFonts w:ascii="Arial" w:cs="Arial" w:eastAsia="Arial" w:hAnsi="Arial"/>
          <w:b/>
          <w:bCs/>
          <w:caps/>
          <w:sz w:val="26"/>
          <w:szCs w:val="26"/>
        </w:rPr>
        <w:t xml:space="preserve">IX. Field-Weakening Auto-Calibration</w:t>
      </w:r>
    </w:p>
    <w:p>
      <w:pPr>
        <w:pStyle w:val="Heading2"/>
        <w:spacing w:after="60" w:before="200"/>
      </w:pPr>
      <w:r>
        <w:rPr>
          <w:rFonts w:ascii="Arial" w:cs="Arial" w:eastAsia="Arial" w:hAnsi="Arial"/>
          <w:b/>
          <w:bCs/>
          <w:sz w:val="22"/>
          <w:szCs w:val="22"/>
        </w:rPr>
        <w:t xml:space="preserve">A. Theory</w:t>
      </w:r>
    </w:p>
    <w:p>
      <w:pPr>
        <w:spacing w:after="60" w:before="60"/>
        <w:jc w:val="both"/>
      </w:pPr>
      <w:r>
        <w:rPr>
          <w:rFonts w:ascii="Times New Roman" w:cs="Times New Roman" w:eastAsia="Times New Roman" w:hAnsi="Times New Roman"/>
          <w:sz w:val="20"/>
          <w:szCs w:val="20"/>
        </w:rPr>
        <w:t xml:space="preserve">Above the base speed Nbase, the back-EMF exceeds the available phase voltage Vph = Vdc/√3. Negative d-axis current reduces the effective PM flux linkage [32, 33]:</w:t>
      </w:r>
    </w:p>
    <w:p>
      <w:pPr>
        <w:spacing w:after="80" w:before="80"/>
        <w:jc w:val="center"/>
      </w:pPr>
      <w:r>
        <w:rPr>
          <w:rFonts w:ascii="Courier New" w:cs="Courier New" w:eastAsia="Courier New" w:hAnsi="Courier New"/>
          <w:i/>
          <w:iCs/>
          <w:sz w:val="18"/>
          <w:szCs w:val="18"/>
        </w:rPr>
        <w:t xml:space="preserve">λpm,eff = λpm · clip(1 + k_fw · min(Id, 0),   r_min,   1)</w:t>
      </w:r>
    </w:p>
    <w:p>
      <w:pPr>
        <w:spacing w:after="60" w:before="60"/>
        <w:jc w:val="both"/>
      </w:pPr>
      <w:r>
        <w:rPr>
          <w:rFonts w:ascii="Times New Roman" w:cs="Times New Roman" w:eastAsia="Times New Roman" w:hAnsi="Times New Roman"/>
          <w:sz w:val="20"/>
          <w:szCs w:val="20"/>
        </w:rPr>
        <w:t xml:space="preserve">Minimum flux ratio to reach rated speed [33]:</w:t>
      </w:r>
    </w:p>
    <w:p>
      <w:pPr>
        <w:spacing w:after="80" w:before="80"/>
        <w:jc w:val="center"/>
      </w:pPr>
      <w:r>
        <w:rPr>
          <w:rFonts w:ascii="Courier New" w:cs="Courier New" w:eastAsia="Courier New" w:hAnsi="Courier New"/>
          <w:i/>
          <w:iCs/>
          <w:sz w:val="18"/>
          <w:szCs w:val="18"/>
        </w:rPr>
        <w:t xml:space="preserve">r_req = V_ph / (Ke · ωm,rated)</w:t>
      </w:r>
    </w:p>
    <w:p>
      <w:pPr>
        <w:spacing w:after="60" w:before="60"/>
        <w:jc w:val="both"/>
      </w:pPr>
      <w:r>
        <w:rPr>
          <w:rFonts w:ascii="Times New Roman" w:cs="Times New Roman" w:eastAsia="Times New Roman" w:hAnsi="Times New Roman"/>
          <w:sz w:val="20"/>
          <w:szCs w:val="20"/>
        </w:rPr>
        <w:t xml:space="preserve">The FOC voltage headroom integrator [32, 34]:</w:t>
      </w:r>
    </w:p>
    <w:p>
      <w:pPr>
        <w:spacing w:after="80" w:before="80"/>
        <w:jc w:val="center"/>
      </w:pPr>
      <w:r>
        <w:rPr>
          <w:rFonts w:ascii="Courier New" w:cs="Courier New" w:eastAsia="Courier New" w:hAnsi="Courier New"/>
          <w:i/>
          <w:iCs/>
          <w:sz w:val="18"/>
          <w:szCs w:val="18"/>
        </w:rPr>
        <w:t xml:space="preserve">dId,fw/dt = K_fw · (V_hdm − (V_lim − |Vdq,unsat|))</w:t>
      </w:r>
    </w:p>
    <w:p>
      <w:pPr>
        <w:pStyle w:val="Heading2"/>
        <w:spacing w:after="60" w:before="200"/>
      </w:pPr>
      <w:r>
        <w:rPr>
          <w:rFonts w:ascii="Arial" w:cs="Arial" w:eastAsia="Arial" w:hAnsi="Arial"/>
          <w:b/>
          <w:bCs/>
          <w:sz w:val="22"/>
          <w:szCs w:val="22"/>
        </w:rPr>
        <w:t xml:space="preserve">B. Calibration Methodology</w:t>
      </w:r>
    </w:p>
    <w:p>
      <w:pPr>
        <w:spacing w:after="60" w:before="60"/>
        <w:jc w:val="both"/>
      </w:pPr>
      <w:r>
        <w:rPr>
          <w:rFonts w:ascii="Times New Roman" w:cs="Times New Roman" w:eastAsia="Times New Roman" w:hAnsi="Times New Roman"/>
          <w:b/>
          <w:bCs/>
          <w:sz w:val="20"/>
          <w:szCs w:val="20"/>
        </w:rPr>
        <w:t xml:space="preserve">Stage 1 — Analytical design: </w:t>
      </w:r>
      <w:r>
        <w:rPr>
          <w:rFonts w:ascii="Times New Roman" w:cs="Times New Roman" w:eastAsia="Times New Roman" w:hAnsi="Times New Roman"/>
          <w:sz w:val="20"/>
          <w:szCs w:val="20"/>
        </w:rPr>
        <w:t xml:space="preserve">k_fw = (1 − r_req)·1.05 / Id,max,  with Id,max = 0.7·Irated  and  Vhdm = 0.05·Vph [32, 33].</w:t>
      </w:r>
    </w:p>
    <w:p>
      <w:pPr>
        <w:spacing w:after="60" w:before="60"/>
        <w:jc w:val="both"/>
      </w:pPr>
      <w:r>
        <w:rPr>
          <w:rFonts w:ascii="Times New Roman" w:cs="Times New Roman" w:eastAsia="Times New Roman" w:hAnsi="Times New Roman"/>
          <w:b/>
          <w:bCs/>
          <w:sz w:val="20"/>
          <w:szCs w:val="20"/>
        </w:rPr>
        <w:t xml:space="preserve">Stage 2 — Simulation sweep: </w:t>
      </w:r>
      <w:r>
        <w:rPr>
          <w:rFonts w:ascii="Times New Roman" w:cs="Times New Roman" w:eastAsia="Times New Roman" w:hAnsi="Times New Roman"/>
          <w:sz w:val="20"/>
          <w:szCs w:val="20"/>
        </w:rPr>
        <w:t xml:space="preserve">A 3×3 gain grid {0.5, 1.0, 1.5}×Kfw,analytical is validated over three operating points (50%, 75%, 100% load at rated speed) [5, 34].</w:t>
      </w:r>
    </w:p>
    <w:p>
      <w:pPr>
        <w:spacing w:after="30" w:before="60"/>
        <w:jc w:val="center"/>
      </w:pPr>
      <w:r>
        <w:drawing>
          <wp:inline distT="0" distB="0" distL="0" distR="0">
            <wp:extent cx="3810000" cy="2886075"/>
            <wp:effectExtent t="0" r="0" b="0" l="0"/>
            <wp:docPr id="1" name="fig4_field_weakening.png" descr="fig4_field_weakening.png" title="fig4_field_weaken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10000" cy="2886075"/>
                    </a:xfrm>
                    <a:prstGeom prst="rect">
                      <a:avLst/>
                    </a:prstGeom>
                  </pic:spPr>
                </pic:pic>
              </a:graphicData>
            </a:graphic>
          </wp:inline>
        </w:drawing>
      </w:r>
    </w:p>
    <w:p>
      <w:pPr>
        <w:spacing w:after="100" w:before="30"/>
        <w:jc w:val="center"/>
      </w:pPr>
      <w:r>
        <w:rPr>
          <w:rFonts w:ascii="Arial" w:cs="Arial" w:eastAsia="Arial" w:hAnsi="Arial"/>
          <w:i/>
          <w:iCs/>
          <w:sz w:val="17"/>
          <w:szCs w:val="17"/>
        </w:rPr>
        <w:t xml:space="preserve">Fig. 5. Field-weakening: Id injection (top) and voltage demand (bottom) vs. speed.</w:t>
      </w:r>
    </w:p>
    <w:p>
      <w:r>
        <w:br w:type="page"/>
      </w:r>
    </w:p>
    <w:p>
      <w:pPr>
        <w:pStyle w:val="Heading1"/>
        <w:pBdr>
          <w:bottom w:val="single" w:color="1F3864" w:sz="4" w:space="2"/>
        </w:pBdr>
        <w:spacing w:after="100" w:before="320"/>
      </w:pPr>
      <w:r>
        <w:rPr>
          <w:rFonts w:ascii="Arial" w:cs="Arial" w:eastAsia="Arial" w:hAnsi="Arial"/>
          <w:b/>
          <w:bCs/>
          <w:caps/>
          <w:sz w:val="26"/>
          <w:szCs w:val="26"/>
        </w:rPr>
        <w:t xml:space="preserve">X. Startup Sequence Auto-Tuning</w:t>
      </w:r>
    </w:p>
    <w:p>
      <w:pPr>
        <w:pStyle w:val="Heading2"/>
        <w:spacing w:after="60" w:before="200"/>
      </w:pPr>
      <w:r>
        <w:rPr>
          <w:rFonts w:ascii="Arial" w:cs="Arial" w:eastAsia="Arial" w:hAnsi="Arial"/>
          <w:b/>
          <w:bCs/>
          <w:sz w:val="22"/>
          <w:szCs w:val="22"/>
        </w:rPr>
        <w:t xml:space="preserve">A. Theory</w:t>
      </w:r>
    </w:p>
    <w:p>
      <w:pPr>
        <w:spacing w:after="60" w:before="60"/>
        <w:jc w:val="both"/>
      </w:pPr>
      <w:r>
        <w:rPr>
          <w:rFonts w:ascii="Times New Roman" w:cs="Times New Roman" w:eastAsia="Times New Roman" w:hAnsi="Times New Roman"/>
          <w:sz w:val="20"/>
          <w:szCs w:val="20"/>
        </w:rPr>
        <w:t xml:space="preserve">At standstill the back-EMF is zero and observer convergence requires a minimum speed [35, 36]. A three-phase startup sequence is implemented.</w:t>
      </w:r>
    </w:p>
    <w:p>
      <w:pPr>
        <w:spacing w:after="60" w:before="60"/>
        <w:jc w:val="both"/>
      </w:pPr>
      <w:r>
        <w:rPr>
          <w:rFonts w:ascii="Times New Roman" w:cs="Times New Roman" w:eastAsia="Times New Roman" w:hAnsi="Times New Roman"/>
          <w:b/>
          <w:bCs/>
          <w:sz w:val="20"/>
          <w:szCs w:val="20"/>
        </w:rPr>
        <w:t xml:space="preserve">Phase 1 — Alignment: </w:t>
      </w:r>
      <w:r>
        <w:rPr>
          <w:rFonts w:ascii="Times New Roman" w:cs="Times New Roman" w:eastAsia="Times New Roman" w:hAnsi="Times New Roman"/>
          <w:sz w:val="20"/>
          <w:szCs w:val="20"/>
        </w:rPr>
        <w:t xml:space="preserve">A constant d-axis current is applied at fixed angle θalign = 0, forcing the rotor to align with the reference frame [35, 36].</w:t>
      </w:r>
    </w:p>
    <w:p>
      <w:pPr>
        <w:spacing w:after="60" w:before="60"/>
        <w:jc w:val="both"/>
      </w:pPr>
      <w:r>
        <w:rPr>
          <w:rFonts w:ascii="Times New Roman" w:cs="Times New Roman" w:eastAsia="Times New Roman" w:hAnsi="Times New Roman"/>
          <w:b/>
          <w:bCs/>
          <w:sz w:val="20"/>
          <w:szCs w:val="20"/>
        </w:rPr>
        <w:t xml:space="preserve">Phase 2 — Open-loop ramp: </w:t>
      </w:r>
      <w:r>
        <w:rPr>
          <w:rFonts w:ascii="Times New Roman" w:cs="Times New Roman" w:eastAsia="Times New Roman" w:hAnsi="Times New Roman"/>
          <w:sz w:val="20"/>
          <w:szCs w:val="20"/>
        </w:rPr>
        <w:t xml:space="preserve">The reference angle is incremented at a controlled rate, accelerating the motor in V/Hz mode [36, 37].</w:t>
      </w:r>
    </w:p>
    <w:p>
      <w:pPr>
        <w:spacing w:after="60" w:before="60"/>
        <w:jc w:val="both"/>
      </w:pPr>
      <w:r>
        <w:rPr>
          <w:rFonts w:ascii="Times New Roman" w:cs="Times New Roman" w:eastAsia="Times New Roman" w:hAnsi="Times New Roman"/>
          <w:b/>
          <w:bCs/>
          <w:sz w:val="20"/>
          <w:szCs w:val="20"/>
        </w:rPr>
        <w:t xml:space="preserve">Phase 3 — Observer handoff: </w:t>
      </w:r>
      <w:r>
        <w:rPr>
          <w:rFonts w:ascii="Times New Roman" w:cs="Times New Roman" w:eastAsia="Times New Roman" w:hAnsi="Times New Roman"/>
          <w:sz w:val="20"/>
          <w:szCs w:val="20"/>
        </w:rPr>
        <w:t xml:space="preserve">The reference switches to the observer estimate when the confidence metric C exceeds the hysteresis band [37]:</w:t>
      </w:r>
    </w:p>
    <w:p>
      <w:pPr>
        <w:spacing w:after="80" w:before="80"/>
        <w:jc w:val="center"/>
      </w:pPr>
      <w:r>
        <w:rPr>
          <w:rFonts w:ascii="Courier New" w:cs="Courier New" w:eastAsia="Courier New" w:hAnsi="Courier New"/>
          <w:i/>
          <w:iCs/>
          <w:sz w:val="18"/>
          <w:szCs w:val="18"/>
        </w:rPr>
        <w:t xml:space="preserve">C = w_emf·C_emf + w_ω·C_ω + w_coh·C_coherence</w:t>
      </w:r>
    </w:p>
    <w:p>
      <w:pPr>
        <w:pStyle w:val="Heading2"/>
        <w:spacing w:after="60" w:before="200"/>
      </w:pPr>
      <w:r>
        <w:rPr>
          <w:rFonts w:ascii="Arial" w:cs="Arial" w:eastAsia="Arial" w:hAnsi="Arial"/>
          <w:b/>
          <w:bCs/>
          <w:sz w:val="22"/>
          <w:szCs w:val="22"/>
        </w:rPr>
        <w:t xml:space="preserve">B. Calibration Methodology</w:t>
      </w:r>
    </w:p>
    <w:p>
      <w:pPr>
        <w:spacing w:after="60" w:before="60"/>
        <w:jc w:val="both"/>
      </w:pPr>
      <w:r>
        <w:rPr>
          <w:rFonts w:ascii="Times New Roman" w:cs="Times New Roman" w:eastAsia="Times New Roman" w:hAnsi="Times New Roman"/>
          <w:sz w:val="20"/>
          <w:szCs w:val="20"/>
        </w:rPr>
        <w:t xml:space="preserve">Alignment duration [35, 36]:</w:t>
      </w:r>
    </w:p>
    <w:p>
      <w:pPr>
        <w:spacing w:after="80" w:before="80"/>
        <w:jc w:val="center"/>
      </w:pPr>
      <w:r>
        <w:rPr>
          <w:rFonts w:ascii="Courier New" w:cs="Courier New" w:eastAsia="Courier New" w:hAnsi="Courier New"/>
          <w:i/>
          <w:iCs/>
          <w:sz w:val="18"/>
          <w:szCs w:val="18"/>
        </w:rPr>
        <w:t xml:space="preserve">t_align = 5 · τe = 5 · L/R    (99.3% current settling)</w:t>
      </w:r>
    </w:p>
    <w:p>
      <w:pPr>
        <w:spacing w:after="60" w:before="60"/>
        <w:jc w:val="both"/>
      </w:pPr>
      <w:r>
        <w:rPr>
          <w:rFonts w:ascii="Times New Roman" w:cs="Times New Roman" w:eastAsia="Times New Roman" w:hAnsi="Times New Roman"/>
          <w:sz w:val="20"/>
          <w:szCs w:val="20"/>
        </w:rPr>
        <w:t xml:space="preserve">Alignment current and startup q-current reference [36, 37]:</w:t>
      </w:r>
    </w:p>
    <w:p>
      <w:pPr>
        <w:spacing w:after="80" w:before="80"/>
        <w:jc w:val="center"/>
      </w:pPr>
      <w:r>
        <w:rPr>
          <w:rFonts w:ascii="Courier New" w:cs="Courier New" w:eastAsia="Courier New" w:hAnsi="Courier New"/>
          <w:i/>
          <w:iCs/>
          <w:sz w:val="18"/>
          <w:szCs w:val="18"/>
        </w:rPr>
        <w:t xml:space="preserve">I_align = clip(0.10 · V_bus / R,   0,   I_rated)</w:t>
      </w:r>
    </w:p>
    <w:p>
      <w:pPr>
        <w:spacing w:after="80" w:before="80"/>
        <w:jc w:val="center"/>
      </w:pPr>
      <w:r>
        <w:rPr>
          <w:rFonts w:ascii="Courier New" w:cs="Courier New" w:eastAsia="Courier New" w:hAnsi="Courier New"/>
          <w:i/>
          <w:iCs/>
          <w:sz w:val="18"/>
          <w:szCs w:val="18"/>
        </w:rPr>
        <w:t xml:space="preserve">Iq,startup = 0.05 · V_bus / R</w:t>
      </w:r>
    </w:p>
    <w:p>
      <w:pPr>
        <w:spacing w:after="30" w:before="60"/>
        <w:jc w:val="center"/>
      </w:pPr>
      <w:r>
        <w:drawing>
          <wp:inline distT="0" distB="0" distL="0" distR="0">
            <wp:extent cx="3810000" cy="2886075"/>
            <wp:effectExtent t="0" r="0" b="0" l="0"/>
            <wp:docPr id="1" name="fig5_startup.png" descr="fig5_startup.png" title="fig5_start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810000" cy="2886075"/>
                    </a:xfrm>
                    <a:prstGeom prst="rect">
                      <a:avLst/>
                    </a:prstGeom>
                  </pic:spPr>
                </pic:pic>
              </a:graphicData>
            </a:graphic>
          </wp:inline>
        </w:drawing>
      </w:r>
    </w:p>
    <w:p>
      <w:pPr>
        <w:spacing w:after="100" w:before="30"/>
        <w:jc w:val="center"/>
      </w:pPr>
      <w:r>
        <w:rPr>
          <w:rFonts w:ascii="Arial" w:cs="Arial" w:eastAsia="Arial" w:hAnsi="Arial"/>
          <w:i/>
          <w:iCs/>
          <w:sz w:val="17"/>
          <w:szCs w:val="17"/>
        </w:rPr>
        <w:t xml:space="preserve">Fig. 6. Auto-tuned startup sequence: alignment (orange), open-loop ramp (red), and closed-loop FOC (green).</w:t>
      </w:r>
    </w:p>
    <w:p>
      <w:r>
        <w:br w:type="page"/>
      </w:r>
    </w:p>
    <w:p>
      <w:pPr>
        <w:pStyle w:val="Heading1"/>
        <w:pBdr>
          <w:bottom w:val="single" w:color="1F3864" w:sz="4" w:space="2"/>
        </w:pBdr>
        <w:spacing w:after="100" w:before="320"/>
      </w:pPr>
      <w:r>
        <w:rPr>
          <w:rFonts w:ascii="Arial" w:cs="Arial" w:eastAsia="Arial" w:hAnsi="Arial"/>
          <w:b/>
          <w:bCs/>
          <w:caps/>
          <w:sz w:val="26"/>
          <w:szCs w:val="26"/>
        </w:rPr>
        <w:t xml:space="preserve">XI. Power Factor Controller (PFC)</w:t>
      </w:r>
    </w:p>
    <w:p>
      <w:pPr>
        <w:pStyle w:val="Heading2"/>
        <w:spacing w:after="60" w:before="200"/>
      </w:pPr>
      <w:r>
        <w:rPr>
          <w:rFonts w:ascii="Arial" w:cs="Arial" w:eastAsia="Arial" w:hAnsi="Arial"/>
          <w:b/>
          <w:bCs/>
          <w:sz w:val="22"/>
          <w:szCs w:val="22"/>
        </w:rPr>
        <w:t xml:space="preserve">A. Theory</w:t>
      </w:r>
    </w:p>
    <w:p>
      <w:pPr>
        <w:spacing w:after="60" w:before="60"/>
        <w:jc w:val="both"/>
      </w:pPr>
      <w:r>
        <w:rPr>
          <w:rFonts w:ascii="Times New Roman" w:cs="Times New Roman" w:eastAsia="Times New Roman" w:hAnsi="Times New Roman"/>
          <w:sz w:val="20"/>
          <w:szCs w:val="20"/>
        </w:rPr>
        <w:t xml:space="preserve">The PFC compensates reactive power to approach unity input power factor [38, 39]. Power metrics are computed over a sliding window of Nw samples:</w:t>
      </w:r>
    </w:p>
    <w:p>
      <w:pPr>
        <w:spacing w:after="80" w:before="80"/>
        <w:jc w:val="center"/>
      </w:pPr>
      <w:r>
        <w:rPr>
          <w:rFonts w:ascii="Courier New" w:cs="Courier New" w:eastAsia="Courier New" w:hAnsi="Courier New"/>
          <w:i/>
          <w:iCs/>
          <w:sz w:val="18"/>
          <w:szCs w:val="18"/>
        </w:rPr>
        <w:t xml:space="preserve">P = (1/Nw)·Σ(vk·ik),    S = Vrms·Irms,    Q = √(S² − P²)</w:t>
      </w:r>
    </w:p>
    <w:p>
      <w:pPr>
        <w:pStyle w:val="Heading2"/>
        <w:spacing w:after="60" w:before="200"/>
      </w:pPr>
      <w:r>
        <w:rPr>
          <w:rFonts w:ascii="Arial" w:cs="Arial" w:eastAsia="Arial" w:hAnsi="Arial"/>
          <w:b/>
          <w:bCs/>
          <w:sz w:val="22"/>
          <w:szCs w:val="22"/>
        </w:rPr>
        <w:t xml:space="preserve">B. Calibration Methodology</w:t>
      </w:r>
    </w:p>
    <w:p>
      <w:pPr>
        <w:spacing w:after="60" w:before="60"/>
        <w:jc w:val="both"/>
      </w:pPr>
      <w:r>
        <w:rPr>
          <w:rFonts w:ascii="Times New Roman" w:cs="Times New Roman" w:eastAsia="Times New Roman" w:hAnsi="Times New Roman"/>
          <w:sz w:val="20"/>
          <w:szCs w:val="20"/>
        </w:rPr>
        <w:t xml:space="preserve">Maximum compensation variance — bounded to 30% of no-load power [38]:</w:t>
      </w:r>
    </w:p>
    <w:p>
      <w:pPr>
        <w:spacing w:after="80" w:before="80"/>
        <w:jc w:val="center"/>
      </w:pPr>
      <w:r>
        <w:rPr>
          <w:rFonts w:ascii="Courier New" w:cs="Courier New" w:eastAsia="Courier New" w:hAnsi="Courier New"/>
          <w:i/>
          <w:iCs/>
          <w:sz w:val="18"/>
          <w:szCs w:val="18"/>
        </w:rPr>
        <w:t xml:space="preserve">max_var = clip(V_bus² / (2R) · 0.30,   100,   50000)   [W²]</w:t>
      </w:r>
    </w:p>
    <w:p>
      <w:pPr>
        <w:spacing w:after="60" w:before="60"/>
        <w:jc w:val="both"/>
      </w:pPr>
      <w:r>
        <w:rPr>
          <w:rFonts w:ascii="Times New Roman" w:cs="Times New Roman" w:eastAsia="Times New Roman" w:hAnsi="Times New Roman"/>
          <w:sz w:val="20"/>
          <w:szCs w:val="20"/>
        </w:rPr>
        <w:t xml:space="preserve">Window length — covering at least two electrical periods at rated frequency [39]:</w:t>
      </w:r>
    </w:p>
    <w:p>
      <w:pPr>
        <w:spacing w:after="80" w:before="80"/>
        <w:jc w:val="center"/>
      </w:pPr>
      <w:r>
        <w:rPr>
          <w:rFonts w:ascii="Courier New" w:cs="Courier New" w:eastAsia="Courier New" w:hAnsi="Courier New"/>
          <w:i/>
          <w:iCs/>
          <w:sz w:val="18"/>
          <w:szCs w:val="18"/>
        </w:rPr>
        <w:t xml:space="preserve">Nw = clip(2 / (f_e,rated · dt),   8,   2000)   [samples]</w:t>
      </w:r>
    </w:p>
    <w:p>
      <w:pPr>
        <w:spacing w:after="30" w:before="60"/>
        <w:jc w:val="center"/>
      </w:pPr>
      <w:r>
        <w:drawing>
          <wp:inline distT="0" distB="0" distL="0" distR="0">
            <wp:extent cx="3810000" cy="2886075"/>
            <wp:effectExtent t="0" r="0" b="0" l="0"/>
            <wp:docPr id="1" name="fig7_pfc.png" descr="fig7_pfc.png" title="fig7_pf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810000" cy="2886075"/>
                    </a:xfrm>
                    <a:prstGeom prst="rect">
                      <a:avLst/>
                    </a:prstGeom>
                  </pic:spPr>
                </pic:pic>
              </a:graphicData>
            </a:graphic>
          </wp:inline>
        </w:drawing>
      </w:r>
    </w:p>
    <w:p>
      <w:pPr>
        <w:spacing w:after="100" w:before="30"/>
        <w:jc w:val="center"/>
      </w:pPr>
      <w:r>
        <w:rPr>
          <w:rFonts w:ascii="Arial" w:cs="Arial" w:eastAsia="Arial" w:hAnsi="Arial"/>
          <w:i/>
          <w:iCs/>
          <w:sz w:val="17"/>
          <w:szCs w:val="17"/>
        </w:rPr>
        <w:t xml:space="preserve">Fig. 7. PFC phase correction: voltage (blue), current before PFC (orange), corrected current (green dashed). PF convergence shown below.</w:t>
      </w:r>
    </w:p>
    <w:p>
      <w:r>
        <w:br w:type="page"/>
      </w:r>
    </w:p>
    <w:p>
      <w:pPr>
        <w:pStyle w:val="Heading1"/>
        <w:pBdr>
          <w:bottom w:val="single" w:color="1F3864" w:sz="4" w:space="2"/>
        </w:pBdr>
        <w:spacing w:after="100" w:before="320"/>
      </w:pPr>
      <w:r>
        <w:rPr>
          <w:rFonts w:ascii="Arial" w:cs="Arial" w:eastAsia="Arial" w:hAnsi="Arial"/>
          <w:b/>
          <w:bCs/>
          <w:caps/>
          <w:sz w:val="26"/>
          <w:szCs w:val="26"/>
        </w:rPr>
        <w:t xml:space="preserve">XII. D/Q Axis Decoupling</w:t>
      </w:r>
    </w:p>
    <w:p>
      <w:pPr>
        <w:pStyle w:val="Heading2"/>
        <w:spacing w:after="60" w:before="200"/>
      </w:pPr>
      <w:r>
        <w:rPr>
          <w:rFonts w:ascii="Arial" w:cs="Arial" w:eastAsia="Arial" w:hAnsi="Arial"/>
          <w:b/>
          <w:bCs/>
          <w:sz w:val="22"/>
          <w:szCs w:val="22"/>
        </w:rPr>
        <w:t xml:space="preserve">A. Theory</w:t>
      </w:r>
    </w:p>
    <w:p>
      <w:pPr>
        <w:spacing w:after="60" w:before="60"/>
        <w:jc w:val="both"/>
      </w:pPr>
      <w:r>
        <w:rPr>
          <w:rFonts w:ascii="Times New Roman" w:cs="Times New Roman" w:eastAsia="Times New Roman" w:hAnsi="Times New Roman"/>
          <w:sz w:val="20"/>
          <w:szCs w:val="20"/>
        </w:rPr>
        <w:t xml:space="preserve">The d-q voltage equations include cross-coupling terms that grow with speed [2, 6]:</w:t>
      </w:r>
    </w:p>
    <w:p>
      <w:pPr>
        <w:spacing w:after="80" w:before="80"/>
        <w:jc w:val="center"/>
      </w:pPr>
      <w:r>
        <w:rPr>
          <w:rFonts w:ascii="Courier New" w:cs="Courier New" w:eastAsia="Courier New" w:hAnsi="Courier New"/>
          <w:i/>
          <w:iCs/>
          <w:sz w:val="18"/>
          <w:szCs w:val="18"/>
        </w:rPr>
        <w:t xml:space="preserve">v_d = R·id + Ld·did/dt − ωe·Lq·iq</w:t>
      </w:r>
    </w:p>
    <w:p>
      <w:pPr>
        <w:spacing w:after="80" w:before="80"/>
        <w:jc w:val="center"/>
      </w:pPr>
      <w:r>
        <w:rPr>
          <w:rFonts w:ascii="Courier New" w:cs="Courier New" w:eastAsia="Courier New" w:hAnsi="Courier New"/>
          <w:i/>
          <w:iCs/>
          <w:sz w:val="18"/>
          <w:szCs w:val="18"/>
        </w:rPr>
        <w:t xml:space="preserve">v_q = R·iq + Lq·diq/dt + ωe·(Ld·id + λpm)</w:t>
      </w:r>
    </w:p>
    <w:p>
      <w:pPr>
        <w:spacing w:after="60" w:before="60"/>
        <w:jc w:val="both"/>
      </w:pPr>
      <w:r>
        <w:rPr>
          <w:rFonts w:ascii="Times New Roman" w:cs="Times New Roman" w:eastAsia="Times New Roman" w:hAnsi="Times New Roman"/>
          <w:sz w:val="20"/>
          <w:szCs w:val="20"/>
        </w:rPr>
        <w:t xml:space="preserve">Feed-forward decoupling cancels these terms explicitly [2, 6, 40]:</w:t>
      </w:r>
    </w:p>
    <w:p>
      <w:pPr>
        <w:spacing w:after="80" w:before="80"/>
        <w:jc w:val="center"/>
      </w:pPr>
      <w:r>
        <w:rPr>
          <w:rFonts w:ascii="Courier New" w:cs="Courier New" w:eastAsia="Courier New" w:hAnsi="Courier New"/>
          <w:i/>
          <w:iCs/>
          <w:sz w:val="18"/>
          <w:szCs w:val="18"/>
        </w:rPr>
        <w:t xml:space="preserve">v_d = v_d,PI − ωe·Lq·iq</w:t>
      </w:r>
    </w:p>
    <w:p>
      <w:pPr>
        <w:spacing w:after="80" w:before="80"/>
        <w:jc w:val="center"/>
      </w:pPr>
      <w:r>
        <w:rPr>
          <w:rFonts w:ascii="Courier New" w:cs="Courier New" w:eastAsia="Courier New" w:hAnsi="Courier New"/>
          <w:i/>
          <w:iCs/>
          <w:sz w:val="18"/>
          <w:szCs w:val="18"/>
        </w:rPr>
        <w:t xml:space="preserve">v_q = v_q,PI + ωe·(Ld·id + λpm)</w:t>
      </w:r>
    </w:p>
    <w:p>
      <w:pPr>
        <w:pStyle w:val="Heading2"/>
        <w:spacing w:after="60" w:before="200"/>
      </w:pPr>
      <w:r>
        <w:rPr>
          <w:rFonts w:ascii="Arial" w:cs="Arial" w:eastAsia="Arial" w:hAnsi="Arial"/>
          <w:b/>
          <w:bCs/>
          <w:sz w:val="22"/>
          <w:szCs w:val="22"/>
        </w:rPr>
        <w:t xml:space="preserve">B. Calibration Methodology</w:t>
      </w:r>
    </w:p>
    <w:p>
      <w:pPr>
        <w:spacing w:after="60" w:before="60"/>
        <w:jc w:val="both"/>
      </w:pPr>
      <w:r>
        <w:rPr>
          <w:rFonts w:ascii="Times New Roman" w:cs="Times New Roman" w:eastAsia="Times New Roman" w:hAnsi="Times New Roman"/>
          <w:sz w:val="20"/>
          <w:szCs w:val="20"/>
        </w:rPr>
        <w:t xml:space="preserve">Decoupling is always enabled post-calibration. Feed-forward gains are computed directly from motor parameters: Lq for the d-axis cross-coupling, and Ld with λpm = Ke/pp for the q-axis [2, 6, 40]. The estimated observer speed ω̂e is used; measured speed serves as fallback.</w:t>
      </w:r>
    </w:p>
    <w:p>
      <w:r>
        <w:br w:type="page"/>
      </w:r>
    </w:p>
    <w:p>
      <w:pPr>
        <w:pStyle w:val="Heading1"/>
        <w:pBdr>
          <w:bottom w:val="single" w:color="1F3864" w:sz="4" w:space="2"/>
        </w:pBdr>
        <w:spacing w:after="100" w:before="320"/>
      </w:pPr>
      <w:r>
        <w:rPr>
          <w:rFonts w:ascii="Arial" w:cs="Arial" w:eastAsia="Arial" w:hAnsi="Arial"/>
          <w:b/>
          <w:bCs/>
          <w:caps/>
          <w:sz w:val="26"/>
          <w:szCs w:val="26"/>
        </w:rPr>
        <w:t xml:space="preserve">XIII. Calibration Pipeline Summary</w:t>
      </w:r>
    </w:p>
    <w:p>
      <w:pPr>
        <w:pStyle w:val="Heading2"/>
        <w:spacing w:after="60" w:before="200"/>
      </w:pPr>
      <w:r>
        <w:rPr>
          <w:rFonts w:ascii="Arial" w:cs="Arial" w:eastAsia="Arial" w:hAnsi="Arial"/>
          <w:b/>
          <w:bCs/>
          <w:sz w:val="22"/>
          <w:szCs w:val="22"/>
        </w:rPr>
        <w:t xml:space="preserve">A. Execution Order</w:t>
      </w:r>
    </w:p>
    <w:p>
      <w:pPr>
        <w:spacing w:after="60" w:before="60"/>
        <w:jc w:val="both"/>
      </w:pPr>
      <w:r>
        <w:rPr>
          <w:rFonts w:ascii="Times New Roman" w:cs="Times New Roman" w:eastAsia="Times New Roman" w:hAnsi="Times New Roman"/>
          <w:b/>
          <w:bCs/>
          <w:sz w:val="20"/>
          <w:szCs w:val="20"/>
        </w:rPr>
        <w:t xml:space="preserve">1. </w:t>
      </w:r>
      <w:r>
        <w:rPr>
          <w:rFonts w:ascii="Times New Roman" w:cs="Times New Roman" w:eastAsia="Times New Roman" w:hAnsi="Times New Roman"/>
          <w:sz w:val="20"/>
          <w:szCs w:val="20"/>
        </w:rPr>
        <w:t xml:space="preserve">Stage 1: AdaptiveFOCTuner.tune_analytical() — PI gains (current and speed loops), observer parameters (PLL, SMO, STSMO, AF), D/Q decoupling gains, startup sequence timing [4, 6].</w:t>
      </w:r>
    </w:p>
    <w:p>
      <w:pPr>
        <w:spacing w:after="60" w:before="60"/>
        <w:jc w:val="both"/>
      </w:pPr>
      <w:r>
        <w:rPr>
          <w:rFonts w:ascii="Times New Roman" w:cs="Times New Roman" w:eastAsia="Times New Roman" w:hAnsi="Times New Roman"/>
          <w:b/>
          <w:bCs/>
          <w:sz w:val="20"/>
          <w:szCs w:val="20"/>
        </w:rPr>
        <w:t xml:space="preserve">2. </w:t>
      </w:r>
      <w:r>
        <w:rPr>
          <w:rFonts w:ascii="Times New Roman" w:cs="Times New Roman" w:eastAsia="Times New Roman" w:hAnsi="Times New Roman"/>
          <w:sz w:val="20"/>
          <w:szCs w:val="20"/>
        </w:rPr>
        <w:t xml:space="preserve">Stage 2: FieldWeakeningCalibrator.calibrate() — analytical FW parameters and simulation sweep. Results written to data/tuning_sessions/&lt;fingerprint&gt;.json [5, 34].</w:t>
      </w:r>
    </w:p>
    <w:p>
      <w:pPr>
        <w:spacing w:after="60" w:before="60"/>
        <w:jc w:val="both"/>
      </w:pPr>
      <w:r>
        <w:rPr>
          <w:rFonts w:ascii="Times New Roman" w:cs="Times New Roman" w:eastAsia="Times New Roman" w:hAnsi="Times New Roman"/>
          <w:b/>
          <w:bCs/>
          <w:sz w:val="20"/>
          <w:szCs w:val="20"/>
        </w:rPr>
        <w:t xml:space="preserve">3. </w:t>
      </w:r>
      <w:r>
        <w:rPr>
          <w:rFonts w:ascii="Times New Roman" w:cs="Times New Roman" w:eastAsia="Times New Roman" w:hAnsi="Times New Roman"/>
          <w:sz w:val="20"/>
          <w:szCs w:val="20"/>
        </w:rPr>
        <w:t xml:space="preserve">Observer selection: _recommend_observer() assigns the optimal observer [41].</w:t>
      </w:r>
    </w:p>
    <w:p>
      <w:pPr>
        <w:spacing w:after="60" w:before="60"/>
        <w:jc w:val="both"/>
      </w:pPr>
      <w:r>
        <w:rPr>
          <w:rFonts w:ascii="Times New Roman" w:cs="Times New Roman" w:eastAsia="Times New Roman" w:hAnsi="Times New Roman"/>
          <w:b/>
          <w:bCs/>
          <w:sz w:val="20"/>
          <w:szCs w:val="20"/>
        </w:rPr>
        <w:t xml:space="preserve">4. </w:t>
      </w:r>
      <w:r>
        <w:rPr>
          <w:rFonts w:ascii="Times New Roman" w:cs="Times New Roman" w:eastAsia="Times New Roman" w:hAnsi="Times New Roman"/>
          <w:sz w:val="20"/>
          <w:szCs w:val="20"/>
        </w:rPr>
        <w:t xml:space="preserve">GUI update: all calibrated parameters applied via _apply_observer_calibration_to_gui().</w:t>
      </w:r>
    </w:p>
    <w:p>
      <w:pPr>
        <w:pStyle w:val="Heading2"/>
        <w:spacing w:after="60" w:before="200"/>
      </w:pPr>
      <w:r>
        <w:rPr>
          <w:rFonts w:ascii="Arial" w:cs="Arial" w:eastAsia="Arial" w:hAnsi="Arial"/>
          <w:b/>
          <w:bCs/>
          <w:sz w:val="22"/>
          <w:szCs w:val="22"/>
        </w:rPr>
        <w:t xml:space="preserve">B. Motor Fingerprint Cache</w:t>
      </w:r>
    </w:p>
    <w:p>
      <w:pPr>
        <w:spacing w:after="60" w:before="60"/>
        <w:jc w:val="both"/>
      </w:pPr>
      <w:r>
        <w:rPr>
          <w:rFonts w:ascii="Times New Roman" w:cs="Times New Roman" w:eastAsia="Times New Roman" w:hAnsi="Times New Roman"/>
          <w:sz w:val="20"/>
          <w:szCs w:val="20"/>
        </w:rPr>
        <w:t xml:space="preserve">Calibration results are cached by fingerprint tuple (R, L, Ke, Vnom, pp) with 3% tolerance. If a previously calibrated motor is detected, the cached JSON is applied instantly [5].</w:t>
      </w:r>
    </w:p>
    <w:p>
      <w:pPr>
        <w:pStyle w:val="Heading2"/>
        <w:spacing w:after="60" w:before="200"/>
      </w:pPr>
      <w:r>
        <w:rPr>
          <w:rFonts w:ascii="Arial" w:cs="Arial" w:eastAsia="Arial" w:hAnsi="Arial"/>
          <w:b/>
          <w:bCs/>
          <w:sz w:val="22"/>
          <w:szCs w:val="22"/>
        </w:rPr>
        <w:t xml:space="preserve">C. Summary Table</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100"/>
        <w:gridCol w:w="700"/>
      </w:tblGrid>
      <w:tr>
        <w:tc>
          <w:tcPr>
            <w:tcW w:type="dxa" w:w="2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color w:val="FFFFFF"/>
                <w:sz w:val="17"/>
                <w:szCs w:val="17"/>
              </w:rPr>
              <w:t xml:space="preserve">Parameter</w:t>
            </w:r>
          </w:p>
        </w:tc>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color w:val="FFFFFF"/>
                <w:sz w:val="17"/>
                <w:szCs w:val="17"/>
              </w:rPr>
              <w:t xml:space="preserve">Calibration Method</w:t>
            </w:r>
          </w:p>
        </w:tc>
        <w:tc>
          <w:tcPr>
            <w:tcW w:type="dxa" w:w="21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color w:val="FFFFFF"/>
                <w:sz w:val="17"/>
                <w:szCs w:val="17"/>
              </w:rPr>
              <w:t xml:space="preserve">Target / Constraint</w:t>
            </w:r>
          </w:p>
        </w:tc>
        <w:tc>
          <w:tcPr>
            <w:tcW w:type="dxa" w:w="7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color w:val="FFFFFF"/>
                <w:sz w:val="17"/>
                <w:szCs w:val="17"/>
              </w:rPr>
              <w:t xml:space="preserve">Ref.</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7"/>
                <w:szCs w:val="17"/>
              </w:rPr>
              <w:t xml:space="preserve">Current Kp, Ki</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7"/>
                <w:szCs w:val="17"/>
              </w:rPr>
              <w:t xml:space="preserve">BW design + grid search</w:t>
            </w:r>
          </w:p>
        </w:tc>
        <w:tc>
          <w:tcPr>
            <w:tcW w:type="dxa" w:w="2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7"/>
                <w:szCs w:val="17"/>
              </w:rPr>
              <w:t xml:space="preserve">GM ≥ 6 dB, PM ≥ 45°</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7"/>
                <w:szCs w:val="17"/>
              </w:rPr>
              <w:t xml:space="preserve">[3,4,9]</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7"/>
                <w:szCs w:val="17"/>
              </w:rPr>
              <w:t xml:space="preserve">Speed Kp, Ki</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7"/>
                <w:szCs w:val="17"/>
              </w:rPr>
              <w:t xml:space="preserve">BW design + grid search</w:t>
            </w:r>
          </w:p>
        </w:tc>
        <w:tc>
          <w:tcPr>
            <w:tcW w:type="dxa" w:w="2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7"/>
                <w:szCs w:val="17"/>
              </w:rPr>
              <w:t xml:space="preserve">GM ≥ 6 dB, PM ≥ 45°</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7"/>
                <w:szCs w:val="17"/>
              </w:rPr>
              <w:t xml:space="preserve">[3,4,9]</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7"/>
                <w:szCs w:val="17"/>
              </w:rPr>
              <w:t xml:space="preserve">PLL Kp, Ki</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7"/>
                <w:szCs w:val="17"/>
              </w:rPr>
              <w:t xml:space="preserve">Analytical (ωn = 0.1·ωe,max)</w:t>
            </w:r>
          </w:p>
        </w:tc>
        <w:tc>
          <w:tcPr>
            <w:tcW w:type="dxa" w:w="2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7"/>
                <w:szCs w:val="17"/>
              </w:rPr>
              <w:t xml:space="preserve">ζ = 0.9</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7"/>
                <w:szCs w:val="17"/>
              </w:rPr>
              <w:t xml:space="preserve">[10,12]</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7"/>
                <w:szCs w:val="17"/>
              </w:rPr>
              <w:t xml:space="preserve">SMO K_slide</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7"/>
                <w:szCs w:val="17"/>
              </w:rPr>
              <w:t xml:space="preserve">Reachability condition</w:t>
            </w:r>
          </w:p>
        </w:tc>
        <w:tc>
          <w:tcPr>
            <w:tcW w:type="dxa" w:w="2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7"/>
                <w:szCs w:val="17"/>
              </w:rPr>
              <w:t xml:space="preserve">K_slide &gt; Ke·ωe,max</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7"/>
                <w:szCs w:val="17"/>
              </w:rPr>
              <w:t xml:space="preserve">[14,15]</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7"/>
                <w:szCs w:val="17"/>
              </w:rPr>
              <w:t xml:space="preserve">STSMO K1, K2</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7"/>
                <w:szCs w:val="17"/>
              </w:rPr>
              <w:t xml:space="preserve">Convergence factor λ·Ke·ωe,max</w:t>
            </w:r>
          </w:p>
        </w:tc>
        <w:tc>
          <w:tcPr>
            <w:tcW w:type="dxa" w:w="2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7"/>
                <w:szCs w:val="17"/>
              </w:rPr>
              <w:t xml:space="preserve">Finite-time</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7"/>
                <w:szCs w:val="17"/>
              </w:rPr>
              <w:t xml:space="preserve">[18,19]</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7"/>
                <w:szCs w:val="17"/>
              </w:rPr>
              <w:t xml:space="preserve">AF f_c</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7"/>
                <w:szCs w:val="17"/>
              </w:rPr>
              <w:t xml:space="preserve">f_e,min / 10</w:t>
            </w:r>
          </w:p>
        </w:tc>
        <w:tc>
          <w:tcPr>
            <w:tcW w:type="dxa" w:w="2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7"/>
                <w:szCs w:val="17"/>
              </w:rPr>
              <w:t xml:space="preserve">Drift &lt; 0.5°/rev</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7"/>
                <w:szCs w:val="17"/>
              </w:rPr>
              <w:t xml:space="preserve">[22,24]</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7"/>
                <w:szCs w:val="17"/>
              </w:rPr>
              <w:t xml:space="preserve">FW k_fw, gain</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7"/>
                <w:szCs w:val="17"/>
              </w:rPr>
              <w:t xml:space="preserve">Physics + simulation sweep</w:t>
            </w:r>
          </w:p>
        </w:tc>
        <w:tc>
          <w:tcPr>
            <w:tcW w:type="dxa" w:w="2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7"/>
                <w:szCs w:val="17"/>
              </w:rPr>
              <w:t xml:space="preserve">Speed error &lt; 5%</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7"/>
                <w:szCs w:val="17"/>
              </w:rPr>
              <w:t xml:space="preserve">[5,34]</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7"/>
                <w:szCs w:val="17"/>
              </w:rPr>
              <w:t xml:space="preserve">Startup t_align</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7"/>
                <w:szCs w:val="17"/>
              </w:rPr>
              <w:t xml:space="preserve">5 · τe</w:t>
            </w:r>
          </w:p>
        </w:tc>
        <w:tc>
          <w:tcPr>
            <w:tcW w:type="dxa" w:w="2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7"/>
                <w:szCs w:val="17"/>
              </w:rPr>
              <w:t xml:space="preserve">99.3% settling</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7"/>
                <w:szCs w:val="17"/>
              </w:rPr>
              <w:t xml:space="preserve">[35,36]</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7"/>
                <w:szCs w:val="17"/>
              </w:rPr>
              <w:t xml:space="preserve">PFC window Nw</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7"/>
                <w:szCs w:val="17"/>
              </w:rPr>
              <w:t xml:space="preserve">2 / (f_e,rated · dt)</w:t>
            </w:r>
          </w:p>
        </w:tc>
        <w:tc>
          <w:tcPr>
            <w:tcW w:type="dxa" w:w="2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7"/>
                <w:szCs w:val="17"/>
              </w:rPr>
              <w:t xml:space="preserve">≥ 2 electrical periods</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7"/>
                <w:szCs w:val="17"/>
              </w:rPr>
              <w:t xml:space="preserve">[38,39]</w:t>
            </w:r>
          </w:p>
        </w:tc>
      </w:tr>
    </w:tbl>
    <w:p>
      <w:pPr>
        <w:spacing w:before="100"/>
      </w:pPr>
    </w:p>
    <w:p>
      <w:r>
        <w:br w:type="page"/>
      </w:r>
    </w:p>
    <w:p>
      <w:pPr>
        <w:pStyle w:val="Heading1"/>
        <w:pBdr>
          <w:bottom w:val="single" w:color="1F3864" w:sz="4" w:space="2"/>
        </w:pBdr>
        <w:spacing w:after="100" w:before="320"/>
      </w:pPr>
      <w:r>
        <w:rPr>
          <w:rFonts w:ascii="Arial" w:cs="Arial" w:eastAsia="Arial" w:hAnsi="Arial"/>
          <w:b/>
          <w:bCs/>
          <w:caps/>
          <w:sz w:val="26"/>
          <w:szCs w:val="26"/>
        </w:rPr>
        <w:t xml:space="preserve">XIV. Observer Auto-Selection</w:t>
      </w:r>
    </w:p>
    <w:p>
      <w:pPr>
        <w:pStyle w:val="Heading2"/>
        <w:spacing w:after="60" w:before="200"/>
      </w:pPr>
      <w:r>
        <w:rPr>
          <w:rFonts w:ascii="Arial" w:cs="Arial" w:eastAsia="Arial" w:hAnsi="Arial"/>
          <w:b/>
          <w:bCs/>
          <w:sz w:val="22"/>
          <w:szCs w:val="22"/>
        </w:rPr>
        <w:t xml:space="preserve">A. Theory and Selection Criteria</w:t>
      </w:r>
    </w:p>
    <w:p>
      <w:pPr>
        <w:spacing w:after="60" w:before="60"/>
        <w:jc w:val="both"/>
      </w:pPr>
      <w:r>
        <w:rPr>
          <w:rFonts w:ascii="Times New Roman" w:cs="Times New Roman" w:eastAsia="Times New Roman" w:hAnsi="Times New Roman"/>
          <w:b/>
          <w:bCs/>
          <w:sz w:val="20"/>
          <w:szCs w:val="20"/>
        </w:rPr>
        <w:t xml:space="preserve">Criterion 1 — Saliency ratio: </w:t>
      </w:r>
      <w:r>
        <w:rPr>
          <w:rFonts w:ascii="Times New Roman" w:cs="Times New Roman" w:eastAsia="Times New Roman" w:hAnsi="Times New Roman"/>
          <w:sz w:val="20"/>
          <w:szCs w:val="20"/>
        </w:rPr>
        <w:t xml:space="preserve">For σ = Lq/Ld &gt; 1.2 (IPM motor), standard back-EMF observers are affected by a bias proportional to (Lq − Ld)·id·ωe [17, 26]. The Active Flux observer is immune to this bias [22, 25].</w:t>
      </w:r>
    </w:p>
    <w:p>
      <w:pPr>
        <w:spacing w:after="60" w:before="60"/>
        <w:jc w:val="both"/>
      </w:pPr>
      <w:r>
        <w:rPr>
          <w:rFonts w:ascii="Times New Roman" w:cs="Times New Roman" w:eastAsia="Times New Roman" w:hAnsi="Times New Roman"/>
          <w:b/>
          <w:bCs/>
          <w:sz w:val="20"/>
          <w:szCs w:val="20"/>
        </w:rPr>
        <w:t xml:space="preserve">Criterion 2 — Maximum electrical speed: </w:t>
      </w:r>
      <w:r>
        <w:rPr>
          <w:rFonts w:ascii="Times New Roman" w:cs="Times New Roman" w:eastAsia="Times New Roman" w:hAnsi="Times New Roman"/>
          <w:sz w:val="20"/>
          <w:szCs w:val="20"/>
        </w:rPr>
        <w:t xml:space="preserve">Below ωe,max ≈ 1500 rad/s, the SMO is more robust at low SNR. Above this threshold, the SMO LPF phase lag becomes excessive and the PLL provides superior accuracy [41, 43].</w:t>
      </w:r>
    </w:p>
    <w:p>
      <w:pPr>
        <w:pStyle w:val="Heading2"/>
        <w:spacing w:after="60" w:before="200"/>
      </w:pPr>
      <w:r>
        <w:rPr>
          <w:rFonts w:ascii="Arial" w:cs="Arial" w:eastAsia="Arial" w:hAnsi="Arial"/>
          <w:b/>
          <w:bCs/>
          <w:sz w:val="22"/>
          <w:szCs w:val="22"/>
        </w:rPr>
        <w:t xml:space="preserve">B. Decision Tree</w:t>
      </w:r>
    </w:p>
    <w:p>
      <w:pPr>
        <w:spacing w:after="60" w:before="60"/>
        <w:jc w:val="both"/>
      </w:pPr>
      <w:r>
        <w:rPr>
          <w:rFonts w:ascii="Times New Roman" w:cs="Times New Roman" w:eastAsia="Times New Roman" w:hAnsi="Times New Roman"/>
          <w:sz w:val="20"/>
          <w:szCs w:val="20"/>
        </w:rPr>
        <w:t xml:space="preserve">The static method _recommend_observer implements three ordered branches:</w:t>
      </w:r>
    </w:p>
    <w:p>
      <w:pPr>
        <w:spacing w:after="30" w:before="60"/>
        <w:jc w:val="center"/>
      </w:pPr>
      <w:r>
        <w:drawing>
          <wp:inline distT="0" distB="0" distL="0" distR="0">
            <wp:extent cx="3429000" cy="2600325"/>
            <wp:effectExtent t="0" r="0" b="0" l="0"/>
            <wp:docPr id="1" name="fig2_observer_tree.png" descr="fig2_observer_tree.png" title="fig2_observer_tre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429000" cy="2600325"/>
                    </a:xfrm>
                    <a:prstGeom prst="rect">
                      <a:avLst/>
                    </a:prstGeom>
                  </pic:spPr>
                </pic:pic>
              </a:graphicData>
            </a:graphic>
          </wp:inline>
        </w:drawing>
      </w:r>
    </w:p>
    <w:p>
      <w:pPr>
        <w:spacing w:after="100" w:before="30"/>
        <w:jc w:val="center"/>
      </w:pPr>
      <w:r>
        <w:rPr>
          <w:rFonts w:ascii="Arial" w:cs="Arial" w:eastAsia="Arial" w:hAnsi="Arial"/>
          <w:i/>
          <w:iCs/>
          <w:sz w:val="17"/>
          <w:szCs w:val="17"/>
        </w:rPr>
        <w:t xml:space="preserve">Fig. 8. Observer auto-selection decision tree. Saliency is checked first; for isotropic motors the speed threshold separates PLL from SMO.</w:t>
      </w:r>
    </w:p>
    <w:p>
      <w:pPr>
        <w:spacing w:after="60" w:before="60"/>
        <w:jc w:val="both"/>
      </w:pPr>
      <w:r>
        <w:rPr>
          <w:rFonts w:ascii="Times New Roman" w:cs="Times New Roman" w:eastAsia="Times New Roman" w:hAnsi="Times New Roman"/>
          <w:b/>
          <w:bCs/>
          <w:sz w:val="20"/>
          <w:szCs w:val="20"/>
        </w:rPr>
        <w:t xml:space="preserve">Branch 1 (is_salient = True → ActiveFlux): </w:t>
      </w:r>
      <w:r>
        <w:rPr>
          <w:rFonts w:ascii="Times New Roman" w:cs="Times New Roman" w:eastAsia="Times New Roman" w:hAnsi="Times New Roman"/>
          <w:sz w:val="20"/>
          <w:szCs w:val="20"/>
        </w:rPr>
        <w:t xml:space="preserve">Any IPM motor with Lq/Ld &gt; 1.2 is assigned Active Flux regardless of speed [22, 25].</w:t>
      </w:r>
    </w:p>
    <w:p>
      <w:pPr>
        <w:spacing w:after="60" w:before="60"/>
        <w:jc w:val="both"/>
      </w:pPr>
      <w:r>
        <w:rPr>
          <w:rFonts w:ascii="Times New Roman" w:cs="Times New Roman" w:eastAsia="Times New Roman" w:hAnsi="Times New Roman"/>
          <w:b/>
          <w:bCs/>
          <w:sz w:val="20"/>
          <w:szCs w:val="20"/>
        </w:rPr>
        <w:t xml:space="preserve">Branch 2 (isotropic, ωe,max &gt; 1500 → PLL): </w:t>
      </w:r>
      <w:r>
        <w:rPr>
          <w:rFonts w:ascii="Times New Roman" w:cs="Times New Roman" w:eastAsia="Times New Roman" w:hAnsi="Times New Roman"/>
          <w:sz w:val="20"/>
          <w:szCs w:val="20"/>
        </w:rPr>
        <w:t xml:space="preserve">High-speed isotropic motors benefit from adaptive PLL bandwidth [10, 13, 43].</w:t>
      </w:r>
    </w:p>
    <w:p>
      <w:pPr>
        <w:spacing w:after="60" w:before="60"/>
        <w:jc w:val="both"/>
      </w:pPr>
      <w:r>
        <w:rPr>
          <w:rFonts w:ascii="Times New Roman" w:cs="Times New Roman" w:eastAsia="Times New Roman" w:hAnsi="Times New Roman"/>
          <w:b/>
          <w:bCs/>
          <w:sz w:val="20"/>
          <w:szCs w:val="20"/>
        </w:rPr>
        <w:t xml:space="preserve">Branch 3 (isotropic, ωe,max ≤ 1500 → SMO): </w:t>
      </w:r>
      <w:r>
        <w:rPr>
          <w:rFonts w:ascii="Times New Roman" w:cs="Times New Roman" w:eastAsia="Times New Roman" w:hAnsi="Times New Roman"/>
          <w:sz w:val="20"/>
          <w:szCs w:val="20"/>
        </w:rPr>
        <w:t xml:space="preserve">Low-to-medium-speed isotropic motors [14, 41].</w:t>
      </w:r>
    </w:p>
    <w:p>
      <w:pPr>
        <w:pStyle w:val="Heading2"/>
        <w:spacing w:after="60" w:before="200"/>
      </w:pPr>
      <w:r>
        <w:rPr>
          <w:rFonts w:ascii="Arial" w:cs="Arial" w:eastAsia="Arial" w:hAnsi="Arial"/>
          <w:b/>
          <w:bCs/>
          <w:sz w:val="22"/>
          <w:szCs w:val="22"/>
        </w:rPr>
        <w:t xml:space="preserve">C. Non-Regression Validation</w:t>
      </w:r>
    </w:p>
    <w:tbl>
      <w:tblPr>
        <w:tblW w:type="dxa" w:w="6800"/>
        <w:tblBorders>
          <w:top w:val="single" w:color="auto" w:sz="4"/>
          <w:left w:val="single" w:color="auto" w:sz="4"/>
          <w:bottom w:val="single" w:color="auto" w:sz="4"/>
          <w:right w:val="single" w:color="auto" w:sz="4"/>
          <w:insideH w:val="single" w:color="auto" w:sz="4"/>
          <w:insideV w:val="single" w:color="auto" w:sz="4"/>
        </w:tblBorders>
      </w:tblPr>
      <w:tblGrid>
        <w:gridCol w:w="1900"/>
        <w:gridCol w:w="600"/>
        <w:gridCol w:w="1100"/>
        <w:gridCol w:w="1200"/>
        <w:gridCol w:w="800"/>
        <w:gridCol w:w="1200"/>
      </w:tblGrid>
      <w:tr>
        <w:tc>
          <w:tcPr>
            <w:tcW w:type="dxa" w:w="19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color w:val="FFFFFF"/>
                <w:sz w:val="17"/>
                <w:szCs w:val="17"/>
              </w:rPr>
              <w:t xml:space="preserve">Motor Profile</w:t>
            </w:r>
          </w:p>
        </w:tc>
        <w:tc>
          <w:tcPr>
            <w:tcW w:type="dxa" w:w="6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color w:val="FFFFFF"/>
                <w:sz w:val="17"/>
                <w:szCs w:val="17"/>
              </w:rPr>
              <w:t xml:space="preserve">pp</w:t>
            </w:r>
          </w:p>
        </w:tc>
        <w:tc>
          <w:tcPr>
            <w:tcW w:type="dxa" w:w="11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color w:val="FFFFFF"/>
                <w:sz w:val="17"/>
                <w:szCs w:val="17"/>
              </w:rPr>
              <w:t xml:space="preserve">N_rated</w:t>
            </w:r>
          </w:p>
        </w:tc>
        <w:tc>
          <w:tcPr>
            <w:tcW w:type="dxa" w:w="1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color w:val="FFFFFF"/>
                <w:sz w:val="17"/>
                <w:szCs w:val="17"/>
              </w:rPr>
              <w:t xml:space="preserve">ωe,max (rad/s)</w:t>
            </w:r>
          </w:p>
        </w:tc>
        <w:tc>
          <w:tcPr>
            <w:tcW w:type="dxa" w:w="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color w:val="FFFFFF"/>
                <w:sz w:val="17"/>
                <w:szCs w:val="17"/>
              </w:rPr>
              <w:t xml:space="preserve">Salient?</w:t>
            </w:r>
          </w:p>
        </w:tc>
        <w:tc>
          <w:tcPr>
            <w:tcW w:type="dxa" w:w="1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color w:val="FFFFFF"/>
                <w:sz w:val="17"/>
                <w:szCs w:val="17"/>
              </w:rPr>
              <w:t xml:space="preserve">Selected</w:t>
            </w:r>
          </w:p>
        </w:tc>
      </w:tr>
      <w:tr>
        <w:tc>
          <w:tcPr>
            <w:tcW w:type="dxa" w:w="1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7"/>
                <w:szCs w:val="17"/>
              </w:rPr>
              <w:t xml:space="preserve">IPM Salient 48 V</w:t>
            </w:r>
          </w:p>
        </w:tc>
        <w:tc>
          <w:tcPr>
            <w:tcW w:type="dxa" w:w="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7"/>
                <w:szCs w:val="17"/>
              </w:rPr>
              <w:t xml:space="preserve">4</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7"/>
                <w:szCs w:val="17"/>
              </w:rPr>
              <w:t xml:space="preserve">3000 RPM</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7"/>
                <w:szCs w:val="17"/>
              </w:rPr>
              <w:t xml:space="preserve">1257</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7"/>
                <w:szCs w:val="17"/>
              </w:rPr>
              <w:t xml:space="preserve">Yes</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7"/>
                <w:szCs w:val="17"/>
              </w:rPr>
              <w:t xml:space="preserve">ActiveFlux</w:t>
            </w:r>
          </w:p>
        </w:tc>
      </w:tr>
      <w:tr>
        <w:tc>
          <w:tcPr>
            <w:tcW w:type="dxa" w:w="1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7"/>
                <w:szCs w:val="17"/>
              </w:rPr>
              <w:t xml:space="preserve">Nanotec DB57M012</w:t>
            </w:r>
          </w:p>
        </w:tc>
        <w:tc>
          <w:tcPr>
            <w:tcW w:type="dxa" w:w="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7"/>
                <w:szCs w:val="17"/>
              </w:rPr>
              <w:t xml:space="preserve">5</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7"/>
                <w:szCs w:val="17"/>
              </w:rPr>
              <w:t xml:space="preserve">3500 RPM</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7"/>
                <w:szCs w:val="17"/>
              </w:rPr>
              <w:t xml:space="preserve">1833</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7"/>
                <w:szCs w:val="17"/>
              </w:rPr>
              <w:t xml:space="preserve">No</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7"/>
                <w:szCs w:val="17"/>
              </w:rPr>
              <w:t xml:space="preserve">PLL</w:t>
            </w:r>
          </w:p>
        </w:tc>
      </w:tr>
      <w:tr>
        <w:tc>
          <w:tcPr>
            <w:tcW w:type="dxa" w:w="1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7"/>
                <w:szCs w:val="17"/>
              </w:rPr>
              <w:t xml:space="preserve">Low-Speed SPM</w:t>
            </w:r>
          </w:p>
        </w:tc>
        <w:tc>
          <w:tcPr>
            <w:tcW w:type="dxa" w:w="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7"/>
                <w:szCs w:val="17"/>
              </w:rPr>
              <w:t xml:space="preserve">2</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7"/>
                <w:szCs w:val="17"/>
              </w:rPr>
              <w:t xml:space="preserve">300 RPM</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7"/>
                <w:szCs w:val="17"/>
              </w:rPr>
              <w:t xml:space="preserve">62.8</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7"/>
                <w:szCs w:val="17"/>
              </w:rPr>
              <w:t xml:space="preserve">No</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7"/>
                <w:szCs w:val="17"/>
              </w:rPr>
              <w:t xml:space="preserve">SMO</w:t>
            </w:r>
          </w:p>
        </w:tc>
      </w:tr>
    </w:tbl>
    <w:p>
      <w:pPr>
        <w:spacing w:before="100"/>
      </w:pPr>
    </w:p>
    <w:p>
      <w:r>
        <w:br w:type="page"/>
      </w:r>
    </w:p>
    <w:p>
      <w:pPr>
        <w:pStyle w:val="Heading1"/>
        <w:pBdr>
          <w:bottom w:val="single" w:color="1F3864" w:sz="4" w:space="2"/>
        </w:pBdr>
        <w:spacing w:after="100" w:before="320"/>
      </w:pPr>
      <w:r>
        <w:rPr>
          <w:rFonts w:ascii="Arial" w:cs="Arial" w:eastAsia="Arial" w:hAnsi="Arial"/>
          <w:b/>
          <w:bCs/>
          <w:caps/>
          <w:sz w:val="26"/>
          <w:szCs w:val="26"/>
        </w:rPr>
        <w:t xml:space="preserve">References</w:t>
      </w:r>
    </w:p>
    <w:p>
      <w:pPr>
        <w:pStyle w:val="ListParagraph"/>
        <w:numPr>
          <w:ilvl w:val="0"/>
          <w:numId w:val="2"/>
        </w:numPr>
        <w:spacing w:after="28" w:before="28"/>
        <w:jc w:val="both"/>
      </w:pPr>
      <w:r>
        <w:rPr>
          <w:rFonts w:ascii="Times New Roman" w:cs="Times New Roman" w:eastAsia="Times New Roman" w:hAnsi="Times New Roman"/>
          <w:sz w:val="18"/>
          <w:szCs w:val="18"/>
        </w:rPr>
        <w:t xml:space="preserve">[1]  P. Vas, Sensorless Vector and Direct Torque Control. Oxford University Press, 1998.</w:t>
      </w:r>
    </w:p>
    <w:p>
      <w:pPr>
        <w:pStyle w:val="ListParagraph"/>
        <w:numPr>
          <w:ilvl w:val="0"/>
          <w:numId w:val="2"/>
        </w:numPr>
        <w:spacing w:after="28" w:before="28"/>
        <w:jc w:val="both"/>
      </w:pPr>
      <w:r>
        <w:rPr>
          <w:rFonts w:ascii="Times New Roman" w:cs="Times New Roman" w:eastAsia="Times New Roman" w:hAnsi="Times New Roman"/>
          <w:sz w:val="18"/>
          <w:szCs w:val="18"/>
        </w:rPr>
        <w:t xml:space="preserve">[2]  D. W. Novotny and T. A. Lipo, Vector Control and Dynamics of AC Drives. Oxford University Press, 1996.</w:t>
      </w:r>
    </w:p>
    <w:p>
      <w:pPr>
        <w:pStyle w:val="ListParagraph"/>
        <w:numPr>
          <w:ilvl w:val="0"/>
          <w:numId w:val="2"/>
        </w:numPr>
        <w:spacing w:after="28" w:before="28"/>
        <w:jc w:val="both"/>
      </w:pPr>
      <w:r>
        <w:rPr>
          <w:rFonts w:ascii="Times New Roman" w:cs="Times New Roman" w:eastAsia="Times New Roman" w:hAnsi="Times New Roman"/>
          <w:sz w:val="18"/>
          <w:szCs w:val="18"/>
        </w:rPr>
        <w:t xml:space="preserve">[3]  G. F. Franklin, J. D. Powell, and A. Emami-Naeini, Feedback Control of Dynamic Systems, 8th ed. Pearson, 2019.</w:t>
      </w:r>
    </w:p>
    <w:p>
      <w:pPr>
        <w:pStyle w:val="ListParagraph"/>
        <w:numPr>
          <w:ilvl w:val="0"/>
          <w:numId w:val="2"/>
        </w:numPr>
        <w:spacing w:after="28" w:before="28"/>
        <w:jc w:val="both"/>
      </w:pPr>
      <w:r>
        <w:rPr>
          <w:rFonts w:ascii="Times New Roman" w:cs="Times New Roman" w:eastAsia="Times New Roman" w:hAnsi="Times New Roman"/>
          <w:sz w:val="18"/>
          <w:szCs w:val="18"/>
        </w:rPr>
        <w:t xml:space="preserve">[4]  K. J. Astrom and T. Hagglund, Advanced PID Control. ISA, 2006.</w:t>
      </w:r>
    </w:p>
    <w:p>
      <w:pPr>
        <w:pStyle w:val="ListParagraph"/>
        <w:numPr>
          <w:ilvl w:val="0"/>
          <w:numId w:val="2"/>
        </w:numPr>
        <w:spacing w:after="28" w:before="28"/>
        <w:jc w:val="both"/>
      </w:pPr>
      <w:r>
        <w:rPr>
          <w:rFonts w:ascii="Times New Roman" w:cs="Times New Roman" w:eastAsia="Times New Roman" w:hAnsi="Times New Roman"/>
          <w:sz w:val="18"/>
          <w:szCs w:val="18"/>
        </w:rPr>
        <w:t xml:space="preserve">[5]  Z. Q. Zhu and D. Howe, Electrical machines and drives for electric, hybrid and fuel cell vehicles, Proc. IEEE, vol. 95, no. 4, pp. 746-765, 2007.</w:t>
      </w:r>
    </w:p>
    <w:p>
      <w:pPr>
        <w:pStyle w:val="ListParagraph"/>
        <w:numPr>
          <w:ilvl w:val="0"/>
          <w:numId w:val="2"/>
        </w:numPr>
        <w:spacing w:after="28" w:before="28"/>
        <w:jc w:val="both"/>
      </w:pPr>
      <w:r>
        <w:rPr>
          <w:rFonts w:ascii="Times New Roman" w:cs="Times New Roman" w:eastAsia="Times New Roman" w:hAnsi="Times New Roman"/>
          <w:sz w:val="18"/>
          <w:szCs w:val="18"/>
        </w:rPr>
        <w:t xml:space="preserve">[6]  F. Briz, M. W. Degner, and R. D. Lorenz, Analysis and design of current regulators using complex vectors, IEEE Trans. Ind. Appl., vol. 36, no. 3, pp. 817-825, 2000.</w:t>
      </w:r>
    </w:p>
    <w:p>
      <w:pPr>
        <w:pStyle w:val="ListParagraph"/>
        <w:numPr>
          <w:ilvl w:val="0"/>
          <w:numId w:val="2"/>
        </w:numPr>
        <w:spacing w:after="28" w:before="28"/>
        <w:jc w:val="both"/>
      </w:pPr>
      <w:r>
        <w:rPr>
          <w:rFonts w:ascii="Times New Roman" w:cs="Times New Roman" w:eastAsia="Times New Roman" w:hAnsi="Times New Roman"/>
          <w:sz w:val="18"/>
          <w:szCs w:val="18"/>
        </w:rPr>
        <w:t xml:space="preserve">[7]  D. G. Holmes and T. A. Lipo, Pulse Width Modulation for Power Converters. IEEE Press, 2003.</w:t>
      </w:r>
    </w:p>
    <w:p>
      <w:pPr>
        <w:pStyle w:val="ListParagraph"/>
        <w:numPr>
          <w:ilvl w:val="0"/>
          <w:numId w:val="2"/>
        </w:numPr>
        <w:spacing w:after="28" w:before="28"/>
        <w:jc w:val="both"/>
      </w:pPr>
      <w:r>
        <w:rPr>
          <w:rFonts w:ascii="Times New Roman" w:cs="Times New Roman" w:eastAsia="Times New Roman" w:hAnsi="Times New Roman"/>
          <w:sz w:val="18"/>
          <w:szCs w:val="18"/>
        </w:rPr>
        <w:t xml:space="preserve">[8]  C.-T. Chen, Linear System Theory and Design, 4th ed. Oxford University Press, 2012.</w:t>
      </w:r>
    </w:p>
    <w:p>
      <w:pPr>
        <w:pStyle w:val="ListParagraph"/>
        <w:numPr>
          <w:ilvl w:val="0"/>
          <w:numId w:val="2"/>
        </w:numPr>
        <w:spacing w:after="28" w:before="28"/>
        <w:jc w:val="both"/>
      </w:pPr>
      <w:r>
        <w:rPr>
          <w:rFonts w:ascii="Times New Roman" w:cs="Times New Roman" w:eastAsia="Times New Roman" w:hAnsi="Times New Roman"/>
          <w:sz w:val="18"/>
          <w:szCs w:val="18"/>
        </w:rPr>
        <w:t xml:space="preserve">[9]  M. P. Kazmierkowski, R. Krishnan, and F. Blaabjerg, Control in Power Electronics. Academic Press, 2002.</w:t>
      </w:r>
    </w:p>
    <w:p>
      <w:pPr>
        <w:pStyle w:val="ListParagraph"/>
        <w:numPr>
          <w:ilvl w:val="0"/>
          <w:numId w:val="2"/>
        </w:numPr>
        <w:spacing w:after="28" w:before="28"/>
        <w:jc w:val="both"/>
      </w:pPr>
      <w:r>
        <w:rPr>
          <w:rFonts w:ascii="Times New Roman" w:cs="Times New Roman" w:eastAsia="Times New Roman" w:hAnsi="Times New Roman"/>
          <w:sz w:val="18"/>
          <w:szCs w:val="18"/>
        </w:rPr>
        <w:t xml:space="preserve">[10] Z. Chen et al., New adaptive sliding observers for sensorless controls of brushless DC motors, IEEE Trans. Ind. Electron., vol. 47, no. 3, pp. 582-591, 2000.</w:t>
      </w:r>
    </w:p>
    <w:p>
      <w:pPr>
        <w:pStyle w:val="ListParagraph"/>
        <w:numPr>
          <w:ilvl w:val="0"/>
          <w:numId w:val="2"/>
        </w:numPr>
        <w:spacing w:after="28" w:before="28"/>
        <w:jc w:val="both"/>
      </w:pPr>
      <w:r>
        <w:rPr>
          <w:rFonts w:ascii="Times New Roman" w:cs="Times New Roman" w:eastAsia="Times New Roman" w:hAnsi="Times New Roman"/>
          <w:sz w:val="18"/>
          <w:szCs w:val="18"/>
        </w:rPr>
        <w:t xml:space="preserve">[11] S. Morimoto et al., Sensorless control strategy for salient-pole PMSM based on extended EMF, IEEE Trans. Ind. Appl., vol. 38, no. 4, pp. 1054-1061, 2002.</w:t>
      </w:r>
    </w:p>
    <w:p>
      <w:pPr>
        <w:pStyle w:val="ListParagraph"/>
        <w:numPr>
          <w:ilvl w:val="0"/>
          <w:numId w:val="2"/>
        </w:numPr>
        <w:spacing w:after="28" w:before="28"/>
        <w:jc w:val="both"/>
      </w:pPr>
      <w:r>
        <w:rPr>
          <w:rFonts w:ascii="Times New Roman" w:cs="Times New Roman" w:eastAsia="Times New Roman" w:hAnsi="Times New Roman"/>
          <w:sz w:val="18"/>
          <w:szCs w:val="18"/>
        </w:rPr>
        <w:t xml:space="preserve">[12] B. Widrow and S. D. Stearns, Adaptive Signal Processing. Prentice Hall, 1985.</w:t>
      </w:r>
    </w:p>
    <w:p>
      <w:pPr>
        <w:pStyle w:val="ListParagraph"/>
        <w:numPr>
          <w:ilvl w:val="0"/>
          <w:numId w:val="2"/>
        </w:numPr>
        <w:spacing w:after="28" w:before="28"/>
        <w:jc w:val="both"/>
      </w:pPr>
      <w:r>
        <w:rPr>
          <w:rFonts w:ascii="Times New Roman" w:cs="Times New Roman" w:eastAsia="Times New Roman" w:hAnsi="Times New Roman"/>
          <w:sz w:val="18"/>
          <w:szCs w:val="18"/>
        </w:rPr>
        <w:t xml:space="preserve">[13] R. D. Lorenz, T. A. Lipo, and D. W. Novotny, Motion control with induction motors, Proc. IEEE, vol. 82, no. 8, pp. 1215-1240, 1994.</w:t>
      </w:r>
    </w:p>
    <w:p>
      <w:pPr>
        <w:pStyle w:val="ListParagraph"/>
        <w:numPr>
          <w:ilvl w:val="0"/>
          <w:numId w:val="2"/>
        </w:numPr>
        <w:spacing w:after="28" w:before="28"/>
        <w:jc w:val="both"/>
      </w:pPr>
      <w:r>
        <w:rPr>
          <w:rFonts w:ascii="Times New Roman" w:cs="Times New Roman" w:eastAsia="Times New Roman" w:hAnsi="Times New Roman"/>
          <w:sz w:val="18"/>
          <w:szCs w:val="18"/>
        </w:rPr>
        <w:t xml:space="preserve">[14] C. Lascu, I. Boldea, and F. Blaabjerg, A modified direct torque control for induction motor sensorless drive, IEEE Trans. Ind. Appl., vol. 36, no. 1, pp. 122-130, 2000.</w:t>
      </w:r>
    </w:p>
    <w:p>
      <w:pPr>
        <w:pStyle w:val="ListParagraph"/>
        <w:numPr>
          <w:ilvl w:val="0"/>
          <w:numId w:val="2"/>
        </w:numPr>
        <w:spacing w:after="28" w:before="28"/>
        <w:jc w:val="both"/>
      </w:pPr>
      <w:r>
        <w:rPr>
          <w:rFonts w:ascii="Times New Roman" w:cs="Times New Roman" w:eastAsia="Times New Roman" w:hAnsi="Times New Roman"/>
          <w:sz w:val="18"/>
          <w:szCs w:val="18"/>
        </w:rPr>
        <w:t xml:space="preserve">[15] V. Utkin, J. Guldner, and J. Shi, Sliding Mode Control in Electro-Mechanical Systems, 2nd ed. CRC Press, 2009.</w:t>
      </w:r>
    </w:p>
    <w:p>
      <w:pPr>
        <w:pStyle w:val="ListParagraph"/>
        <w:numPr>
          <w:ilvl w:val="0"/>
          <w:numId w:val="2"/>
        </w:numPr>
        <w:spacing w:after="28" w:before="28"/>
        <w:jc w:val="both"/>
      </w:pPr>
      <w:r>
        <w:rPr>
          <w:rFonts w:ascii="Times New Roman" w:cs="Times New Roman" w:eastAsia="Times New Roman" w:hAnsi="Times New Roman"/>
          <w:sz w:val="18"/>
          <w:szCs w:val="18"/>
        </w:rPr>
        <w:t xml:space="preserve">[16] A. Levant, Sliding order and sliding accuracy in sliding mode control, Int. J. Control, vol. 58, no. 6, pp. 1247-1263, 1993.</w:t>
      </w:r>
    </w:p>
    <w:p>
      <w:pPr>
        <w:pStyle w:val="ListParagraph"/>
        <w:numPr>
          <w:ilvl w:val="0"/>
          <w:numId w:val="2"/>
        </w:numPr>
        <w:spacing w:after="28" w:before="28"/>
        <w:jc w:val="both"/>
      </w:pPr>
      <w:r>
        <w:rPr>
          <w:rFonts w:ascii="Times New Roman" w:cs="Times New Roman" w:eastAsia="Times New Roman" w:hAnsi="Times New Roman"/>
          <w:sz w:val="18"/>
          <w:szCs w:val="18"/>
        </w:rPr>
        <w:t xml:space="preserve">[17] L. Xu and C. Wang, Implementation and experimental investigation of sensorless control schemes for PMSM, in Proc. IEEE IAS, 1998, pp. 483-489.</w:t>
      </w:r>
    </w:p>
    <w:p>
      <w:pPr>
        <w:pStyle w:val="ListParagraph"/>
        <w:numPr>
          <w:ilvl w:val="0"/>
          <w:numId w:val="2"/>
        </w:numPr>
        <w:spacing w:after="28" w:before="28"/>
        <w:jc w:val="both"/>
      </w:pPr>
      <w:r>
        <w:rPr>
          <w:rFonts w:ascii="Times New Roman" w:cs="Times New Roman" w:eastAsia="Times New Roman" w:hAnsi="Times New Roman"/>
          <w:sz w:val="18"/>
          <w:szCs w:val="18"/>
        </w:rPr>
        <w:t xml:space="preserve">[18] A. Levant, Principles of 2-sliding mode design, Automatica, vol. 43, no. 4, pp. 576-586, 2007.</w:t>
      </w:r>
    </w:p>
    <w:p>
      <w:pPr>
        <w:pStyle w:val="ListParagraph"/>
        <w:numPr>
          <w:ilvl w:val="0"/>
          <w:numId w:val="2"/>
        </w:numPr>
        <w:spacing w:after="28" w:before="28"/>
        <w:jc w:val="both"/>
      </w:pPr>
      <w:r>
        <w:rPr>
          <w:rFonts w:ascii="Times New Roman" w:cs="Times New Roman" w:eastAsia="Times New Roman" w:hAnsi="Times New Roman"/>
          <w:sz w:val="18"/>
          <w:szCs w:val="18"/>
        </w:rPr>
        <w:t xml:space="preserve">[19] S. Laghrouche, F. Plestan, and A. Glumineau, Higher order sliding mode control based on integral sliding mode, Automatica, vol. 43, no. 3, pp. 531-537, 2007.</w:t>
      </w:r>
    </w:p>
    <w:p>
      <w:pPr>
        <w:pStyle w:val="ListParagraph"/>
        <w:numPr>
          <w:ilvl w:val="0"/>
          <w:numId w:val="2"/>
        </w:numPr>
        <w:spacing w:after="28" w:before="28"/>
        <w:jc w:val="both"/>
      </w:pPr>
      <w:r>
        <w:rPr>
          <w:rFonts w:ascii="Times New Roman" w:cs="Times New Roman" w:eastAsia="Times New Roman" w:hAnsi="Times New Roman"/>
          <w:sz w:val="18"/>
          <w:szCs w:val="18"/>
        </w:rPr>
        <w:t xml:space="preserve">[20] J. Liu and X. Wang, Advanced Sliding Mode Control for Mechanical Systems. Springer, 2012.</w:t>
      </w:r>
    </w:p>
    <w:p>
      <w:pPr>
        <w:pStyle w:val="ListParagraph"/>
        <w:numPr>
          <w:ilvl w:val="0"/>
          <w:numId w:val="2"/>
        </w:numPr>
        <w:spacing w:after="28" w:before="28"/>
        <w:jc w:val="both"/>
      </w:pPr>
      <w:r>
        <w:rPr>
          <w:rFonts w:ascii="Times New Roman" w:cs="Times New Roman" w:eastAsia="Times New Roman" w:hAnsi="Times New Roman"/>
          <w:sz w:val="18"/>
          <w:szCs w:val="18"/>
        </w:rPr>
        <w:t xml:space="preserve">[21] Z. Wang et al., Field-oriented control and direct torque control for paralleled VSIs fed PMSM drives, IEEE Trans. Power Electron., vol. 31, no. 3, pp. 2417-2428, 2016.</w:t>
      </w:r>
    </w:p>
    <w:p>
      <w:pPr>
        <w:pStyle w:val="ListParagraph"/>
        <w:numPr>
          <w:ilvl w:val="0"/>
          <w:numId w:val="2"/>
        </w:numPr>
        <w:spacing w:after="28" w:before="28"/>
        <w:jc w:val="both"/>
      </w:pPr>
      <w:r>
        <w:rPr>
          <w:rFonts w:ascii="Times New Roman" w:cs="Times New Roman" w:eastAsia="Times New Roman" w:hAnsi="Times New Roman"/>
          <w:sz w:val="18"/>
          <w:szCs w:val="18"/>
        </w:rPr>
        <w:t xml:space="preserve">[22] I. Boldea, M. C. Paicu, and G.-D. Andreescu, Active flux concept for motion-sensorless unified AC drives, IEEE Trans. Power Electron., vol. 23, no. 5, pp. 2507-2519, 2008.</w:t>
      </w:r>
    </w:p>
    <w:p>
      <w:pPr>
        <w:pStyle w:val="ListParagraph"/>
        <w:numPr>
          <w:ilvl w:val="0"/>
          <w:numId w:val="2"/>
        </w:numPr>
        <w:spacing w:after="28" w:before="28"/>
        <w:jc w:val="both"/>
      </w:pPr>
      <w:r>
        <w:rPr>
          <w:rFonts w:ascii="Times New Roman" w:cs="Times New Roman" w:eastAsia="Times New Roman" w:hAnsi="Times New Roman"/>
          <w:sz w:val="18"/>
          <w:szCs w:val="18"/>
        </w:rPr>
        <w:t xml:space="preserve">[23] I. Boldea et al., Automotive electric propulsion systems with reduced or no permanent magnets, IEEE Trans. Ind. Electron., vol. 61, no. 10, pp. 5696-5711, 2014.</w:t>
      </w:r>
    </w:p>
    <w:p>
      <w:pPr>
        <w:pStyle w:val="ListParagraph"/>
        <w:numPr>
          <w:ilvl w:val="0"/>
          <w:numId w:val="2"/>
        </w:numPr>
        <w:spacing w:after="28" w:before="28"/>
        <w:jc w:val="both"/>
      </w:pPr>
      <w:r>
        <w:rPr>
          <w:rFonts w:ascii="Times New Roman" w:cs="Times New Roman" w:eastAsia="Times New Roman" w:hAnsi="Times New Roman"/>
          <w:sz w:val="18"/>
          <w:szCs w:val="18"/>
        </w:rPr>
        <w:t xml:space="preserve">[24] S. Piippo, M. Hinkkanen, and J. Luomi, Adaptation of motor parameters in sensorless PMSM drives, IEEE Trans. Ind. Appl., vol. 45, no. 1, pp. 203-212, 2009.</w:t>
      </w:r>
    </w:p>
    <w:p>
      <w:pPr>
        <w:pStyle w:val="ListParagraph"/>
        <w:numPr>
          <w:ilvl w:val="0"/>
          <w:numId w:val="2"/>
        </w:numPr>
        <w:spacing w:after="28" w:before="28"/>
        <w:jc w:val="both"/>
      </w:pPr>
      <w:r>
        <w:rPr>
          <w:rFonts w:ascii="Times New Roman" w:cs="Times New Roman" w:eastAsia="Times New Roman" w:hAnsi="Times New Roman"/>
          <w:sz w:val="18"/>
          <w:szCs w:val="18"/>
        </w:rPr>
        <w:t xml:space="preserve">[25] P. Vaclavek and P. Blaha, Interior PMSM sensorless control with Kalman filter, in Proc. IECON, 2009, pp. 1286-1291.</w:t>
      </w:r>
    </w:p>
    <w:p>
      <w:pPr>
        <w:pStyle w:val="ListParagraph"/>
        <w:numPr>
          <w:ilvl w:val="0"/>
          <w:numId w:val="2"/>
        </w:numPr>
        <w:spacing w:after="28" w:before="28"/>
        <w:jc w:val="both"/>
      </w:pPr>
      <w:r>
        <w:rPr>
          <w:rFonts w:ascii="Times New Roman" w:cs="Times New Roman" w:eastAsia="Times New Roman" w:hAnsi="Times New Roman"/>
          <w:sz w:val="18"/>
          <w:szCs w:val="18"/>
        </w:rPr>
        <w:t xml:space="preserve">[26] Z. Chen et al., An extended electromotive force model for sensorless control of IPMSMs, IEEE Trans. Ind. Electron., vol. 50, no. 2, pp. 288-295, 2003.</w:t>
      </w:r>
    </w:p>
    <w:p>
      <w:pPr>
        <w:pStyle w:val="ListParagraph"/>
        <w:numPr>
          <w:ilvl w:val="0"/>
          <w:numId w:val="2"/>
        </w:numPr>
        <w:spacing w:after="28" w:before="28"/>
        <w:jc w:val="both"/>
      </w:pPr>
      <w:r>
        <w:rPr>
          <w:rFonts w:ascii="Times New Roman" w:cs="Times New Roman" w:eastAsia="Times New Roman" w:hAnsi="Times New Roman"/>
          <w:sz w:val="18"/>
          <w:szCs w:val="18"/>
        </w:rPr>
        <w:t xml:space="preserve">[27] G. Wang, R. Yang, and D. Xu, DSP-based control of sensorless IPMSM drives for wide speed range operation, IEEE Trans. Ind. Electron., vol. 60, no. 2, pp. 720-727, 2013.</w:t>
      </w:r>
    </w:p>
    <w:p>
      <w:pPr>
        <w:pStyle w:val="ListParagraph"/>
        <w:numPr>
          <w:ilvl w:val="0"/>
          <w:numId w:val="2"/>
        </w:numPr>
        <w:spacing w:after="28" w:before="28"/>
        <w:jc w:val="both"/>
      </w:pPr>
      <w:r>
        <w:rPr>
          <w:rFonts w:ascii="Times New Roman" w:cs="Times New Roman" w:eastAsia="Times New Roman" w:hAnsi="Times New Roman"/>
          <w:sz w:val="18"/>
          <w:szCs w:val="18"/>
        </w:rPr>
        <w:t xml:space="preserve">[28] H. Kim, M. C. Harke, and R. D. Lorenz, Sensorless control of interior permanent-magnet machine drives, IEEE Trans. Ind. Appl., vol. 39, no. 6, pp. 1726-1733, 2003.</w:t>
      </w:r>
    </w:p>
    <w:p>
      <w:pPr>
        <w:pStyle w:val="ListParagraph"/>
        <w:numPr>
          <w:ilvl w:val="0"/>
          <w:numId w:val="2"/>
        </w:numPr>
        <w:spacing w:after="28" w:before="28"/>
        <w:jc w:val="both"/>
      </w:pPr>
      <w:r>
        <w:rPr>
          <w:rFonts w:ascii="Times New Roman" w:cs="Times New Roman" w:eastAsia="Times New Roman" w:hAnsi="Times New Roman"/>
          <w:sz w:val="18"/>
          <w:szCs w:val="18"/>
        </w:rPr>
        <w:t xml:space="preserve">[29] R. Teodorescu, F. Blaabjerg, M. Liserre, and P. C. Loh, Proportional-resonant controllers and filters for grid-connected VSCs, IEE Proc. Electr. Power Appl., vol. 153, no. 5, pp. 750-762, 2006.</w:t>
      </w:r>
    </w:p>
    <w:p>
      <w:pPr>
        <w:pStyle w:val="ListParagraph"/>
        <w:numPr>
          <w:ilvl w:val="0"/>
          <w:numId w:val="2"/>
        </w:numPr>
        <w:spacing w:after="28" w:before="28"/>
        <w:jc w:val="both"/>
      </w:pPr>
      <w:r>
        <w:rPr>
          <w:rFonts w:ascii="Times New Roman" w:cs="Times New Roman" w:eastAsia="Times New Roman" w:hAnsi="Times New Roman"/>
          <w:sz w:val="18"/>
          <w:szCs w:val="18"/>
        </w:rPr>
        <w:t xml:space="preserve">[30] M. Ciobotaru, R. Teodorescu, and F. Blaabjerg, A new single-phase PLL based on second order generalized integrator, in Proc. IEEE PESC, 2006, pp. 1-6.</w:t>
      </w:r>
    </w:p>
    <w:p>
      <w:pPr>
        <w:pStyle w:val="ListParagraph"/>
        <w:numPr>
          <w:ilvl w:val="0"/>
          <w:numId w:val="2"/>
        </w:numPr>
        <w:spacing w:after="28" w:before="28"/>
        <w:jc w:val="both"/>
      </w:pPr>
      <w:r>
        <w:rPr>
          <w:rFonts w:ascii="Times New Roman" w:cs="Times New Roman" w:eastAsia="Times New Roman" w:hAnsi="Times New Roman"/>
          <w:sz w:val="18"/>
          <w:szCs w:val="18"/>
        </w:rPr>
        <w:t xml:space="preserve">[31] D. Xia and G. S. Buja, Improved signal extraction from SOGI-based single-phase PLL, IEEE Trans. Ind. Electron., vol. 65, no. 3, pp. 2399-2409, 2018.</w:t>
      </w:r>
    </w:p>
    <w:p>
      <w:pPr>
        <w:pStyle w:val="ListParagraph"/>
        <w:numPr>
          <w:ilvl w:val="0"/>
          <w:numId w:val="2"/>
        </w:numPr>
        <w:spacing w:after="28" w:before="28"/>
        <w:jc w:val="both"/>
      </w:pPr>
      <w:r>
        <w:rPr>
          <w:rFonts w:ascii="Times New Roman" w:cs="Times New Roman" w:eastAsia="Times New Roman" w:hAnsi="Times New Roman"/>
          <w:sz w:val="18"/>
          <w:szCs w:val="18"/>
        </w:rPr>
        <w:t xml:space="preserve">[32] T. M. Jahns, G. B. Kliman, and T. W. Neumann, Interior permanent-magnet synchronous motors for adjustable-speed drives, IEEE Trans. Ind. Appl., vol. IA-22, no. 4, pp. 738-747, 1986.</w:t>
      </w:r>
    </w:p>
    <w:p>
      <w:pPr>
        <w:pStyle w:val="ListParagraph"/>
        <w:numPr>
          <w:ilvl w:val="0"/>
          <w:numId w:val="2"/>
        </w:numPr>
        <w:spacing w:after="28" w:before="28"/>
        <w:jc w:val="both"/>
      </w:pPr>
      <w:r>
        <w:rPr>
          <w:rFonts w:ascii="Times New Roman" w:cs="Times New Roman" w:eastAsia="Times New Roman" w:hAnsi="Times New Roman"/>
          <w:sz w:val="18"/>
          <w:szCs w:val="18"/>
        </w:rPr>
        <w:t xml:space="preserve">[33] W. L. Soong and T. J. E. Miller, Field-weakening performance of brushless synchronous AC motor drives, IEE Proc. Electr. Power Appl., vol. 141, no. 6, pp. 331-340, 1994.</w:t>
      </w:r>
    </w:p>
    <w:p>
      <w:pPr>
        <w:pStyle w:val="ListParagraph"/>
        <w:numPr>
          <w:ilvl w:val="0"/>
          <w:numId w:val="2"/>
        </w:numPr>
        <w:spacing w:after="28" w:before="28"/>
        <w:jc w:val="both"/>
      </w:pPr>
      <w:r>
        <w:rPr>
          <w:rFonts w:ascii="Times New Roman" w:cs="Times New Roman" w:eastAsia="Times New Roman" w:hAnsi="Times New Roman"/>
          <w:sz w:val="18"/>
          <w:szCs w:val="18"/>
        </w:rPr>
        <w:t xml:space="preserve">[34] M. F. Rahman, L. Zhong, and K. W. Lim, A direct torque-controlled IPMSM drive incorporating field weakening, IEEE Trans. Ind. Appl., vol. 34, no. 6, pp. 1246-1253, 1998.</w:t>
      </w:r>
    </w:p>
    <w:p>
      <w:pPr>
        <w:pStyle w:val="ListParagraph"/>
        <w:numPr>
          <w:ilvl w:val="0"/>
          <w:numId w:val="2"/>
        </w:numPr>
        <w:spacing w:after="28" w:before="28"/>
        <w:jc w:val="both"/>
      </w:pPr>
      <w:r>
        <w:rPr>
          <w:rFonts w:ascii="Times New Roman" w:cs="Times New Roman" w:eastAsia="Times New Roman" w:hAnsi="Times New Roman"/>
          <w:sz w:val="18"/>
          <w:szCs w:val="18"/>
        </w:rPr>
        <w:t xml:space="preserve">[35] F. Giri, Ed., AC Electric Motors Control. Wiley-IEEE Press, 2013.</w:t>
      </w:r>
    </w:p>
    <w:p>
      <w:pPr>
        <w:pStyle w:val="ListParagraph"/>
        <w:numPr>
          <w:ilvl w:val="0"/>
          <w:numId w:val="2"/>
        </w:numPr>
        <w:spacing w:after="28" w:before="28"/>
        <w:jc w:val="both"/>
      </w:pPr>
      <w:r>
        <w:rPr>
          <w:rFonts w:ascii="Times New Roman" w:cs="Times New Roman" w:eastAsia="Times New Roman" w:hAnsi="Times New Roman"/>
          <w:sz w:val="18"/>
          <w:szCs w:val="18"/>
        </w:rPr>
        <w:t xml:space="preserve">[36] J. Holtz, Sensorless control of induction motor drives, Proc. IEEE, vol. 90, no. 8, pp. 1359-1394, 2002.</w:t>
      </w:r>
    </w:p>
    <w:p>
      <w:pPr>
        <w:pStyle w:val="ListParagraph"/>
        <w:numPr>
          <w:ilvl w:val="0"/>
          <w:numId w:val="2"/>
        </w:numPr>
        <w:spacing w:after="28" w:before="28"/>
        <w:jc w:val="both"/>
      </w:pPr>
      <w:r>
        <w:rPr>
          <w:rFonts w:ascii="Times New Roman" w:cs="Times New Roman" w:eastAsia="Times New Roman" w:hAnsi="Times New Roman"/>
          <w:sz w:val="18"/>
          <w:szCs w:val="18"/>
        </w:rPr>
        <w:t xml:space="preserve">[37] N. Matsui, Sensorless PM brushless DC motor drives, IEEE Trans. Ind. Electron., vol. 43, no. 2, pp. 300-308, 1996.</w:t>
      </w:r>
    </w:p>
    <w:p>
      <w:pPr>
        <w:pStyle w:val="ListParagraph"/>
        <w:numPr>
          <w:ilvl w:val="0"/>
          <w:numId w:val="2"/>
        </w:numPr>
        <w:spacing w:after="28" w:before="28"/>
        <w:jc w:val="both"/>
      </w:pPr>
      <w:r>
        <w:rPr>
          <w:rFonts w:ascii="Times New Roman" w:cs="Times New Roman" w:eastAsia="Times New Roman" w:hAnsi="Times New Roman"/>
          <w:sz w:val="18"/>
          <w:szCs w:val="18"/>
        </w:rPr>
        <w:t xml:space="preserve">[38] T. C. Green and J. H. Marks, Control techniques for active power filters, IEE Proc. Electr. Power Appl., vol. 152, no. 2, pp. 369-381, 2005.</w:t>
      </w:r>
    </w:p>
    <w:p>
      <w:pPr>
        <w:pStyle w:val="ListParagraph"/>
        <w:numPr>
          <w:ilvl w:val="0"/>
          <w:numId w:val="2"/>
        </w:numPr>
        <w:spacing w:after="28" w:before="28"/>
        <w:jc w:val="both"/>
      </w:pPr>
      <w:r>
        <w:rPr>
          <w:rFonts w:ascii="Times New Roman" w:cs="Times New Roman" w:eastAsia="Times New Roman" w:hAnsi="Times New Roman"/>
          <w:sz w:val="18"/>
          <w:szCs w:val="18"/>
        </w:rPr>
        <w:t xml:space="preserve">[39] H. Akagi, E. H. Watanabe, and M. Aredes, Instantaneous Power Theory and Applications to Power Conditioning. IEEE Press, 2007.</w:t>
      </w:r>
    </w:p>
    <w:p>
      <w:pPr>
        <w:pStyle w:val="ListParagraph"/>
        <w:numPr>
          <w:ilvl w:val="0"/>
          <w:numId w:val="2"/>
        </w:numPr>
        <w:spacing w:after="28" w:before="28"/>
        <w:jc w:val="both"/>
      </w:pPr>
      <w:r>
        <w:rPr>
          <w:rFonts w:ascii="Times New Roman" w:cs="Times New Roman" w:eastAsia="Times New Roman" w:hAnsi="Times New Roman"/>
          <w:sz w:val="18"/>
          <w:szCs w:val="18"/>
        </w:rPr>
        <w:t xml:space="preserve">[40] R. Krishnan, Permanent Magnet Synchronous and Brushless DC Motor Drives. CRC Press, 2010.</w:t>
      </w:r>
    </w:p>
    <w:p>
      <w:pPr>
        <w:pStyle w:val="ListParagraph"/>
        <w:numPr>
          <w:ilvl w:val="0"/>
          <w:numId w:val="2"/>
        </w:numPr>
        <w:spacing w:after="28" w:before="28"/>
        <w:jc w:val="both"/>
      </w:pPr>
      <w:r>
        <w:rPr>
          <w:rFonts w:ascii="Times New Roman" w:cs="Times New Roman" w:eastAsia="Times New Roman" w:hAnsi="Times New Roman"/>
          <w:sz w:val="18"/>
          <w:szCs w:val="18"/>
        </w:rPr>
        <w:t xml:space="preserve">[41] M. Schroedl, Sensorless control of AC machines at low speed and standstill based on the INFORM method, in Proc. IEEE IAS, 1996, pp. 270-277.</w:t>
      </w:r>
    </w:p>
    <w:p>
      <w:pPr>
        <w:pStyle w:val="ListParagraph"/>
        <w:numPr>
          <w:ilvl w:val="0"/>
          <w:numId w:val="2"/>
        </w:numPr>
        <w:spacing w:after="28" w:before="28"/>
        <w:jc w:val="both"/>
      </w:pPr>
      <w:r>
        <w:rPr>
          <w:rFonts w:ascii="Times New Roman" w:cs="Times New Roman" w:eastAsia="Times New Roman" w:hAnsi="Times New Roman"/>
          <w:sz w:val="18"/>
          <w:szCs w:val="18"/>
        </w:rPr>
        <w:t xml:space="preserve">[42] R. D. Lorenz and K. Van Patten, High-resolution velocity estimation for all-digital AC servo drives, IEEE Trans. Ind. Appl., vol. 27, no. 4, pp. 701-705, 1991.</w:t>
      </w:r>
    </w:p>
    <w:p>
      <w:pPr>
        <w:pStyle w:val="ListParagraph"/>
        <w:numPr>
          <w:ilvl w:val="0"/>
          <w:numId w:val="2"/>
        </w:numPr>
        <w:spacing w:after="28" w:before="28"/>
        <w:jc w:val="both"/>
      </w:pPr>
      <w:r>
        <w:rPr>
          <w:rFonts w:ascii="Times New Roman" w:cs="Times New Roman" w:eastAsia="Times New Roman" w:hAnsi="Times New Roman"/>
          <w:sz w:val="18"/>
          <w:szCs w:val="18"/>
        </w:rPr>
        <w:t xml:space="preserve">[43] B. Bose, Modern Power Electronics and AC Drives. Prentice Hall, 2002.</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0000" w:sz="4" w:space="3"/>
      </w:pBdr>
      <w:tabs>
        <w:tab w:val="right" w:pos="9026"/>
      </w:tabs>
    </w:pPr>
    <w:r>
      <w:rPr>
        <w:rFonts w:ascii="Arial" w:cs="Arial" w:eastAsia="Arial" w:hAnsi="Arial"/>
        <w:color w:val="AA0000"/>
        <w:sz w:val="16"/>
        <w:szCs w:val="16"/>
      </w:rPr>
      <w:t xml:space="preserve">SPINOTOR — CONFIDENTIAL — Do not distribute without written authorization from Blind Systems Engineering</w:t>
    </w:r>
    <w:r>
      <w:rPr>
        <w:rFonts w:ascii="Arial" w:cs="Arial" w:eastAsia="Arial" w:hAnsi="Arial"/>
        <w:sz w:val="16"/>
        <w:szCs w:val="16"/>
      </w:rPr>
      <w:t xml:space="preserve">	Page </w:t>
    </w:r>
    <w:r>
      <w:rPr>
        <w:rFonts w:ascii="Arial" w:cs="Arial" w:eastAsia="Arial" w:hAnsi="Arial"/>
        <w:sz w:val="16"/>
        <w:szCs w:val="16"/>
      </w:rPr>
      <w:fldChar w:fldCharType="begin"/>
      <w:instrText xml:space="preserve">PAGE</w:instrText>
      <w:fldChar w:fldCharType="separate"/>
      <w:fldChar w:fldCharType="end"/>
    </w:r>
    <w:r>
      <w:rPr>
        <w:rFonts w:ascii="Arial" w:cs="Arial" w:eastAsia="Arial" w:hAnsi="Arial"/>
        <w:sz w:val="16"/>
        <w:szCs w:val="16"/>
      </w:rPr>
      <w:t xml:space="preserve"> / </w:t>
    </w:r>
    <w:r>
      <w:rPr>
        <w:rFonts w:ascii="Arial" w:cs="Arial" w:eastAsia="Arial" w:hAnsi="Arial"/>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4" w:space="3"/>
      </w:pBdr>
      <w:tabs>
        <w:tab w:val="right" w:pos="9026"/>
      </w:tabs>
    </w:pPr>
    <w:r>
      <w:rPr>
        <w:rFonts w:ascii="Arial" w:cs="Arial" w:eastAsia="Arial" w:hAnsi="Arial"/>
        <w:color w:val="1F3864"/>
        <w:sz w:val="18"/>
        <w:szCs w:val="18"/>
      </w:rPr>
      <w:t xml:space="preserve">SPINOTOR — Auto-Calibration Technical Report</w:t>
    </w:r>
    <w:r>
      <w:rPr>
        <w:rFonts w:ascii="Arial" w:cs="Arial" w:eastAsia="Arial" w:hAnsi="Arial"/>
        <w:color w:val="555555"/>
        <w:sz w:val="18"/>
        <w:szCs w:val="18"/>
      </w:rPr>
      <w:t xml:space="preserve">	v1.0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4" w:space="2"/>
      </w:pBdr>
      <w:spacing w:after="100" w:before="320"/>
      <w:outlineLvl w:val="0"/>
    </w:pPr>
    <w:rPr>
      <w:rFonts w:ascii="Arial" w:cs="Arial" w:eastAsia="Arial" w:hAnsi="Arial"/>
      <w:b/>
      <w:bCs/>
      <w:caps/>
      <w:color w:val="1F3864"/>
      <w:sz w:val="26"/>
      <w:szCs w:val="26"/>
    </w:rPr>
  </w:style>
  <w:style w:type="paragraph" w:styleId="Heading2">
    <w:name w:val="Heading 2"/>
    <w:basedOn w:val="Normal"/>
    <w:next w:val="Normal"/>
    <w:qFormat/>
    <w:pPr>
      <w:spacing w:after="60" w:before="200"/>
      <w:outlineLvl w:val="1"/>
    </w:pPr>
    <w:rPr>
      <w:rFonts w:ascii="Arial" w:cs="Arial" w:eastAsia="Arial" w:hAnsi="Arial"/>
      <w:b/>
      <w:bCs/>
      <w:color w:val="2E5DAC"/>
      <w:sz w:val="22"/>
      <w:szCs w:val="22"/>
    </w:rPr>
  </w:style>
  <w:style w:type="paragraph" w:styleId="Heading3">
    <w:name w:val="Heading 3"/>
    <w:basedOn w:val="Normal"/>
    <w:next w:val="Normal"/>
    <w:qFormat/>
    <w:pPr>
      <w:spacing w:after="40" w:before="120"/>
      <w:outlineLvl w:val="2"/>
    </w:pPr>
    <w:rPr>
      <w:rFonts w:ascii="Arial" w:cs="Arial" w:eastAsia="Arial" w:hAnsi="Arial"/>
      <w:b/>
      <w:bCs/>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6c8d5b1dfe2abd0cfdef722c263193a6a206d83.png"/><Relationship Id="rId10" Type="http://schemas.openxmlformats.org/officeDocument/2006/relationships/image" Target="media/5ce39c3cce42545eb0b2c3ab1a2e6b55d7e98dcb.png"/><Relationship Id="rId11" Type="http://schemas.openxmlformats.org/officeDocument/2006/relationships/image" Target="media/8395df83b1eb9685f6743b68219f74422fc42631.png"/><Relationship Id="rId12" Type="http://schemas.openxmlformats.org/officeDocument/2006/relationships/image" Target="media/9be61cea79d6670913eb29b3e4abec0dbe71a4d3.png"/><Relationship Id="rId13" Type="http://schemas.openxmlformats.org/officeDocument/2006/relationships/image" Target="media/b34e8e0f851dd65cdeeb30d5dc9a950ebee13986.png"/><Relationship Id="rId14" Type="http://schemas.openxmlformats.org/officeDocument/2006/relationships/image" Target="media/f4c2bcf0ad3b5890f1b4d97f5ffff9dcbf644382.png"/><Relationship Id="rId15" Type="http://schemas.openxmlformats.org/officeDocument/2006/relationships/image" Target="media/0b925460e796d7af9f5467cc10e734581db4b00a.png"/><Relationship Id="rId16" Type="http://schemas.openxmlformats.org/officeDocument/2006/relationships/image" Target="media/ee09c29047cc4de0c5d2b61fa8d5251814b585b5.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2026-04-07T19:49:31.161Z</dcterms:created>
  <dcterms:modified xsi:type="dcterms:W3CDTF">2026-04-07T19:49:31.161Z</dcterms:modified>
</cp:coreProperties>
</file>

<file path=docProps/custom.xml><?xml version="1.0" encoding="utf-8"?>
<Properties xmlns="http://schemas.openxmlformats.org/officeDocument/2006/custom-properties" xmlns:vt="http://schemas.openxmlformats.org/officeDocument/2006/docPropsVTypes"/>
</file>