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pBdr>
          <w:top w:val="single" w:color="2E75B6" w:sz="8" w:space="12"/>
          <w:bottom w:val="single" w:color="2E75B6" w:sz="8" w:space="12"/>
        </w:pBdr>
        <w:spacing w:after="200"/>
        <w:jc w:val="center"/>
      </w:pPr>
      <w:r>
        <w:rPr>
          <w:rFonts w:ascii="Arial" w:cs="Arial" w:eastAsia="Arial" w:hAnsi="Arial"/>
          <w:b/>
          <w:bCs/>
          <w:color w:val="1F4E79"/>
          <w:sz w:val="48"/>
          <w:szCs w:val="48"/>
        </w:rPr>
        <w:t xml:space="preserve">DOCUMENTATION DU PROJET</w:t>
      </w:r>
    </w:p>
    <w:p>
      <w:pPr>
        <w:spacing w:after="80"/>
      </w:pPr>
    </w:p>
    <w:p>
      <w:pPr>
        <w:spacing w:after="120"/>
        <w:jc w:val="center"/>
      </w:pPr>
      <w:r>
        <w:rPr>
          <w:rFonts w:ascii="Arial" w:cs="Arial" w:eastAsia="Arial" w:hAnsi="Arial"/>
          <w:color w:val="2E75B6"/>
          <w:sz w:val="36"/>
          <w:szCs w:val="36"/>
        </w:rPr>
        <w:t xml:space="preserve">Benchmark Neural Mortality</w:t>
      </w:r>
    </w:p>
    <w:p>
      <w:pPr>
        <w:spacing w:after="80"/>
        <w:jc w:val="center"/>
      </w:pPr>
      <w:r>
        <w:rPr>
          <w:rFonts w:ascii="Arial" w:cs="Arial" w:eastAsia="Arial" w:hAnsi="Arial"/>
          <w:i/>
          <w:iCs/>
          <w:color w:val="4A4A4A"/>
          <w:sz w:val="24"/>
          <w:szCs w:val="24"/>
        </w:rPr>
        <w:t xml:space="preserve">Quand faut-il faire confiance aux réseaux de neurones</w:t>
      </w:r>
    </w:p>
    <w:p>
      <w:pPr>
        <w:spacing w:after="80"/>
        <w:jc w:val="center"/>
      </w:pPr>
      <w:r>
        <w:rPr>
          <w:rFonts w:ascii="Arial" w:cs="Arial" w:eastAsia="Arial" w:hAnsi="Arial"/>
          <w:i/>
          <w:iCs/>
          <w:color w:val="4A4A4A"/>
          <w:sz w:val="24"/>
          <w:szCs w:val="24"/>
        </w:rPr>
        <w:t xml:space="preserve">pour la prévision de mortalité ?</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60"/>
        <w:jc w:val="center"/>
      </w:pPr>
      <w:r>
        <w:rPr>
          <w:rFonts w:ascii="Arial" w:cs="Arial" w:eastAsia="Arial" w:hAnsi="Arial"/>
          <w:b/>
          <w:bCs/>
          <w:color w:val="1F4E79"/>
          <w:sz w:val="26"/>
          <w:szCs w:val="26"/>
        </w:rPr>
        <w:t xml:space="preserve">Amine Manai</w:t>
      </w:r>
    </w:p>
    <w:p>
      <w:pPr>
        <w:spacing w:after="60"/>
        <w:jc w:val="center"/>
      </w:pPr>
      <w:r>
        <w:rPr>
          <w:rFonts w:ascii="Arial" w:cs="Arial" w:eastAsia="Arial" w:hAnsi="Arial"/>
          <w:color w:val="4A4A4A"/>
          <w:sz w:val="22"/>
          <w:szCs w:val="22"/>
        </w:rPr>
        <w:t xml:space="preserve">Juillet 2026</w:t>
      </w:r>
    </w:p>
    <w:p>
      <w:pPr>
        <w:jc w:val="center"/>
      </w:pPr>
      <w:r>
        <w:rPr>
          <w:rFonts w:ascii="Arial" w:cs="Arial" w:eastAsia="Arial" w:hAnsi="Arial"/>
          <w:i/>
          <w:iCs/>
          <w:color w:val="2E75B6"/>
          <w:sz w:val="20"/>
          <w:szCs w:val="20"/>
        </w:rPr>
        <w:t xml:space="preserve">github.com/aminemanai2003/neural-mortality-benchmark</w:t>
      </w:r>
    </w:p>
    <w:p>
      <w:pPr>
        <w:sectPr>
          <w:pgSz w:w="11906" w:h="16838" w:orient="portrait"/>
          <w:pgMar w:top="1440" w:right="1440" w:bottom="1440" w:left="1440" w:header="708" w:footer="708" w:gutter="0"/>
          <w:pgNumType/>
          <w:docGrid w:linePitch="360"/>
        </w:sectPr>
      </w:pP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rPr>
        <w:t xml:space="preserve">1. But du projet</w:t>
      </w:r>
    </w:p>
    <w:p>
      <w:pPr>
        <w:spacing w:after="160" w:line="276"/>
        <w:jc w:val="both"/>
      </w:pPr>
      <w:r>
        <w:rPr>
          <w:rFonts w:ascii="Arial" w:cs="Arial" w:eastAsia="Arial" w:hAnsi="Arial"/>
          <w:b w:val="false"/>
          <w:bCs w:val="false"/>
          <w:i w:val="false"/>
          <w:iCs w:val="false"/>
          <w:color w:val="4A4A4A"/>
          <w:sz w:val="22"/>
          <w:szCs w:val="22"/>
        </w:rPr>
        <w:t xml:space="preserve">Ce projet constitue un benchmark rigoureux comparant 14 modèles de prévision de mortalité — 8 classiques et 6 neuronaux — sur 8 pays de la Human Mortality Database (1950–2023). Il répond à une question concrète que se posent les actuaires : quand faut-il faire confiance aux réseaux de neurones plutôt qu’aux modèles classiques pour prévoir la mortalité ?</w:t>
      </w:r>
    </w:p>
    <w:p>
      <w:pPr>
        <w:spacing w:after="160" w:line="276"/>
        <w:jc w:val="both"/>
      </w:pPr>
      <w:r>
        <w:rPr>
          <w:rFonts w:ascii="Arial" w:cs="Arial" w:eastAsia="Arial" w:hAnsi="Arial"/>
          <w:b w:val="false"/>
          <w:bCs w:val="false"/>
          <w:i w:val="false"/>
          <w:iCs w:val="false"/>
          <w:color w:val="4A4A4A"/>
          <w:sz w:val="22"/>
          <w:szCs w:val="22"/>
        </w:rPr>
        <w:t xml:space="preserve">L’originalité du travail repose sur trois contributions :</w:t>
      </w:r>
    </w:p>
    <w:p>
      <w:pPr>
        <w:pStyle w:val="ListParagraph"/>
        <w:numPr>
          <w:ilvl w:val="0"/>
          <w:numId w:val="2"/>
        </w:numPr>
        <w:spacing w:after="80" w:line="276"/>
      </w:pPr>
      <w:r>
        <w:rPr>
          <w:rFonts w:ascii="Arial" w:cs="Arial" w:eastAsia="Arial" w:hAnsi="Arial"/>
          <w:color w:val="4A4A4A"/>
          <w:sz w:val="22"/>
          <w:szCs w:val="22"/>
        </w:rPr>
        <w:t xml:space="preserve">Un cadre décisionnel pratique : un arbre de décision « quel modèle utiliser quand » basé sur la longueur de l’historique, l’horizon de prévision, le segment d’âge visé et le besoin d’interprétabilité.</w:t>
      </w:r>
    </w:p>
    <w:p>
      <w:pPr>
        <w:pStyle w:val="ListParagraph"/>
        <w:numPr>
          <w:ilvl w:val="0"/>
          <w:numId w:val="2"/>
        </w:numPr>
        <w:spacing w:after="80" w:line="276"/>
      </w:pPr>
      <w:r>
        <w:rPr>
          <w:rFonts w:ascii="Arial" w:cs="Arial" w:eastAsia="Arial" w:hAnsi="Arial"/>
          <w:color w:val="4A4A4A"/>
          <w:sz w:val="22"/>
          <w:szCs w:val="22"/>
        </w:rPr>
        <w:t xml:space="preserve">Un modèle hybride original (LC-ResNet) : un Lee-Carter Poisson comme squelette interprétable, augmenté d’un réseau de neurones qui corrige les résidus structurés, avec un shrinkage à l’horizon.</w:t>
      </w:r>
    </w:p>
    <w:p>
      <w:pPr>
        <w:pStyle w:val="ListParagraph"/>
        <w:numPr>
          <w:ilvl w:val="0"/>
          <w:numId w:val="2"/>
        </w:numPr>
        <w:spacing w:after="80" w:line="276"/>
      </w:pPr>
      <w:r>
        <w:rPr>
          <w:rFonts w:ascii="Arial" w:cs="Arial" w:eastAsia="Arial" w:hAnsi="Arial"/>
          <w:color w:val="4A4A4A"/>
          <w:sz w:val="22"/>
          <w:szCs w:val="22"/>
        </w:rPr>
        <w:t xml:space="preserve">Une étude de cas actuarielle chiffrée en euros : pricing d’une rente viagère ä₆₅ pour un portefeuille de 1 000 rentiers, choc de longévité type Solvabilité II.</w:t>
      </w:r>
    </w:p>
    <w:p>
      <w:pPr>
        <w:spacing w:after="80"/>
      </w:pPr>
    </w:p>
    <w:p>
      <w:pPr>
        <w:spacing w:after="160" w:line="276"/>
        <w:jc w:val="both"/>
      </w:pPr>
      <w:r>
        <w:rPr>
          <w:rFonts w:ascii="Arial" w:cs="Arial" w:eastAsia="Arial" w:hAnsi="Arial"/>
          <w:b w:val="false"/>
          <w:bCs w:val="false"/>
          <w:i w:val="false"/>
          <w:iCs w:val="false"/>
          <w:color w:val="4A4A4A"/>
          <w:sz w:val="22"/>
          <w:szCs w:val="22"/>
        </w:rPr>
        <w:t xml:space="preserve">Le projet est conçu comme un portfolio de compétences pour des stages et emplois en actuariat, démontrant la maîtrise de la modélisation stochastique, du deep learning, de la validation de modèles et du risque de longévité.</w:t>
      </w:r>
    </w:p>
    <w:p>
      <w:pPr>
        <w:pStyle w:val="Heading2"/>
        <w:spacing w:after="200" w:before="240"/>
      </w:pPr>
      <w:r>
        <w:rPr>
          <w:rFonts w:ascii="Arial" w:cs="Arial" w:eastAsia="Arial" w:hAnsi="Arial"/>
        </w:rPr>
        <w:t xml:space="preserve">1.1 Contexte : le risque de longévité</w:t>
      </w:r>
    </w:p>
    <w:p>
      <w:pPr>
        <w:spacing w:after="160" w:line="276"/>
        <w:jc w:val="both"/>
      </w:pPr>
      <w:r>
        <w:rPr>
          <w:rFonts w:ascii="Arial" w:cs="Arial" w:eastAsia="Arial" w:hAnsi="Arial"/>
          <w:b w:val="false"/>
          <w:bCs w:val="false"/>
          <w:i w:val="false"/>
          <w:iCs w:val="false"/>
          <w:color w:val="4A4A4A"/>
          <w:sz w:val="22"/>
          <w:szCs w:val="22"/>
        </w:rPr>
        <w:t xml:space="preserve">Le risque de longévité — le risque que les assurés vivent plus longtemps que prévu — est l’un des principaux risques auxquels font face les compagnies d’assurance vie, les fonds de pension et les réassureurs. Sous Solvabilité II, le capital requis pour ce risque (SCR longevity) représente typiquement 5 à 15 % du best estimate des provisions pour rentes.</w:t>
      </w:r>
    </w:p>
    <w:p>
      <w:pPr>
        <w:spacing w:after="160" w:line="276"/>
        <w:jc w:val="both"/>
      </w:pPr>
      <w:r>
        <w:rPr>
          <w:rFonts w:ascii="Arial" w:cs="Arial" w:eastAsia="Arial" w:hAnsi="Arial"/>
          <w:b w:val="false"/>
          <w:bCs w:val="false"/>
          <w:i w:val="false"/>
          <w:iCs w:val="false"/>
          <w:color w:val="4A4A4A"/>
          <w:sz w:val="22"/>
          <w:szCs w:val="22"/>
        </w:rPr>
        <w:t xml:space="preserve">La qualité de la prévision de mortalité a un impact direct et quantifiable sur :</w:t>
      </w:r>
    </w:p>
    <w:p>
      <w:pPr>
        <w:pStyle w:val="ListParagraph"/>
        <w:numPr>
          <w:ilvl w:val="0"/>
          <w:numId w:val="3"/>
        </w:numPr>
        <w:spacing w:after="80" w:line="276"/>
      </w:pPr>
      <w:r>
        <w:rPr>
          <w:rFonts w:ascii="Arial" w:cs="Arial" w:eastAsia="Arial" w:hAnsi="Arial"/>
          <w:color w:val="4A4A4A"/>
          <w:sz w:val="22"/>
          <w:szCs w:val="22"/>
        </w:rPr>
        <w:t xml:space="preserve">Le provisionnement (best estimate)</w:t>
      </w:r>
    </w:p>
    <w:p>
      <w:pPr>
        <w:pStyle w:val="ListParagraph"/>
        <w:numPr>
          <w:ilvl w:val="0"/>
          <w:numId w:val="3"/>
        </w:numPr>
        <w:spacing w:after="80" w:line="276"/>
      </w:pPr>
      <w:r>
        <w:rPr>
          <w:rFonts w:ascii="Arial" w:cs="Arial" w:eastAsia="Arial" w:hAnsi="Arial"/>
          <w:color w:val="4A4A4A"/>
          <w:sz w:val="22"/>
          <w:szCs w:val="22"/>
        </w:rPr>
        <w:t xml:space="preserve">Le capital de solvabilité requis (SCR)</w:t>
      </w:r>
    </w:p>
    <w:p>
      <w:pPr>
        <w:pStyle w:val="ListParagraph"/>
        <w:numPr>
          <w:ilvl w:val="0"/>
          <w:numId w:val="3"/>
        </w:numPr>
        <w:spacing w:after="80" w:line="276"/>
      </w:pPr>
      <w:r>
        <w:rPr>
          <w:rFonts w:ascii="Arial" w:cs="Arial" w:eastAsia="Arial" w:hAnsi="Arial"/>
          <w:color w:val="4A4A4A"/>
          <w:sz w:val="22"/>
          <w:szCs w:val="22"/>
        </w:rPr>
        <w:t xml:space="preserve">La tarification des rentes viagères</w:t>
      </w:r>
    </w:p>
    <w:p>
      <w:pPr>
        <w:pStyle w:val="ListParagraph"/>
        <w:numPr>
          <w:ilvl w:val="0"/>
          <w:numId w:val="3"/>
        </w:numPr>
        <w:spacing w:after="80" w:line="276"/>
      </w:pPr>
      <w:r>
        <w:rPr>
          <w:rFonts w:ascii="Arial" w:cs="Arial" w:eastAsia="Arial" w:hAnsi="Arial"/>
          <w:color w:val="4A4A4A"/>
          <w:sz w:val="22"/>
          <w:szCs w:val="22"/>
        </w:rPr>
        <w:t xml:space="preserve">Les transferts de risque (ILS, swaps de longévité)</w:t>
      </w:r>
    </w:p>
    <w:p>
      <w:pPr>
        <w:pStyle w:val="Heading2"/>
        <w:spacing w:after="200" w:before="240"/>
      </w:pPr>
      <w:r>
        <w:rPr>
          <w:rFonts w:ascii="Arial" w:cs="Arial" w:eastAsia="Arial" w:hAnsi="Arial"/>
        </w:rPr>
        <w:t xml:space="preserve">1.2 Questions auxquelles répond le projet</w:t>
      </w:r>
    </w:p>
    <w:p>
      <w:pPr>
        <w:pStyle w:val="ListParagraph"/>
        <w:numPr>
          <w:ilvl w:val="0"/>
          <w:numId w:val="3"/>
        </w:numPr>
        <w:spacing w:after="80" w:line="276"/>
      </w:pPr>
      <w:r>
        <w:rPr>
          <w:rFonts w:ascii="Arial" w:cs="Arial" w:eastAsia="Arial" w:hAnsi="Arial"/>
          <w:color w:val="4A4A4A"/>
          <w:sz w:val="22"/>
          <w:szCs w:val="22"/>
        </w:rPr>
        <w:t xml:space="preserve">Quel modèle fonctionne le mieux avec un historique court (20 ans) ?</w:t>
      </w:r>
    </w:p>
    <w:p>
      <w:pPr>
        <w:pStyle w:val="ListParagraph"/>
        <w:numPr>
          <w:ilvl w:val="0"/>
          <w:numId w:val="3"/>
        </w:numPr>
        <w:spacing w:after="80" w:line="276"/>
      </w:pPr>
      <w:r>
        <w:rPr>
          <w:rFonts w:ascii="Arial" w:cs="Arial" w:eastAsia="Arial" w:hAnsi="Arial"/>
          <w:color w:val="4A4A4A"/>
          <w:sz w:val="22"/>
          <w:szCs w:val="22"/>
        </w:rPr>
        <w:t xml:space="preserve">Lequel est le plus robuste aux chocs de mortalité (COVID) ?</w:t>
      </w:r>
    </w:p>
    <w:p>
      <w:pPr>
        <w:pStyle w:val="ListParagraph"/>
        <w:numPr>
          <w:ilvl w:val="0"/>
          <w:numId w:val="3"/>
        </w:numPr>
        <w:spacing w:after="80" w:line="276"/>
      </w:pPr>
      <w:r>
        <w:rPr>
          <w:rFonts w:ascii="Arial" w:cs="Arial" w:eastAsia="Arial" w:hAnsi="Arial"/>
          <w:color w:val="4A4A4A"/>
          <w:sz w:val="22"/>
          <w:szCs w:val="22"/>
        </w:rPr>
        <w:t xml:space="preserve">Lequel est le plus performant à horizon 5, 10, 20 ans ?</w:t>
      </w:r>
    </w:p>
    <w:p>
      <w:pPr>
        <w:pStyle w:val="ListParagraph"/>
        <w:numPr>
          <w:ilvl w:val="0"/>
          <w:numId w:val="3"/>
        </w:numPr>
        <w:spacing w:after="80" w:line="276"/>
      </w:pPr>
      <w:r>
        <w:rPr>
          <w:rFonts w:ascii="Arial" w:cs="Arial" w:eastAsia="Arial" w:hAnsi="Arial"/>
          <w:color w:val="4A4A4A"/>
          <w:sz w:val="22"/>
          <w:szCs w:val="22"/>
        </w:rPr>
        <w:t xml:space="preserve">Lequel est le meilleur pour les âges élevés (65+) — le segment rentes/longévité ?</w:t>
      </w:r>
    </w:p>
    <w:p>
      <w:pPr>
        <w:pStyle w:val="ListParagraph"/>
        <w:numPr>
          <w:ilvl w:val="0"/>
          <w:numId w:val="3"/>
        </w:numPr>
        <w:spacing w:after="80" w:line="276"/>
      </w:pPr>
      <w:r>
        <w:rPr>
          <w:rFonts w:ascii="Arial" w:cs="Arial" w:eastAsia="Arial" w:hAnsi="Arial"/>
          <w:color w:val="4A4A4A"/>
          <w:sz w:val="22"/>
          <w:szCs w:val="22"/>
        </w:rPr>
        <w:t xml:space="preserve">Quand la complexité supplémentaire des réseaux de neurones est-elle justifiée ?</w:t>
      </w:r>
    </w:p>
    <w:p>
      <w:pPr>
        <w:pStyle w:val="ListParagraph"/>
        <w:numPr>
          <w:ilvl w:val="0"/>
          <w:numId w:val="3"/>
        </w:numPr>
        <w:spacing w:after="80" w:line="276"/>
      </w:pPr>
      <w:r>
        <w:rPr>
          <w:rFonts w:ascii="Arial" w:cs="Arial" w:eastAsia="Arial" w:hAnsi="Arial"/>
          <w:color w:val="4A4A4A"/>
          <w:sz w:val="22"/>
          <w:szCs w:val="22"/>
        </w:rPr>
        <w:t xml:space="preserve">Quel est le risque de modèle en EUR sur un portefeuille de rentes ?</w:t>
      </w:r>
    </w:p>
    <w:p>
      <w:r>
        <w:br w:type="page"/>
      </w:r>
    </w:p>
    <w:p>
      <w:pPr>
        <w:pStyle w:val="Heading1"/>
        <w:spacing w:after="200" w:before="360"/>
      </w:pPr>
      <w:r>
        <w:rPr>
          <w:rFonts w:ascii="Arial" w:cs="Arial" w:eastAsia="Arial" w:hAnsi="Arial"/>
        </w:rPr>
        <w:t xml:space="preserve">2. Concepts théoriques clés</w:t>
      </w:r>
    </w:p>
    <w:p>
      <w:pPr>
        <w:pStyle w:val="Heading2"/>
        <w:spacing w:after="200" w:before="240"/>
      </w:pPr>
      <w:r>
        <w:rPr>
          <w:rFonts w:ascii="Arial" w:cs="Arial" w:eastAsia="Arial" w:hAnsi="Arial"/>
        </w:rPr>
        <w:t xml:space="preserve">2.1 Le modèle Lee-Carter (1992)</w:t>
      </w:r>
    </w:p>
    <w:p>
      <w:pPr>
        <w:spacing w:after="160" w:line="276"/>
        <w:jc w:val="both"/>
      </w:pPr>
      <w:r>
        <w:rPr>
          <w:rFonts w:ascii="Arial" w:cs="Arial" w:eastAsia="Arial" w:hAnsi="Arial"/>
          <w:b w:val="false"/>
          <w:bCs w:val="false"/>
          <w:i w:val="false"/>
          <w:iCs w:val="false"/>
          <w:color w:val="4A4A4A"/>
          <w:sz w:val="22"/>
          <w:szCs w:val="22"/>
        </w:rPr>
        <w:t xml:space="preserve">Le modèle fondateur de la prévision de mortalité stochastique. Il décompose la matrice de log-mortalité en trois composantes :</w:t>
      </w:r>
    </w:p>
    <w:p>
      <w:pPr>
        <w:spacing w:after="80"/>
      </w:pPr>
    </w:p>
    <w:p>
      <w:pPr>
        <w:spacing w:after="200"/>
        <w:jc w:val="center"/>
      </w:pPr>
      <w:r>
        <w:rPr>
          <w:rFonts w:ascii="Cambria Math" w:cs="Cambria Math" w:eastAsia="Cambria Math" w:hAnsi="Cambria Math"/>
          <w:b/>
          <w:bCs/>
          <w:color w:val="1F4E79"/>
          <w:sz w:val="24"/>
          <w:szCs w:val="24"/>
        </w:rPr>
        <w:t xml:space="preserve">ln m(x,t) = aₓ + bₓ × κₜ + ε(x,t)</w:t>
      </w:r>
    </w:p>
    <w:p>
      <w:pPr>
        <w:pStyle w:val="ListParagraph"/>
        <w:numPr>
          <w:ilvl w:val="0"/>
          <w:numId w:val="3"/>
        </w:numPr>
        <w:spacing w:after="80" w:line="276"/>
      </w:pPr>
      <w:r>
        <w:rPr>
          <w:rFonts w:ascii="Arial" w:cs="Arial" w:eastAsia="Arial" w:hAnsi="Arial"/>
          <w:b/>
          <w:bCs/>
          <w:color w:val="4A4A4A"/>
          <w:sz w:val="22"/>
          <w:szCs w:val="22"/>
        </w:rPr>
        <w:t xml:space="preserve">aₓ (profil moyen) : </w:t>
      </w:r>
      <w:r>
        <w:rPr>
          <w:rFonts w:ascii="Arial" w:cs="Arial" w:eastAsia="Arial" w:hAnsi="Arial"/>
          <w:color w:val="4A4A4A"/>
          <w:sz w:val="22"/>
          <w:szCs w:val="22"/>
        </w:rPr>
        <w:t xml:space="preserve">taux moyen de log-mortalité à l’âge x, calculé comme la moyenne temporelle de ln m(x,t). Représente la forme de base de la courbe de mortalité.</w:t>
      </w:r>
    </w:p>
    <w:p>
      <w:pPr>
        <w:pStyle w:val="ListParagraph"/>
        <w:numPr>
          <w:ilvl w:val="0"/>
          <w:numId w:val="3"/>
        </w:numPr>
        <w:spacing w:after="80" w:line="276"/>
      </w:pPr>
      <w:r>
        <w:rPr>
          <w:rFonts w:ascii="Arial" w:cs="Arial" w:eastAsia="Arial" w:hAnsi="Arial"/>
          <w:b/>
          <w:bCs/>
          <w:color w:val="4A4A4A"/>
          <w:sz w:val="22"/>
          <w:szCs w:val="22"/>
        </w:rPr>
        <w:t xml:space="preserve">bₓ (sensibilité par âge) : </w:t>
      </w:r>
      <w:r>
        <w:rPr>
          <w:rFonts w:ascii="Arial" w:cs="Arial" w:eastAsia="Arial" w:hAnsi="Arial"/>
          <w:color w:val="4A4A4A"/>
          <w:sz w:val="22"/>
          <w:szCs w:val="22"/>
        </w:rPr>
        <w:t xml:space="preserve">mesure la réactivité de chaque âge aux changements temporels. Un bₓ élevé signifie que cet âge bénéficie davantage de l’amélioration générale.</w:t>
      </w:r>
    </w:p>
    <w:p>
      <w:pPr>
        <w:pStyle w:val="ListParagraph"/>
        <w:numPr>
          <w:ilvl w:val="0"/>
          <w:numId w:val="3"/>
        </w:numPr>
        <w:spacing w:after="80" w:line="276"/>
      </w:pPr>
      <w:r>
        <w:rPr>
          <w:rFonts w:ascii="Arial" w:cs="Arial" w:eastAsia="Arial" w:hAnsi="Arial"/>
          <w:b/>
          <w:bCs/>
          <w:color w:val="4A4A4A"/>
          <w:sz w:val="22"/>
          <w:szCs w:val="22"/>
        </w:rPr>
        <w:t xml:space="preserve">κₜ (indice temporel) : </w:t>
      </w:r>
      <w:r>
        <w:rPr>
          <w:rFonts w:ascii="Arial" w:cs="Arial" w:eastAsia="Arial" w:hAnsi="Arial"/>
          <w:color w:val="4A4A4A"/>
          <w:sz w:val="22"/>
          <w:szCs w:val="22"/>
        </w:rPr>
        <w:t xml:space="preserve">capture la tendance générale de la mortalité au fil du temps. C’est la seule composante projectée dans le futur, via une marche aléatoire avec dérive (RWD).</w:t>
      </w:r>
    </w:p>
    <w:p>
      <w:pPr>
        <w:spacing w:after="80"/>
      </w:pPr>
    </w:p>
    <w:p>
      <w:pPr>
        <w:spacing w:after="160" w:line="276"/>
        <w:jc w:val="both"/>
      </w:pPr>
      <w:r>
        <w:rPr>
          <w:rFonts w:ascii="Arial" w:cs="Arial" w:eastAsia="Arial" w:hAnsi="Arial"/>
          <w:b w:val="false"/>
          <w:bCs w:val="false"/>
          <w:i w:val="false"/>
          <w:iCs w:val="false"/>
          <w:color w:val="4A4A4A"/>
          <w:sz w:val="22"/>
          <w:szCs w:val="22"/>
        </w:rPr>
        <w:t xml:space="preserve">L’estimation se fait par décomposition en valeurs singulières (SVD) de la matrice centrée, suivie d’une réestimation de κₜ sur les décès observés (contrainte d’identifiabilité : ∑bₓ = 1, ∑κₜ = 0).</w:t>
      </w:r>
    </w:p>
    <w:p>
      <w:pPr>
        <w:pStyle w:val="Heading2"/>
        <w:spacing w:after="200" w:before="240"/>
      </w:pPr>
      <w:r>
        <w:rPr>
          <w:rFonts w:ascii="Arial" w:cs="Arial" w:eastAsia="Arial" w:hAnsi="Arial"/>
        </w:rPr>
        <w:t xml:space="preserve">2.2 Variantes classiques</w:t>
      </w:r>
    </w:p>
    <w:p>
      <w:pPr>
        <w:pStyle w:val="Heading3"/>
        <w:spacing w:after="200" w:before="240"/>
      </w:pPr>
      <w:r>
        <w:rPr>
          <w:rFonts w:ascii="Arial" w:cs="Arial" w:eastAsia="Arial" w:hAnsi="Arial"/>
        </w:rPr>
        <w:t xml:space="preserve">Lee-Miller (2001)</w:t>
      </w:r>
    </w:p>
    <w:p>
      <w:pPr>
        <w:spacing w:after="160" w:line="276"/>
        <w:jc w:val="both"/>
      </w:pPr>
      <w:r>
        <w:rPr>
          <w:rFonts w:ascii="Arial" w:cs="Arial" w:eastAsia="Arial" w:hAnsi="Arial"/>
          <w:b w:val="false"/>
          <w:bCs w:val="false"/>
          <w:i w:val="false"/>
          <w:iCs w:val="false"/>
          <w:color w:val="4A4A4A"/>
          <w:sz w:val="22"/>
          <w:szCs w:val="22"/>
        </w:rPr>
        <w:t xml:space="preserve">Étend le Lee-Carter en ajustant κₜ pour que l’espérance de vie du modèle (e₀) coïncide exactement avec l’e₀ observée chaque année. Utilise l’algorithme de Brent pour résoudre cette contrainte implicite.</w:t>
      </w:r>
    </w:p>
    <w:p>
      <w:pPr>
        <w:pStyle w:val="Heading3"/>
        <w:spacing w:after="200" w:before="240"/>
      </w:pPr>
      <w:r>
        <w:rPr>
          <w:rFonts w:ascii="Arial" w:cs="Arial" w:eastAsia="Arial" w:hAnsi="Arial"/>
        </w:rPr>
        <w:t xml:space="preserve">Booth-Maindonald-Smith (BMS, 2002)</w:t>
      </w:r>
    </w:p>
    <w:p>
      <w:pPr>
        <w:spacing w:after="160" w:line="276"/>
        <w:jc w:val="both"/>
      </w:pPr>
      <w:r>
        <w:rPr>
          <w:rFonts w:ascii="Arial" w:cs="Arial" w:eastAsia="Arial" w:hAnsi="Arial"/>
          <w:b w:val="false"/>
          <w:bCs w:val="false"/>
          <w:i w:val="false"/>
          <w:iCs w:val="false"/>
          <w:color w:val="4A4A4A"/>
          <w:sz w:val="22"/>
          <w:szCs w:val="22"/>
        </w:rPr>
        <w:t xml:space="preserve">Constate que la tendance de κₜ n’est pas toujours linéaire sur toute la période. Le modèle sélectionne automatiquement la sous-période optimale de fit en testant la linéarité de κₜ par test de Chow ou régression par morceaux.</w:t>
      </w:r>
    </w:p>
    <w:p>
      <w:pPr>
        <w:pStyle w:val="Heading3"/>
        <w:spacing w:after="200" w:before="240"/>
      </w:pPr>
      <w:r>
        <w:rPr>
          <w:rFonts w:ascii="Arial" w:cs="Arial" w:eastAsia="Arial" w:hAnsi="Arial"/>
        </w:rPr>
        <w:t xml:space="preserve">Poisson Lee-Carter (Brouhns et al., 2002)</w:t>
      </w:r>
    </w:p>
    <w:p>
      <w:pPr>
        <w:spacing w:after="160" w:line="276"/>
        <w:jc w:val="both"/>
      </w:pPr>
      <w:r>
        <w:rPr>
          <w:rFonts w:ascii="Arial" w:cs="Arial" w:eastAsia="Arial" w:hAnsi="Arial"/>
          <w:b w:val="false"/>
          <w:bCs w:val="false"/>
          <w:i w:val="false"/>
          <w:iCs w:val="false"/>
          <w:color w:val="4A4A4A"/>
          <w:sz w:val="22"/>
          <w:szCs w:val="22"/>
        </w:rPr>
        <w:t xml:space="preserve">Reformule le Lee-Carter sous hypothèse de Poisson : les décès D(x,t) suivent une loi de Poisson de paramètre E(x,t) × exp(aₓ + bₓκₜ). L’estimation se fait par maximum de vraisemblance via un algorithme Newton-Raphson unidimensionnel alterné (itération sur aₓ, bₓ, κₜ tour à tour).</w:t>
      </w:r>
    </w:p>
    <w:p>
      <w:pPr>
        <w:pStyle w:val="Heading2"/>
        <w:spacing w:after="200" w:before="240"/>
      </w:pPr>
      <w:r>
        <w:rPr>
          <w:rFonts w:ascii="Arial" w:cs="Arial" w:eastAsia="Arial" w:hAnsi="Arial"/>
        </w:rPr>
        <w:t xml:space="preserve">Cairns-Blake-Dowd (CBD, 2006)</w:t>
      </w:r>
    </w:p>
    <w:p>
      <w:pPr>
        <w:spacing w:after="160" w:line="276"/>
        <w:jc w:val="both"/>
      </w:pPr>
      <w:r>
        <w:rPr>
          <w:rFonts w:ascii="Arial" w:cs="Arial" w:eastAsia="Arial" w:hAnsi="Arial"/>
          <w:b w:val="false"/>
          <w:bCs w:val="false"/>
          <w:i w:val="false"/>
          <w:iCs w:val="false"/>
          <w:color w:val="4A4A4A"/>
          <w:sz w:val="22"/>
          <w:szCs w:val="22"/>
        </w:rPr>
        <w:t xml:space="preserve">Modèle à deux facteurs conçu spécifiquement pour les âges élevés (60–100) — le segment pertinent pour le risque de longévité et la tarification des rentes :</w:t>
      </w:r>
    </w:p>
    <w:p>
      <w:pPr>
        <w:spacing w:after="200"/>
        <w:jc w:val="center"/>
      </w:pPr>
      <w:r>
        <w:rPr>
          <w:rFonts w:ascii="Cambria Math" w:cs="Cambria Math" w:eastAsia="Cambria Math" w:hAnsi="Cambria Math"/>
          <w:b/>
          <w:bCs/>
          <w:color w:val="1F4E79"/>
          <w:sz w:val="24"/>
          <w:szCs w:val="24"/>
        </w:rPr>
        <w:t xml:space="preserve">logit q(x,t) = κₜ¹ + κₜ² × (x − x̄)</w:t>
      </w:r>
    </w:p>
    <w:p>
      <w:pPr>
        <w:spacing w:after="160" w:line="276"/>
        <w:jc w:val="both"/>
      </w:pPr>
      <w:r>
        <w:rPr>
          <w:rFonts w:ascii="Arial" w:cs="Arial" w:eastAsia="Arial" w:hAnsi="Arial"/>
          <w:b w:val="false"/>
          <w:bCs w:val="false"/>
          <w:i w:val="false"/>
          <w:iCs w:val="false"/>
          <w:color w:val="4A4A4A"/>
          <w:sz w:val="22"/>
          <w:szCs w:val="22"/>
        </w:rPr>
        <w:t xml:space="preserve">κₜ¹ capture le niveau général de mortalité, κₜ² capture la pente par âge. Les deux indices suivent une marche aléatoire bivariée. C’est le modèle utilisé par les régulateurs pour l’évaluation du risque de longévité.</w:t>
      </w:r>
    </w:p>
    <w:p>
      <w:pPr>
        <w:pStyle w:val="Heading2"/>
        <w:spacing w:after="200" w:before="240"/>
      </w:pPr>
      <w:r>
        <w:rPr>
          <w:rFonts w:ascii="Arial" w:cs="Arial" w:eastAsia="Arial" w:hAnsi="Arial"/>
        </w:rPr>
        <w:t xml:space="preserve">2.3 Hyndman-Ullah (2007) — Analyse en données fonctionnelles</w:t>
      </w:r>
    </w:p>
    <w:p>
      <w:pPr>
        <w:spacing w:after="160" w:line="276"/>
        <w:jc w:val="both"/>
      </w:pPr>
      <w:r>
        <w:rPr>
          <w:rFonts w:ascii="Arial" w:cs="Arial" w:eastAsia="Arial" w:hAnsi="Arial"/>
          <w:b w:val="false"/>
          <w:bCs w:val="false"/>
          <w:i w:val="false"/>
          <w:iCs w:val="false"/>
          <w:color w:val="4A4A4A"/>
          <w:sz w:val="22"/>
          <w:szCs w:val="22"/>
        </w:rPr>
        <w:t xml:space="preserve">Traite les courbes de mortalité comme des données fonctionnelles. L’algorithme :</w:t>
      </w:r>
    </w:p>
    <w:p>
      <w:pPr>
        <w:pStyle w:val="ListParagraph"/>
        <w:numPr>
          <w:ilvl w:val="0"/>
          <w:numId w:val="2"/>
        </w:numPr>
        <w:spacing w:after="80" w:line="276"/>
      </w:pPr>
      <w:r>
        <w:rPr>
          <w:rFonts w:ascii="Arial" w:cs="Arial" w:eastAsia="Arial" w:hAnsi="Arial"/>
          <w:color w:val="4A4A4A"/>
          <w:sz w:val="22"/>
          <w:szCs w:val="22"/>
        </w:rPr>
        <w:t xml:space="preserve">Lisse chaque courbe annuelle par splines pénalisées (B-splines + pénalité de rugosité)</w:t>
      </w:r>
    </w:p>
    <w:p>
      <w:pPr>
        <w:pStyle w:val="ListParagraph"/>
        <w:numPr>
          <w:ilvl w:val="0"/>
          <w:numId w:val="2"/>
        </w:numPr>
        <w:spacing w:after="80" w:line="276"/>
      </w:pPr>
      <w:r>
        <w:rPr>
          <w:rFonts w:ascii="Arial" w:cs="Arial" w:eastAsia="Arial" w:hAnsi="Arial"/>
          <w:color w:val="4A4A4A"/>
          <w:sz w:val="22"/>
          <w:szCs w:val="22"/>
        </w:rPr>
        <w:t xml:space="preserve">Extrait K composantes principales fonctionnelles (ACP sur les courbes lissées)</w:t>
      </w:r>
    </w:p>
    <w:p>
      <w:pPr>
        <w:pStyle w:val="ListParagraph"/>
        <w:numPr>
          <w:ilvl w:val="0"/>
          <w:numId w:val="2"/>
        </w:numPr>
        <w:spacing w:after="80" w:line="276"/>
      </w:pPr>
      <w:r>
        <w:rPr>
          <w:rFonts w:ascii="Arial" w:cs="Arial" w:eastAsia="Arial" w:hAnsi="Arial"/>
          <w:color w:val="4A4A4A"/>
          <w:sz w:val="22"/>
          <w:szCs w:val="22"/>
        </w:rPr>
        <w:t xml:space="preserve">Modélise chaque score de composante par un ARIMA</w:t>
      </w:r>
    </w:p>
    <w:p>
      <w:pPr>
        <w:pStyle w:val="ListParagraph"/>
        <w:numPr>
          <w:ilvl w:val="0"/>
          <w:numId w:val="2"/>
        </w:numPr>
        <w:spacing w:after="80" w:line="276"/>
      </w:pPr>
      <w:r>
        <w:rPr>
          <w:rFonts w:ascii="Arial" w:cs="Arial" w:eastAsia="Arial" w:hAnsi="Arial"/>
          <w:color w:val="4A4A4A"/>
          <w:sz w:val="22"/>
          <w:szCs w:val="22"/>
        </w:rPr>
        <w:t xml:space="preserve">La prévision combine les scores ARIMA projetés avec les fonctions propres</w:t>
      </w:r>
    </w:p>
    <w:p>
      <w:pPr>
        <w:spacing w:after="160" w:line="276"/>
        <w:jc w:val="both"/>
      </w:pPr>
      <w:r>
        <w:rPr>
          <w:rFonts w:ascii="Arial" w:cs="Arial" w:eastAsia="Arial" w:hAnsi="Arial"/>
          <w:b w:val="false"/>
          <w:bCs w:val="false"/>
          <w:i w:val="false"/>
          <w:iCs w:val="false"/>
          <w:color w:val="4A4A4A"/>
          <w:sz w:val="22"/>
          <w:szCs w:val="22"/>
        </w:rPr>
        <w:t xml:space="preserve">Avantage : capture plusieurs dimensions de variation (pas seulement la tendance principale comme LC).</w:t>
      </w:r>
    </w:p>
    <w:p>
      <w:pPr>
        <w:pStyle w:val="Heading2"/>
        <w:spacing w:after="200" w:before="240"/>
      </w:pPr>
      <w:r>
        <w:rPr>
          <w:rFonts w:ascii="Arial" w:cs="Arial" w:eastAsia="Arial" w:hAnsi="Arial"/>
        </w:rPr>
        <w:t xml:space="preserve">2.4 Modèles neuronaux</w:t>
      </w:r>
    </w:p>
    <w:p>
      <w:pPr>
        <w:pStyle w:val="Heading3"/>
        <w:spacing w:after="200" w:before="240"/>
      </w:pPr>
      <w:r>
        <w:rPr>
          <w:rFonts w:ascii="Arial" w:cs="Arial" w:eastAsia="Arial" w:hAnsi="Arial"/>
        </w:rPr>
        <w:t xml:space="preserve">Remplacement de κₜ par réseau récurrent</w:t>
      </w:r>
    </w:p>
    <w:p>
      <w:pPr>
        <w:spacing w:after="160" w:line="276"/>
        <w:jc w:val="both"/>
      </w:pPr>
      <w:r>
        <w:rPr>
          <w:rFonts w:ascii="Arial" w:cs="Arial" w:eastAsia="Arial" w:hAnsi="Arial"/>
          <w:b w:val="false"/>
          <w:bCs w:val="false"/>
          <w:i w:val="false"/>
          <w:iCs w:val="false"/>
          <w:color w:val="4A4A4A"/>
          <w:sz w:val="22"/>
          <w:szCs w:val="22"/>
        </w:rPr>
        <w:t xml:space="preserve">Le squelette Lee-Carter (aₓ, bₓ) est conservé, mais la marche aléatoire avec dérive pour κₜ est remplacée par un réseau récurrent :</w:t>
      </w:r>
    </w:p>
    <w:p>
      <w:pPr>
        <w:pStyle w:val="ListParagraph"/>
        <w:numPr>
          <w:ilvl w:val="0"/>
          <w:numId w:val="3"/>
        </w:numPr>
        <w:spacing w:after="80" w:line="276"/>
      </w:pPr>
      <w:r>
        <w:rPr>
          <w:rFonts w:ascii="Arial" w:cs="Arial" w:eastAsia="Arial" w:hAnsi="Arial"/>
          <w:b/>
          <w:bCs/>
          <w:color w:val="4A4A4A"/>
          <w:sz w:val="22"/>
          <w:szCs w:val="22"/>
        </w:rPr>
        <w:t xml:space="preserve">LSTM (Long Short-Term Memory) : </w:t>
      </w:r>
      <w:r>
        <w:rPr>
          <w:rFonts w:ascii="Arial" w:cs="Arial" w:eastAsia="Arial" w:hAnsi="Arial"/>
          <w:color w:val="4A4A4A"/>
          <w:sz w:val="22"/>
          <w:szCs w:val="22"/>
        </w:rPr>
        <w:t xml:space="preserve">architecture à portes (oubli, entrée, sortie) qui capture les dépendances à long terme dans la série de κₜ.</w:t>
      </w:r>
    </w:p>
    <w:p>
      <w:pPr>
        <w:pStyle w:val="ListParagraph"/>
        <w:numPr>
          <w:ilvl w:val="0"/>
          <w:numId w:val="3"/>
        </w:numPr>
        <w:spacing w:after="80" w:line="276"/>
      </w:pPr>
      <w:r>
        <w:rPr>
          <w:rFonts w:ascii="Arial" w:cs="Arial" w:eastAsia="Arial" w:hAnsi="Arial"/>
          <w:b/>
          <w:bCs/>
          <w:color w:val="4A4A4A"/>
          <w:sz w:val="22"/>
          <w:szCs w:val="22"/>
        </w:rPr>
        <w:t xml:space="preserve">GRU (Gated Recurrent Unit) : </w:t>
      </w:r>
      <w:r>
        <w:rPr>
          <w:rFonts w:ascii="Arial" w:cs="Arial" w:eastAsia="Arial" w:hAnsi="Arial"/>
          <w:color w:val="4A4A4A"/>
          <w:sz w:val="22"/>
          <w:szCs w:val="22"/>
        </w:rPr>
        <w:t xml:space="preserve">version simplifiée du LSTM avec 2 portes au lieu de 3. Souvent aussi performant avec moins de paramètres.</w:t>
      </w:r>
    </w:p>
    <w:p>
      <w:pPr>
        <w:pStyle w:val="ListParagraph"/>
        <w:numPr>
          <w:ilvl w:val="0"/>
          <w:numId w:val="3"/>
        </w:numPr>
        <w:spacing w:after="80" w:line="276"/>
      </w:pPr>
      <w:r>
        <w:rPr>
          <w:rFonts w:ascii="Arial" w:cs="Arial" w:eastAsia="Arial" w:hAnsi="Arial"/>
          <w:b/>
          <w:bCs/>
          <w:color w:val="4A4A4A"/>
          <w:sz w:val="22"/>
          <w:szCs w:val="22"/>
        </w:rPr>
        <w:t xml:space="preserve">Bi-LSTM : </w:t>
      </w:r>
      <w:r>
        <w:rPr>
          <w:rFonts w:ascii="Arial" w:cs="Arial" w:eastAsia="Arial" w:hAnsi="Arial"/>
          <w:color w:val="4A4A4A"/>
          <w:sz w:val="22"/>
          <w:szCs w:val="22"/>
        </w:rPr>
        <w:t xml:space="preserve">LSTM bidirectionnel qui lit la série dans les deux sens, capturant contexte passé et futur.</w:t>
      </w:r>
    </w:p>
    <w:p>
      <w:pPr>
        <w:pStyle w:val="ListParagraph"/>
        <w:numPr>
          <w:ilvl w:val="0"/>
          <w:numId w:val="3"/>
        </w:numPr>
        <w:spacing w:after="80" w:line="276"/>
      </w:pPr>
      <w:r>
        <w:rPr>
          <w:rFonts w:ascii="Arial" w:cs="Arial" w:eastAsia="Arial" w:hAnsi="Arial"/>
          <w:b/>
          <w:bCs/>
          <w:color w:val="4A4A4A"/>
          <w:sz w:val="22"/>
          <w:szCs w:val="22"/>
        </w:rPr>
        <w:t xml:space="preserve">Transformer (encodeur) : </w:t>
      </w:r>
      <w:r>
        <w:rPr>
          <w:rFonts w:ascii="Arial" w:cs="Arial" w:eastAsia="Arial" w:hAnsi="Arial"/>
          <w:color w:val="4A4A4A"/>
          <w:sz w:val="22"/>
          <w:szCs w:val="22"/>
        </w:rPr>
        <w:t xml:space="preserve">mécanisme d’attention multi-têtes (2 couches, 4 têtes), pas de récurrence — parallélisable et capture les dépendances à distance via l’attention.</w:t>
      </w:r>
    </w:p>
    <w:p>
      <w:pPr>
        <w:pStyle w:val="Heading3"/>
        <w:spacing w:after="200" w:before="240"/>
      </w:pPr>
      <w:r>
        <w:rPr>
          <w:rFonts w:ascii="Arial" w:cs="Arial" w:eastAsia="Arial" w:hAnsi="Arial"/>
        </w:rPr>
        <w:t xml:space="preserve">Réseau feed-forward à embeddings (FFNN)</w:t>
      </w:r>
    </w:p>
    <w:p>
      <w:pPr>
        <w:spacing w:after="160" w:line="276"/>
        <w:jc w:val="both"/>
      </w:pPr>
      <w:r>
        <w:rPr>
          <w:rFonts w:ascii="Arial" w:cs="Arial" w:eastAsia="Arial" w:hAnsi="Arial"/>
          <w:b w:val="false"/>
          <w:bCs w:val="false"/>
          <w:i w:val="false"/>
          <w:iCs w:val="false"/>
          <w:color w:val="4A4A4A"/>
          <w:sz w:val="22"/>
          <w:szCs w:val="22"/>
        </w:rPr>
        <w:t xml:space="preserve">Inspiré de Richman &amp; Wüthrich (2019). Prend en entrée un embedding d’âge (vecteur appris de dimension 8) concaténé avec l’année normalisée (feature continue), et prédit directement ln m(x,t) via un MLP à 3 couches cachées (128, 64, 32 neurones).</w:t>
      </w:r>
    </w:p>
    <w:p>
      <w:pPr>
        <w:spacing w:after="160" w:line="276"/>
        <w:jc w:val="both"/>
      </w:pPr>
      <w:r>
        <w:rPr>
          <w:rFonts w:ascii="Arial" w:cs="Arial" w:eastAsia="Arial" w:hAnsi="Arial"/>
          <w:b w:val="false"/>
          <w:bCs w:val="false"/>
          <w:i/>
          <w:iCs/>
          <w:color w:val="4A4A4A"/>
          <w:sz w:val="22"/>
          <w:szCs w:val="22"/>
        </w:rPr>
        <w:t xml:space="preserve">Point technique important : l’année est encodée comme feature continue normalisée (et non comme embedding discret) pour permettre l’extrapolation vers des années futures jamais vues à l’entraînement.</w:t>
      </w:r>
    </w:p>
    <w:p>
      <w:pPr>
        <w:pStyle w:val="Heading3"/>
        <w:spacing w:after="200" w:before="240"/>
      </w:pPr>
      <w:r>
        <w:rPr>
          <w:rFonts w:ascii="Arial" w:cs="Arial" w:eastAsia="Arial" w:hAnsi="Arial"/>
        </w:rPr>
        <w:t xml:space="preserve">CNN sur la surface de mortalité</w:t>
      </w:r>
    </w:p>
    <w:p>
      <w:pPr>
        <w:spacing w:after="160" w:line="276"/>
        <w:jc w:val="both"/>
      </w:pPr>
      <w:r>
        <w:rPr>
          <w:rFonts w:ascii="Arial" w:cs="Arial" w:eastAsia="Arial" w:hAnsi="Arial"/>
          <w:b w:val="false"/>
          <w:bCs w:val="false"/>
          <w:i w:val="false"/>
          <w:iCs w:val="false"/>
          <w:color w:val="4A4A4A"/>
          <w:sz w:val="22"/>
          <w:szCs w:val="22"/>
        </w:rPr>
        <w:t xml:space="preserve">Traite la matrice (âge × année) de log-mortalité comme une image 2D et utilise des convolutions 2D (3 couches : 16, 32, 64 filtres) pour apprendre les patterns spatio-temporels. Prédit la colonne suivante (année t+1) à partir d’une fenêtre glissante de lookback années.</w:t>
      </w:r>
    </w:p>
    <w:p>
      <w:pPr>
        <w:pStyle w:val="Heading2"/>
        <w:spacing w:after="200" w:before="240"/>
      </w:pPr>
      <w:r>
        <w:rPr>
          <w:rFonts w:ascii="Arial" w:cs="Arial" w:eastAsia="Arial" w:hAnsi="Arial"/>
        </w:rPr>
        <w:t xml:space="preserve">2.5 Modèle hybride LC-ResNet (contribution originale)</w:t>
      </w:r>
    </w:p>
    <w:p>
      <w:pPr>
        <w:spacing w:after="160" w:line="276"/>
        <w:jc w:val="both"/>
      </w:pPr>
      <w:r>
        <w:rPr>
          <w:rFonts w:ascii="Arial" w:cs="Arial" w:eastAsia="Arial" w:hAnsi="Arial"/>
          <w:b w:val="false"/>
          <w:bCs w:val="false"/>
          <w:i w:val="false"/>
          <w:iCs w:val="false"/>
          <w:color w:val="4A4A4A"/>
          <w:sz w:val="22"/>
          <w:szCs w:val="22"/>
        </w:rPr>
        <w:t xml:space="preserve">C’est la contribution originale du projet. L’idée est de combiner les forces des deux approches :</w:t>
      </w:r>
    </w:p>
    <w:p>
      <w:pPr>
        <w:pStyle w:val="ListParagraph"/>
        <w:numPr>
          <w:ilvl w:val="0"/>
          <w:numId w:val="2"/>
        </w:numPr>
        <w:spacing w:after="80" w:line="276"/>
      </w:pPr>
      <w:r>
        <w:rPr>
          <w:rFonts w:ascii="Arial" w:cs="Arial" w:eastAsia="Arial" w:hAnsi="Arial"/>
          <w:color w:val="4A4A4A"/>
          <w:sz w:val="22"/>
          <w:szCs w:val="22"/>
        </w:rPr>
        <w:t xml:space="preserve">Ajuster un Lee-Carter Poisson comme squelette interprétable (aₓ, bₓ, κₜ)</w:t>
      </w:r>
    </w:p>
    <w:p>
      <w:pPr>
        <w:pStyle w:val="ListParagraph"/>
        <w:numPr>
          <w:ilvl w:val="0"/>
          <w:numId w:val="2"/>
        </w:numPr>
        <w:spacing w:after="80" w:line="276"/>
      </w:pPr>
      <w:r>
        <w:rPr>
          <w:rFonts w:ascii="Arial" w:cs="Arial" w:eastAsia="Arial" w:hAnsi="Arial"/>
          <w:color w:val="4A4A4A"/>
          <w:sz w:val="22"/>
          <w:szCs w:val="22"/>
        </w:rPr>
        <w:t xml:space="preserve">Calculer les résidus structurés : résidu(x,t) = ln m(x,t) − [aₓ + bₓκₜ]</w:t>
      </w:r>
    </w:p>
    <w:p>
      <w:pPr>
        <w:pStyle w:val="ListParagraph"/>
        <w:numPr>
          <w:ilvl w:val="0"/>
          <w:numId w:val="2"/>
        </w:numPr>
        <w:spacing w:after="80" w:line="276"/>
      </w:pPr>
      <w:r>
        <w:rPr>
          <w:rFonts w:ascii="Arial" w:cs="Arial" w:eastAsia="Arial" w:hAnsi="Arial"/>
          <w:color w:val="4A4A4A"/>
          <w:sz w:val="22"/>
          <w:szCs w:val="22"/>
        </w:rPr>
        <w:t xml:space="preserve">Entraîner un petit réseau de neurones (MLP 64→32 neurones) sur les features [âge, année, bₓ, κₜ] pour prédire ces résidus</w:t>
      </w:r>
    </w:p>
    <w:p>
      <w:pPr>
        <w:pStyle w:val="ListParagraph"/>
        <w:numPr>
          <w:ilvl w:val="0"/>
          <w:numId w:val="2"/>
        </w:numPr>
        <w:spacing w:after="80" w:line="276"/>
      </w:pPr>
      <w:r>
        <w:rPr>
          <w:rFonts w:ascii="Arial" w:cs="Arial" w:eastAsia="Arial" w:hAnsi="Arial"/>
          <w:color w:val="4A4A4A"/>
          <w:sz w:val="22"/>
          <w:szCs w:val="22"/>
        </w:rPr>
        <w:t xml:space="preserve">Appliquer un shrinkage à l’horizon : la correction est multipliée par exp(−λh), où h est l’horizon et λ = 0.1</w:t>
      </w:r>
    </w:p>
    <w:p>
      <w:pPr>
        <w:spacing w:after="80"/>
      </w:pPr>
    </w:p>
    <w:p>
      <w:pPr>
        <w:spacing w:after="160" w:line="276"/>
        <w:jc w:val="both"/>
      </w:pPr>
      <w:r>
        <w:rPr>
          <w:rFonts w:ascii="Arial" w:cs="Arial" w:eastAsia="Arial" w:hAnsi="Arial"/>
          <w:b w:val="false"/>
          <w:bCs w:val="false"/>
          <w:i w:val="false"/>
          <w:iCs w:val="false"/>
          <w:color w:val="4A4A4A"/>
          <w:sz w:val="22"/>
          <w:szCs w:val="22"/>
        </w:rPr>
        <w:t xml:space="preserve">Le shrinkage est la clé : aux horizons courts (h=1–5), la correction neuronale est pleinement active et capture les non-linéarités que le LC manque. Aux horizons longs (h=20), exp(−0.1×20) ≈ 0.14, donc le modèle revient presque entièrement au Lee-Carter stable. Cela évite l’explosion des prévisions neuronales à long terme.</w:t>
      </w:r>
    </w:p>
    <w:p>
      <w:pPr>
        <w:pStyle w:val="Heading2"/>
        <w:spacing w:after="200" w:before="240"/>
      </w:pPr>
      <w:r>
        <w:rPr>
          <w:rFonts w:ascii="Arial" w:cs="Arial" w:eastAsia="Arial" w:hAnsi="Arial"/>
        </w:rPr>
        <w:t xml:space="preserve">2.6 Tables de mortalité et calculs actuariels</w:t>
      </w:r>
    </w:p>
    <w:p>
      <w:pPr>
        <w:spacing w:after="160" w:line="276"/>
        <w:jc w:val="both"/>
      </w:pPr>
      <w:r>
        <w:rPr>
          <w:rFonts w:ascii="Arial" w:cs="Arial" w:eastAsia="Arial" w:hAnsi="Arial"/>
          <w:b w:val="false"/>
          <w:bCs w:val="false"/>
          <w:i w:val="false"/>
          <w:iCs w:val="false"/>
          <w:color w:val="4A4A4A"/>
          <w:sz w:val="22"/>
          <w:szCs w:val="22"/>
        </w:rPr>
        <w:t xml:space="preserve">Les métriques actuarielles du benchmark nécessitent la construction de tables de mortalité à partir des taux centraux de décès mₓ :</w:t>
      </w:r>
    </w:p>
    <w:p>
      <w:pPr>
        <w:pStyle w:val="ListParagraph"/>
        <w:numPr>
          <w:ilvl w:val="0"/>
          <w:numId w:val="3"/>
        </w:numPr>
        <w:spacing w:after="80" w:line="276"/>
      </w:pPr>
      <w:r>
        <w:rPr>
          <w:rFonts w:ascii="Arial" w:cs="Arial" w:eastAsia="Arial" w:hAnsi="Arial"/>
          <w:b/>
          <w:bCs/>
          <w:color w:val="4A4A4A"/>
          <w:sz w:val="22"/>
          <w:szCs w:val="22"/>
        </w:rPr>
        <w:t xml:space="preserve">mₓ → qₓ : </w:t>
      </w:r>
      <w:r>
        <w:rPr>
          <w:rFonts w:ascii="Arial" w:cs="Arial" w:eastAsia="Arial" w:hAnsi="Arial"/>
          <w:color w:val="4A4A4A"/>
          <w:sz w:val="22"/>
          <w:szCs w:val="22"/>
        </w:rPr>
        <w:t xml:space="preserve">probabilité de décès = 1 − exp(−mₓ) (hypothèse de force de mortalité constante dans l’année)</w:t>
      </w:r>
    </w:p>
    <w:p>
      <w:pPr>
        <w:pStyle w:val="ListParagraph"/>
        <w:numPr>
          <w:ilvl w:val="0"/>
          <w:numId w:val="3"/>
        </w:numPr>
        <w:spacing w:after="80" w:line="276"/>
      </w:pPr>
      <w:r>
        <w:rPr>
          <w:rFonts w:ascii="Arial" w:cs="Arial" w:eastAsia="Arial" w:hAnsi="Arial"/>
          <w:b/>
          <w:bCs/>
          <w:color w:val="4A4A4A"/>
          <w:sz w:val="22"/>
          <w:szCs w:val="22"/>
        </w:rPr>
        <w:t xml:space="preserve">lₓ : </w:t>
      </w:r>
      <w:r>
        <w:rPr>
          <w:rFonts w:ascii="Arial" w:cs="Arial" w:eastAsia="Arial" w:hAnsi="Arial"/>
          <w:color w:val="4A4A4A"/>
          <w:sz w:val="22"/>
          <w:szCs w:val="22"/>
        </w:rPr>
        <w:t xml:space="preserve">survivants à l’âge x, partant d’un radix de 100 000</w:t>
      </w:r>
    </w:p>
    <w:p>
      <w:pPr>
        <w:pStyle w:val="ListParagraph"/>
        <w:numPr>
          <w:ilvl w:val="0"/>
          <w:numId w:val="3"/>
        </w:numPr>
        <w:spacing w:after="80" w:line="276"/>
      </w:pPr>
      <w:r>
        <w:rPr>
          <w:rFonts w:ascii="Arial" w:cs="Arial" w:eastAsia="Arial" w:hAnsi="Arial"/>
          <w:b/>
          <w:bCs/>
          <w:color w:val="4A4A4A"/>
          <w:sz w:val="22"/>
          <w:szCs w:val="22"/>
        </w:rPr>
        <w:t xml:space="preserve">Lₓ, Tₓ : </w:t>
      </w:r>
      <w:r>
        <w:rPr>
          <w:rFonts w:ascii="Arial" w:cs="Arial" w:eastAsia="Arial" w:hAnsi="Arial"/>
          <w:color w:val="4A4A4A"/>
          <w:sz w:val="22"/>
          <w:szCs w:val="22"/>
        </w:rPr>
        <w:t xml:space="preserve">années vécues entre x et x+1, total des années à vivre</w:t>
      </w:r>
    </w:p>
    <w:p>
      <w:pPr>
        <w:pStyle w:val="ListParagraph"/>
        <w:numPr>
          <w:ilvl w:val="0"/>
          <w:numId w:val="3"/>
        </w:numPr>
        <w:spacing w:after="80" w:line="276"/>
      </w:pPr>
      <w:r>
        <w:rPr>
          <w:rFonts w:ascii="Arial" w:cs="Arial" w:eastAsia="Arial" w:hAnsi="Arial"/>
          <w:b/>
          <w:bCs/>
          <w:color w:val="4A4A4A"/>
          <w:sz w:val="22"/>
          <w:szCs w:val="22"/>
        </w:rPr>
        <w:t xml:space="preserve">e₀ : </w:t>
      </w:r>
      <w:r>
        <w:rPr>
          <w:rFonts w:ascii="Arial" w:cs="Arial" w:eastAsia="Arial" w:hAnsi="Arial"/>
          <w:color w:val="4A4A4A"/>
          <w:sz w:val="22"/>
          <w:szCs w:val="22"/>
        </w:rPr>
        <w:t xml:space="preserve">espérance de vie à la naissance = T₀ / l₀</w:t>
      </w:r>
    </w:p>
    <w:p>
      <w:pPr>
        <w:pStyle w:val="ListParagraph"/>
        <w:numPr>
          <w:ilvl w:val="0"/>
          <w:numId w:val="3"/>
        </w:numPr>
        <w:spacing w:after="80" w:line="276"/>
      </w:pPr>
      <w:r>
        <w:rPr>
          <w:rFonts w:ascii="Arial" w:cs="Arial" w:eastAsia="Arial" w:hAnsi="Arial"/>
          <w:b/>
          <w:bCs/>
          <w:color w:val="4A4A4A"/>
          <w:sz w:val="22"/>
          <w:szCs w:val="22"/>
        </w:rPr>
        <w:t xml:space="preserve">ä₆₅ : </w:t>
      </w:r>
      <w:r>
        <w:rPr>
          <w:rFonts w:ascii="Arial" w:cs="Arial" w:eastAsia="Arial" w:hAnsi="Arial"/>
          <w:color w:val="4A4A4A"/>
          <w:sz w:val="22"/>
          <w:szCs w:val="22"/>
        </w:rPr>
        <w:t xml:space="preserve">rente viagère due à 65 ans = ∑ (lₓ/l₆₅) × v^(x−65), avec v = 1/(1+i) le facteur d’actualisation</w:t>
      </w:r>
    </w:p>
    <w:p>
      <w:pPr>
        <w:pStyle w:val="Heading2"/>
        <w:spacing w:after="200" w:before="240"/>
      </w:pPr>
      <w:r>
        <w:rPr>
          <w:rFonts w:ascii="Arial" w:cs="Arial" w:eastAsia="Arial" w:hAnsi="Arial"/>
        </w:rPr>
        <w:t xml:space="preserve">2.7 Choc de longévité Solvabilité II</w:t>
      </w:r>
    </w:p>
    <w:p>
      <w:pPr>
        <w:spacing w:after="160" w:line="276"/>
        <w:jc w:val="both"/>
      </w:pPr>
      <w:r>
        <w:rPr>
          <w:rFonts w:ascii="Arial" w:cs="Arial" w:eastAsia="Arial" w:hAnsi="Arial"/>
          <w:b w:val="false"/>
          <w:bCs w:val="false"/>
          <w:i w:val="false"/>
          <w:iCs w:val="false"/>
          <w:color w:val="4A4A4A"/>
          <w:sz w:val="22"/>
          <w:szCs w:val="22"/>
        </w:rPr>
        <w:t xml:space="preserve">Sous le cadre réglementaire Solvabilité II, le SCR longévité est calculé en appliquant un choc permanent de −20 % sur les taux de mortalité (les assurés vivent plus longtemps). Le SCR est la différence entre la provision choquée et la provision de base :</w:t>
      </w:r>
    </w:p>
    <w:p>
      <w:pPr>
        <w:spacing w:after="200"/>
        <w:jc w:val="center"/>
      </w:pPr>
      <w:r>
        <w:rPr>
          <w:rFonts w:ascii="Cambria Math" w:cs="Cambria Math" w:eastAsia="Cambria Math" w:hAnsi="Cambria Math"/>
          <w:b/>
          <w:bCs/>
          <w:color w:val="1F4E79"/>
          <w:sz w:val="24"/>
          <w:szCs w:val="24"/>
        </w:rPr>
        <w:t xml:space="preserve">SCR = Provision(−20% mortalité) − Provision(base)</w:t>
      </w:r>
    </w:p>
    <w:p>
      <w:pPr>
        <w:spacing w:after="160" w:line="276"/>
        <w:jc w:val="both"/>
      </w:pPr>
      <w:r>
        <w:rPr>
          <w:rFonts w:ascii="Arial" w:cs="Arial" w:eastAsia="Arial" w:hAnsi="Arial"/>
          <w:b w:val="false"/>
          <w:bCs w:val="false"/>
          <w:i w:val="false"/>
          <w:iCs w:val="false"/>
          <w:color w:val="4A4A4A"/>
          <w:sz w:val="22"/>
          <w:szCs w:val="22"/>
        </w:rPr>
        <w:t xml:space="preserve">Le risque de modèle se mesure par l’écart de SCR entre le modèle le plus conservateur et le moins conservateur.</w:t>
      </w:r>
    </w:p>
    <w:p>
      <w:pPr>
        <w:pStyle w:val="Heading2"/>
        <w:spacing w:after="200" w:before="240"/>
      </w:pPr>
      <w:r>
        <w:rPr>
          <w:rFonts w:ascii="Arial" w:cs="Arial" w:eastAsia="Arial" w:hAnsi="Arial"/>
        </w:rPr>
        <w:t xml:space="preserve">2.8 Test de Diebold-Mariano</w:t>
      </w:r>
    </w:p>
    <w:p>
      <w:pPr>
        <w:spacing w:after="160" w:line="276"/>
        <w:jc w:val="both"/>
      </w:pPr>
      <w:r>
        <w:rPr>
          <w:rFonts w:ascii="Arial" w:cs="Arial" w:eastAsia="Arial" w:hAnsi="Arial"/>
          <w:b w:val="false"/>
          <w:bCs w:val="false"/>
          <w:i w:val="false"/>
          <w:iCs w:val="false"/>
          <w:color w:val="4A4A4A"/>
          <w:sz w:val="22"/>
          <w:szCs w:val="22"/>
        </w:rPr>
        <w:t xml:space="preserve">Test statistique pour comparer les prévisions de deux modèles. On calcule la différence de perte dₜ = L(e₁ₜ)² − L(e₂ₜ)² et on teste si sa moyenne est significativement différente de zéro.</w:t>
      </w:r>
    </w:p>
    <w:p>
      <w:pPr>
        <w:spacing w:after="160" w:line="276"/>
        <w:jc w:val="both"/>
      </w:pPr>
      <w:r>
        <w:rPr>
          <w:rFonts w:ascii="Arial" w:cs="Arial" w:eastAsia="Arial" w:hAnsi="Arial"/>
          <w:b w:val="false"/>
          <w:bCs w:val="false"/>
          <w:i w:val="false"/>
          <w:iCs w:val="false"/>
          <w:color w:val="4A4A4A"/>
          <w:sz w:val="22"/>
          <w:szCs w:val="22"/>
        </w:rPr>
        <w:t xml:space="preserve">Le projet utilise la correction de Harvey-Leybourne-Newbold (1997) qui ajuste la variance pour l’autocorrélation des erreurs multi-pas (les erreurs à h pas de prévision sont autocorrélées jusqu’au lag h−1) et utilise une distribution de Student plutôt que la Normale.</w:t>
      </w:r>
    </w:p>
    <w:p>
      <w:pPr>
        <w:pStyle w:val="Heading2"/>
        <w:spacing w:after="200" w:before="240"/>
      </w:pPr>
      <w:r>
        <w:rPr>
          <w:rFonts w:ascii="Arial" w:cs="Arial" w:eastAsia="Arial" w:hAnsi="Arial"/>
        </w:rPr>
        <w:t xml:space="preserve">2.9 Validation rolling-origin</w:t>
      </w:r>
    </w:p>
    <w:p>
      <w:pPr>
        <w:spacing w:after="160" w:line="276"/>
        <w:jc w:val="both"/>
      </w:pPr>
      <w:r>
        <w:rPr>
          <w:rFonts w:ascii="Arial" w:cs="Arial" w:eastAsia="Arial" w:hAnsi="Arial"/>
          <w:b w:val="false"/>
          <w:bCs w:val="false"/>
          <w:i w:val="false"/>
          <w:iCs w:val="false"/>
          <w:color w:val="4A4A4A"/>
          <w:sz w:val="22"/>
          <w:szCs w:val="22"/>
        </w:rPr>
        <w:t xml:space="preserve">Protocole de validation temporelle adapté aux séries temporelles. Le modèle est entraîné sur les années [début, origine], puis évalué sur les h années suivantes. L’origine avance de 2 en 2 (1990, 1992, ..., 2018). Le modèle est ré-entraîné complètement à chaque origine — pas d’apprentissage incrémental.</w:t>
      </w:r>
    </w:p>
    <w:p>
      <w:pPr>
        <w:spacing w:after="160" w:line="276"/>
        <w:jc w:val="both"/>
      </w:pPr>
      <w:r>
        <w:rPr>
          <w:rFonts w:ascii="Arial" w:cs="Arial" w:eastAsia="Arial" w:hAnsi="Arial"/>
          <w:b w:val="false"/>
          <w:bCs w:val="false"/>
          <w:i w:val="false"/>
          <w:iCs w:val="false"/>
          <w:color w:val="4A4A4A"/>
          <w:sz w:val="22"/>
          <w:szCs w:val="22"/>
        </w:rPr>
        <w:t xml:space="preserve">C’est l’équivalent séries temporelles de la validation croisée k-fold, en respectant l’ordre chronologique (pas de fuite de données futures dans l’entraînement).</w:t>
      </w:r>
    </w:p>
    <w:p>
      <w:r>
        <w:br w:type="page"/>
      </w:r>
    </w:p>
    <w:p>
      <w:pPr>
        <w:pStyle w:val="Heading1"/>
        <w:spacing w:after="200" w:before="360"/>
      </w:pPr>
      <w:r>
        <w:rPr>
          <w:rFonts w:ascii="Arial" w:cs="Arial" w:eastAsia="Arial" w:hAnsi="Arial"/>
        </w:rPr>
        <w:t xml:space="preserve">3. Structure du dossier</w:t>
      </w:r>
    </w:p>
    <w:p>
      <w:pPr>
        <w:spacing w:after="160" w:line="276"/>
        <w:jc w:val="both"/>
      </w:pPr>
      <w:r>
        <w:rPr>
          <w:rFonts w:ascii="Arial" w:cs="Arial" w:eastAsia="Arial" w:hAnsi="Arial"/>
          <w:b w:val="false"/>
          <w:bCs w:val="false"/>
          <w:i w:val="false"/>
          <w:iCs w:val="false"/>
          <w:color w:val="4A4A4A"/>
          <w:sz w:val="22"/>
          <w:szCs w:val="22"/>
        </w:rPr>
        <w:t xml:space="preserve">Le projet suit une architecture modulaire Python avec séparation claire entre données, modèles, évaluation, calculs actuariels et visualisation :</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Chemin</w:t>
            </w:r>
          </w:p>
        </w:tc>
        <w:tc>
          <w:tcPr>
            <w:tcW w:type="dxa" w:w="5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src/mortality/data/</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Chargement et parsing des données HMD (fixed-width → matrices)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src/mortality/models/base.py</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Interface abstraite MortalityModel (fit, forecast, simulate)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src/mortality/models/classical/</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 modèles classiques from scratch (LC, LM, BMS, PLC, CBD, HU, baselines)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src/mortality/models/neural/</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 modèles neuronaux PyTorch (LSTM, GRU, BiLSTM, Transformer, FFNN, CNN)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src/mortality/models/hybrid/</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Modèle hybride LC-ResNet (contribution)</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src/mortality/evaluation/</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Rolling-origin, métriques, Diebold-Mariano, scénarios, decision framework</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src/mortality/actuarial/</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Tables de mortalité, e₀, rentes ä₆₅, choc Solvabilité II</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src/mortality/viz/</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Heatmaps, fan charts, tableaux de résultats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scripts/run_benchmark.py</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Pipeline principal : lance le benchmark complet</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scripts/download_hmd.py</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Téléchargement automatisé depuis mortality.org (auth session)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config/</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YAML : pays, hyperparamètres, origines, horizons, métriques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dashboard/app.py</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Application Streamlit interactive (4 onglets)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tests/</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42 tests pytest (modèles, métriques, life table, évaluation)</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results/</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benchmark.csv : 29 500+ résultats (modèle × pays × origine × horizon × métrique)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report/</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Rapport FR (Markdown), kit CV/LinkedIn</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.github/workflows/ci.yml</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Intégration continue : ruff lint + pytest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data/ (gitignoré)</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Données HMD brutes — NON redistribuables</w:t>
            </w:r>
          </w:p>
        </w:tc>
      </w:tr>
    </w:tbl>
    <w:p>
      <w:pPr>
        <w:spacing w:after="80"/>
      </w:pPr>
    </w:p>
    <w:p>
      <w:pPr>
        <w:pStyle w:val="Heading2"/>
        <w:spacing w:after="200" w:before="240"/>
      </w:pPr>
      <w:r>
        <w:rPr>
          <w:rFonts w:ascii="Arial" w:cs="Arial" w:eastAsia="Arial" w:hAnsi="Arial"/>
        </w:rPr>
        <w:t xml:space="preserve">3.1 Interface commune MortalityModel</w:t>
      </w:r>
    </w:p>
    <w:p>
      <w:pPr>
        <w:spacing w:after="160" w:line="276"/>
        <w:jc w:val="both"/>
      </w:pPr>
      <w:r>
        <w:rPr>
          <w:rFonts w:ascii="Arial" w:cs="Arial" w:eastAsia="Arial" w:hAnsi="Arial"/>
          <w:b w:val="false"/>
          <w:bCs w:val="false"/>
          <w:i w:val="false"/>
          <w:iCs w:val="false"/>
          <w:color w:val="4A4A4A"/>
          <w:sz w:val="22"/>
          <w:szCs w:val="22"/>
        </w:rPr>
        <w:t xml:space="preserve">Le design clé du projet est une interface abstraite commune que tous les modèles implémentent. Cela permet au harnais d’évaluation de traiter les 15 modèles de façon identique :</w:t>
      </w:r>
    </w:p>
    <w:p>
      <w:pPr>
        <w:spacing w:after="120"/>
        <w:ind w:left="360"/>
      </w:pPr>
      <w:r>
        <w:rPr>
          <w:rFonts w:ascii="Consolas" w:cs="Consolas" w:eastAsia="Consolas" w:hAnsi="Consolas"/>
          <w:color w:val="333333"/>
          <w:sz w:val="18"/>
          <w:szCs w:val="18"/>
        </w:rPr>
        <w:t xml:space="preserve">class MortalityModel(ABC):</w:t>
      </w:r>
    </w:p>
    <w:p>
      <w:pPr>
        <w:spacing w:after="120"/>
        <w:ind w:left="360"/>
      </w:pPr>
      <w:r>
        <w:rPr>
          <w:rFonts w:ascii="Consolas" w:cs="Consolas" w:eastAsia="Consolas" w:hAnsi="Consolas"/>
          <w:color w:val="333333"/>
          <w:sz w:val="18"/>
          <w:szCs w:val="18"/>
        </w:rPr>
        <w:t xml:space="preserve">    def fit(self, log_mx, ages, years, exposures, deaths) -&gt; None</w:t>
      </w:r>
    </w:p>
    <w:p>
      <w:pPr>
        <w:spacing w:after="120"/>
        <w:ind w:left="360"/>
      </w:pPr>
      <w:r>
        <w:rPr>
          <w:rFonts w:ascii="Consolas" w:cs="Consolas" w:eastAsia="Consolas" w:hAnsi="Consolas"/>
          <w:color w:val="333333"/>
          <w:sz w:val="18"/>
          <w:szCs w:val="18"/>
        </w:rPr>
        <w:t xml:space="preserve">    def forecast(self, h: int) -&gt; np.ndarray  # (n_ages × h)</w:t>
      </w:r>
    </w:p>
    <w:p>
      <w:pPr>
        <w:spacing w:after="120"/>
        <w:ind w:left="360"/>
      </w:pPr>
      <w:r>
        <w:rPr>
          <w:rFonts w:ascii="Consolas" w:cs="Consolas" w:eastAsia="Consolas" w:hAnsi="Consolas"/>
          <w:color w:val="333333"/>
          <w:sz w:val="18"/>
          <w:szCs w:val="18"/>
        </w:rPr>
        <w:t xml:space="preserve">    def simulate(self, h, n_paths) -&gt; np.ndarray  # (n_paths × n_ages × h)</w:t>
      </w:r>
    </w:p>
    <w:p>
      <w:pPr>
        <w:spacing w:after="160" w:line="276"/>
        <w:jc w:val="both"/>
      </w:pPr>
      <w:r>
        <w:rPr>
          <w:rFonts w:ascii="Arial" w:cs="Arial" w:eastAsia="Arial" w:hAnsi="Arial"/>
          <w:b w:val="false"/>
          <w:bCs w:val="false"/>
          <w:i w:val="false"/>
          <w:iCs w:val="false"/>
          <w:color w:val="4A4A4A"/>
          <w:sz w:val="22"/>
          <w:szCs w:val="22"/>
        </w:rPr>
        <w:t xml:space="preserve">L’attribut forecast_ages permet aux modèles restreints (à certains âges comme le CBD à 60+) de coexister avec les modèles pleine grille dans le même harnais d’évaluation.</w:t>
      </w:r>
    </w:p>
    <w:p>
      <w:r>
        <w:br w:type="page"/>
      </w:r>
    </w:p>
    <w:p>
      <w:pPr>
        <w:pStyle w:val="Heading1"/>
        <w:spacing w:after="200" w:before="360"/>
      </w:pPr>
      <w:r>
        <w:rPr>
          <w:rFonts w:ascii="Arial" w:cs="Arial" w:eastAsia="Arial" w:hAnsi="Arial"/>
        </w:rPr>
        <w:t xml:space="preserve">4. Les 15 modèles implémentés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100"/>
        <w:gridCol w:w="2726"/>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Catégorie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Modèle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Fichier</w:t>
            </w:r>
          </w:p>
        </w:tc>
        <w:tc>
          <w:tcPr>
            <w:tcW w:type="dxa" w:w="27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Spécificité</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Lee-Carter (SVD)</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lee_carter.py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SVD + réestimation κₜ sur D(x,t)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Lee-Miller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lee_miller.py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Ajuste κₜ sur e₀ observé (Brent)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Booth-Maindonald-Smith</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bms.py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Sélection période linéaire de κₜ</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Poisson Lee-Carter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poisson_lc.py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MLE Poisson, Newton-Raphson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Cairns-Blake-Dowd</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cbd.py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Âges 60+, 2 facteurs, logit q(x,t)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Classique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Hyndman-Ullah</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hyndman_ullah.py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Splines + ACP fonctionnelle + ARIMA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Random Walk + dérive</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baselines.py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Benchmark naïf par âge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Taux gelés</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baselines.py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Prévision = dernière observation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LSTM sur κₜ</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kt_models.py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 couches, hidden=64, lookback=20</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GRU sur κₜ</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kt_models.py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 portes, plus rapide que LSTM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Bi-LSTM sur κₜ</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kt_models.py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Bidirectionnel</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Transformer sur κₜ</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kt_models.py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Encodeur 2 couches, 4 têtes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FFNN à embeddings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ffnn_embeddings.py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Richman-Wüthrich, année continue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Neural</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CNN surface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cnn_surface.py</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Conv2D sur matrice (âge × année)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Hybride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LC-ResNet</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lc_resnet.py</w:t>
            </w:r>
          </w:p>
        </w:tc>
        <w:tc>
          <w:tcPr>
            <w:tcW w:type="dxa" w:w="27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Poisson LC + réseau résiduel + shrinkage</w:t>
            </w:r>
          </w:p>
        </w:tc>
      </w:tr>
    </w:tbl>
    <w:p>
      <w:pPr>
        <w:spacing w:after="80"/>
      </w:pPr>
    </w:p>
    <w:p>
      <w:pPr>
        <w:spacing w:after="160" w:line="276"/>
        <w:jc w:val="both"/>
      </w:pPr>
      <w:r>
        <w:rPr>
          <w:rFonts w:ascii="Arial" w:cs="Arial" w:eastAsia="Arial" w:hAnsi="Arial"/>
          <w:b w:val="false"/>
          <w:bCs w:val="false"/>
          <w:i w:val="false"/>
          <w:iCs w:val="false"/>
          <w:color w:val="4A4A4A"/>
          <w:sz w:val="22"/>
          <w:szCs w:val="22"/>
        </w:rPr>
        <w:t xml:space="preserve">Tous les modèles neuronaux utilisent le même budget d’hyperparamètres (200 époques, patience 20, early stopping, seed 42) pour garantir l’équité du benchmark. Le taux d’apprentissage est 0.001 avec Adam et weight decay 10⁻⁴.</w:t>
      </w:r>
    </w:p>
    <w:p>
      <w:r>
        <w:br w:type="page"/>
      </w:r>
    </w:p>
    <w:p>
      <w:pPr>
        <w:pStyle w:val="Heading1"/>
        <w:spacing w:after="200" w:before="360"/>
      </w:pPr>
      <w:r>
        <w:rPr>
          <w:rFonts w:ascii="Arial" w:cs="Arial" w:eastAsia="Arial" w:hAnsi="Arial"/>
        </w:rPr>
        <w:t xml:space="preserve">5. Protocole d’évaluation</w:t>
      </w:r>
    </w:p>
    <w:p>
      <w:pPr>
        <w:pStyle w:val="Heading2"/>
        <w:spacing w:after="200" w:before="240"/>
      </w:pPr>
      <w:r>
        <w:rPr>
          <w:rFonts w:ascii="Arial" w:cs="Arial" w:eastAsia="Arial" w:hAnsi="Arial"/>
        </w:rPr>
        <w:t xml:space="preserve">5.1 Rolling-origin</w:t>
      </w:r>
    </w:p>
    <w:p>
      <w:pPr>
        <w:spacing w:after="160" w:line="276"/>
        <w:jc w:val="both"/>
      </w:pPr>
      <w:r>
        <w:rPr>
          <w:rFonts w:ascii="Arial" w:cs="Arial" w:eastAsia="Arial" w:hAnsi="Arial"/>
          <w:b w:val="false"/>
          <w:bCs w:val="false"/>
          <w:i w:val="false"/>
          <w:iCs w:val="false"/>
          <w:color w:val="4A4A4A"/>
          <w:sz w:val="22"/>
          <w:szCs w:val="22"/>
        </w:rPr>
        <w:t xml:space="preserve">Configuration du benchmark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Pays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France, Angleterre &amp; Galles, USA, Japon, Italie, Espagne, Suède, Pays-Bas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Période</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1950–2023 (inclut le choc COVID 2020–2023)</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Âges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Origines rolling</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1990, 1992, 1994, ..., 2018 (15 origines)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Horizons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 5, 10, 20 ans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Modèles</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 (8 classiques + 6 neuronaux + 1 hybride)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Résultats produits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29 500+ observations (modèle × pays × origine × horizon × métrique)</w:t>
            </w:r>
          </w:p>
        </w:tc>
      </w:tr>
    </w:tbl>
    <w:p>
      <w:pPr>
        <w:pStyle w:val="Heading2"/>
        <w:spacing w:after="200" w:before="240"/>
      </w:pPr>
      <w:r>
        <w:rPr>
          <w:rFonts w:ascii="Arial" w:cs="Arial" w:eastAsia="Arial" w:hAnsi="Arial"/>
        </w:rPr>
        <w:t xml:space="preserve">5.2 Métriques</w:t>
      </w:r>
    </w:p>
    <w:p>
      <w:pPr>
        <w:pStyle w:val="ListParagraph"/>
        <w:numPr>
          <w:ilvl w:val="0"/>
          <w:numId w:val="3"/>
        </w:numPr>
        <w:spacing w:after="80" w:line="276"/>
      </w:pPr>
      <w:r>
        <w:rPr>
          <w:rFonts w:ascii="Arial" w:cs="Arial" w:eastAsia="Arial" w:hAnsi="Arial"/>
          <w:b/>
          <w:bCs/>
          <w:color w:val="4A4A4A"/>
          <w:sz w:val="22"/>
          <w:szCs w:val="22"/>
        </w:rPr>
        <w:t xml:space="preserve">RMSE log m(x,t) : </w:t>
      </w:r>
      <w:r>
        <w:rPr>
          <w:rFonts w:ascii="Arial" w:cs="Arial" w:eastAsia="Arial" w:hAnsi="Arial"/>
          <w:color w:val="4A4A4A"/>
          <w:sz w:val="22"/>
          <w:szCs w:val="22"/>
        </w:rPr>
        <w:t xml:space="preserve">racine de l’erreur quadratique moyenne sur les log-taux. Métrique statistique standard.</w:t>
      </w:r>
    </w:p>
    <w:p>
      <w:pPr>
        <w:pStyle w:val="ListParagraph"/>
        <w:numPr>
          <w:ilvl w:val="0"/>
          <w:numId w:val="3"/>
        </w:numPr>
        <w:spacing w:after="80" w:line="276"/>
      </w:pPr>
      <w:r>
        <w:rPr>
          <w:rFonts w:ascii="Arial" w:cs="Arial" w:eastAsia="Arial" w:hAnsi="Arial"/>
          <w:b/>
          <w:bCs/>
          <w:color w:val="4A4A4A"/>
          <w:sz w:val="22"/>
          <w:szCs w:val="22"/>
        </w:rPr>
        <w:t xml:space="preserve">MAE log m(x,t) : </w:t>
      </w:r>
      <w:r>
        <w:rPr>
          <w:rFonts w:ascii="Arial" w:cs="Arial" w:eastAsia="Arial" w:hAnsi="Arial"/>
          <w:color w:val="4A4A4A"/>
          <w:sz w:val="22"/>
          <w:szCs w:val="22"/>
        </w:rPr>
        <w:t xml:space="preserve">erreur absolue moyenne, plus robuste aux outliers que le RMSE.</w:t>
      </w:r>
    </w:p>
    <w:p>
      <w:pPr>
        <w:pStyle w:val="ListParagraph"/>
        <w:numPr>
          <w:ilvl w:val="0"/>
          <w:numId w:val="3"/>
        </w:numPr>
        <w:spacing w:after="80" w:line="276"/>
      </w:pPr>
      <w:r>
        <w:rPr>
          <w:rFonts w:ascii="Arial" w:cs="Arial" w:eastAsia="Arial" w:hAnsi="Arial"/>
          <w:b/>
          <w:bCs/>
          <w:color w:val="4A4A4A"/>
          <w:sz w:val="22"/>
          <w:szCs w:val="22"/>
        </w:rPr>
        <w:t xml:space="preserve">RMSE e₀ : </w:t>
      </w:r>
      <w:r>
        <w:rPr>
          <w:rFonts w:ascii="Arial" w:cs="Arial" w:eastAsia="Arial" w:hAnsi="Arial"/>
          <w:color w:val="4A4A4A"/>
          <w:sz w:val="22"/>
          <w:szCs w:val="22"/>
        </w:rPr>
        <w:t xml:space="preserve">erreur sur l’espérance de vie à la naissance — métrique directement interprétable par les actuaires (en années de vie).</w:t>
      </w:r>
    </w:p>
    <w:p>
      <w:pPr>
        <w:pStyle w:val="ListParagraph"/>
        <w:numPr>
          <w:ilvl w:val="0"/>
          <w:numId w:val="3"/>
        </w:numPr>
        <w:spacing w:after="80" w:line="276"/>
      </w:pPr>
      <w:r>
        <w:rPr>
          <w:rFonts w:ascii="Arial" w:cs="Arial" w:eastAsia="Arial" w:hAnsi="Arial"/>
          <w:b/>
          <w:bCs/>
          <w:color w:val="4A4A4A"/>
          <w:sz w:val="22"/>
          <w:szCs w:val="22"/>
        </w:rPr>
        <w:t xml:space="preserve">RMSE ä₆₅ : </w:t>
      </w:r>
      <w:r>
        <w:rPr>
          <w:rFonts w:ascii="Arial" w:cs="Arial" w:eastAsia="Arial" w:hAnsi="Arial"/>
          <w:color w:val="4A4A4A"/>
          <w:sz w:val="22"/>
          <w:szCs w:val="22"/>
        </w:rPr>
        <w:t xml:space="preserve">erreur sur la valeur de la rente viagère à 65 ans — l’impact direct sur le provisionnement.</w:t>
      </w:r>
    </w:p>
    <w:p>
      <w:pPr>
        <w:spacing w:after="160" w:line="276"/>
        <w:jc w:val="both"/>
      </w:pPr>
      <w:r>
        <w:rPr>
          <w:rFonts w:ascii="Arial" w:cs="Arial" w:eastAsia="Arial" w:hAnsi="Arial"/>
          <w:b w:val="false"/>
          <w:bCs w:val="false"/>
          <w:i/>
          <w:iCs/>
          <w:color w:val="4A4A4A"/>
          <w:sz w:val="22"/>
          <w:szCs w:val="22"/>
        </w:rPr>
        <w:t xml:space="preserve">Les métriques actuarielles (e₀, ä₆₅) ne sont calculées que lorsque le modèle couvre la grille complète des âges (0 à 90+). Le CBD, restreint aux âges 60+, ne produit que les métriques statistiques.</w:t>
      </w:r>
    </w:p>
    <w:p>
      <w:pPr>
        <w:pStyle w:val="Heading2"/>
        <w:spacing w:after="200" w:before="240"/>
      </w:pPr>
      <w:r>
        <w:rPr>
          <w:rFonts w:ascii="Arial" w:cs="Arial" w:eastAsia="Arial" w:hAnsi="Arial"/>
        </w:rPr>
        <w:t xml:space="preserve">5.3 Scénarios décisionnels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Données courtes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Tronquer l’historique à 20, 30, 50 ans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Quel modèle avec peu de données ?</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Choc de mortalité</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Entraîner avant 2020, évaluer 2020–2023</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Robustesse au COVID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Groupes d’âges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Évaluer sur 0–19, 20–64, 65–100</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Meilleur pour le segment rentes ?</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Horizons</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Séparer h=5, h=10, h=20</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Performance court vs long terme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Coût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Mesurer le temps d’entraînement</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 gain justifie-t-il le coût ?</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Interprétabilité</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Grille qualitative 1–5</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Acceptable par le régulateur ?</w:t>
            </w:r>
          </w:p>
        </w:tc>
      </w:tr>
    </w:tbl>
    <w:p>
      <w:r>
        <w:br w:type="page"/>
      </w:r>
    </w:p>
    <w:p>
      <w:pPr>
        <w:pStyle w:val="Heading1"/>
        <w:spacing w:after="200" w:before="360"/>
      </w:pPr>
      <w:r>
        <w:rPr>
          <w:rFonts w:ascii="Arial" w:cs="Arial" w:eastAsia="Arial" w:hAnsi="Arial"/>
        </w:rPr>
        <w:t xml:space="preserve">6. Étude de cas actuarielle</w:t>
      </w:r>
    </w:p>
    <w:p>
      <w:pPr>
        <w:spacing w:after="160" w:line="276"/>
        <w:jc w:val="both"/>
      </w:pPr>
      <w:r>
        <w:rPr>
          <w:rFonts w:ascii="Arial" w:cs="Arial" w:eastAsia="Arial" w:hAnsi="Arial"/>
          <w:b w:val="false"/>
          <w:bCs w:val="false"/>
          <w:i w:val="false"/>
          <w:iCs w:val="false"/>
          <w:color w:val="4A4A4A"/>
          <w:sz w:val="22"/>
          <w:szCs w:val="22"/>
        </w:rPr>
        <w:t xml:space="preserve">L’étude de cas traduit les résultats du benchmark en impact financier concret, ce qui parle directement aux recruteurs en actuariat.</w:t>
      </w:r>
    </w:p>
    <w:p>
      <w:pPr>
        <w:pStyle w:val="Heading2"/>
        <w:spacing w:after="200" w:before="240"/>
      </w:pPr>
      <w:r>
        <w:rPr>
          <w:rFonts w:ascii="Arial" w:cs="Arial" w:eastAsia="Arial" w:hAnsi="Arial"/>
        </w:rPr>
        <w:t xml:space="preserve">6.1 Pricing de rente viagère</w:t>
      </w:r>
    </w:p>
    <w:p>
      <w:pPr>
        <w:spacing w:after="160" w:line="276"/>
        <w:jc w:val="both"/>
      </w:pPr>
      <w:r>
        <w:rPr>
          <w:rFonts w:ascii="Arial" w:cs="Arial" w:eastAsia="Arial" w:hAnsi="Arial"/>
          <w:b w:val="false"/>
          <w:bCs w:val="false"/>
          <w:i w:val="false"/>
          <w:iCs w:val="false"/>
          <w:color w:val="4A4A4A"/>
          <w:sz w:val="22"/>
          <w:szCs w:val="22"/>
        </w:rPr>
        <w:t xml:space="preserve">Paramètres du portefeuille fictif :</w:t>
      </w:r>
    </w:p>
    <w:p>
      <w:pPr>
        <w:pStyle w:val="ListParagraph"/>
        <w:numPr>
          <w:ilvl w:val="0"/>
          <w:numId w:val="3"/>
        </w:numPr>
        <w:spacing w:after="80" w:line="276"/>
      </w:pPr>
      <w:r>
        <w:rPr>
          <w:rFonts w:ascii="Arial" w:cs="Arial" w:eastAsia="Arial" w:hAnsi="Arial"/>
          <w:b/>
          <w:bCs/>
          <w:color w:val="4A4A4A"/>
          <w:sz w:val="22"/>
          <w:szCs w:val="22"/>
        </w:rPr>
        <w:t xml:space="preserve">Population : </w:t>
      </w:r>
      <w:r>
        <w:rPr>
          <w:rFonts w:ascii="Arial" w:cs="Arial" w:eastAsia="Arial" w:hAnsi="Arial"/>
          <w:color w:val="4A4A4A"/>
          <w:sz w:val="22"/>
          <w:szCs w:val="22"/>
        </w:rPr>
        <w:t xml:space="preserve">1 000 rentiers français</w:t>
      </w:r>
    </w:p>
    <w:p>
      <w:pPr>
        <w:pStyle w:val="ListParagraph"/>
        <w:numPr>
          <w:ilvl w:val="0"/>
          <w:numId w:val="3"/>
        </w:numPr>
        <w:spacing w:after="80" w:line="276"/>
      </w:pPr>
      <w:r>
        <w:rPr>
          <w:rFonts w:ascii="Arial" w:cs="Arial" w:eastAsia="Arial" w:hAnsi="Arial"/>
          <w:b/>
          <w:bCs/>
          <w:color w:val="4A4A4A"/>
          <w:sz w:val="22"/>
          <w:szCs w:val="22"/>
        </w:rPr>
        <w:t xml:space="preserve">Âge : </w:t>
      </w:r>
      <w:r>
        <w:rPr>
          <w:rFonts w:ascii="Arial" w:cs="Arial" w:eastAsia="Arial" w:hAnsi="Arial"/>
          <w:color w:val="4A4A4A"/>
          <w:sz w:val="22"/>
          <w:szCs w:val="22"/>
        </w:rPr>
        <w:t xml:space="preserve">65 ans</w:t>
      </w:r>
    </w:p>
    <w:p>
      <w:pPr>
        <w:pStyle w:val="ListParagraph"/>
        <w:numPr>
          <w:ilvl w:val="0"/>
          <w:numId w:val="3"/>
        </w:numPr>
        <w:spacing w:after="80" w:line="276"/>
      </w:pPr>
      <w:r>
        <w:rPr>
          <w:rFonts w:ascii="Arial" w:cs="Arial" w:eastAsia="Arial" w:hAnsi="Arial"/>
          <w:b/>
          <w:bCs/>
          <w:color w:val="4A4A4A"/>
          <w:sz w:val="22"/>
          <w:szCs w:val="22"/>
        </w:rPr>
        <w:t xml:space="preserve">Rente annuelle : </w:t>
      </w:r>
      <w:r>
        <w:rPr>
          <w:rFonts w:ascii="Arial" w:cs="Arial" w:eastAsia="Arial" w:hAnsi="Arial"/>
          <w:color w:val="4A4A4A"/>
          <w:sz w:val="22"/>
          <w:szCs w:val="22"/>
        </w:rPr>
        <w:t xml:space="preserve">12 000 EUR par personne</w:t>
      </w:r>
    </w:p>
    <w:p>
      <w:pPr>
        <w:pStyle w:val="ListParagraph"/>
        <w:numPr>
          <w:ilvl w:val="0"/>
          <w:numId w:val="3"/>
        </w:numPr>
        <w:spacing w:after="80" w:line="276"/>
      </w:pPr>
      <w:r>
        <w:rPr>
          <w:rFonts w:ascii="Arial" w:cs="Arial" w:eastAsia="Arial" w:hAnsi="Arial"/>
          <w:b/>
          <w:bCs/>
          <w:color w:val="4A4A4A"/>
          <w:sz w:val="22"/>
          <w:szCs w:val="22"/>
        </w:rPr>
        <w:t xml:space="preserve">Taux d’actualisation : </w:t>
      </w:r>
      <w:r>
        <w:rPr>
          <w:rFonts w:ascii="Arial" w:cs="Arial" w:eastAsia="Arial" w:hAnsi="Arial"/>
          <w:color w:val="4A4A4A"/>
          <w:sz w:val="22"/>
          <w:szCs w:val="22"/>
        </w:rPr>
        <w:t xml:space="preserve">2 % (taux sans risque)</w:t>
      </w:r>
    </w:p>
    <w:p>
      <w:pPr>
        <w:spacing w:after="80"/>
      </w:pPr>
    </w:p>
    <w:p>
      <w:pPr>
        <w:spacing w:after="160" w:line="276"/>
        <w:jc w:val="both"/>
      </w:pPr>
      <w:r>
        <w:rPr>
          <w:rFonts w:ascii="Arial" w:cs="Arial" w:eastAsia="Arial" w:hAnsi="Arial"/>
          <w:b w:val="false"/>
          <w:bCs w:val="false"/>
          <w:i w:val="false"/>
          <w:iCs w:val="false"/>
          <w:color w:val="4A4A4A"/>
          <w:sz w:val="22"/>
          <w:szCs w:val="22"/>
        </w:rPr>
        <w:t xml:space="preserve">Pour chaque modèle, on calcule les taux de mortalité projetés, puis le facteur de rente ä₆₅, puis la provision totale = ä₆₅ × 12 000 × 1 000. L’écart entre le modèle le plus conservateur et le moins conservateur quantifie le risque de modèle en euros.</w:t>
      </w:r>
    </w:p>
    <w:p>
      <w:pPr>
        <w:pStyle w:val="Heading2"/>
        <w:spacing w:after="200" w:before="240"/>
      </w:pPr>
      <w:r>
        <w:rPr>
          <w:rFonts w:ascii="Arial" w:cs="Arial" w:eastAsia="Arial" w:hAnsi="Arial"/>
        </w:rPr>
        <w:t xml:space="preserve">6.2 Choc Solvabilité II</w:t>
      </w:r>
    </w:p>
    <w:p>
      <w:pPr>
        <w:spacing w:after="160" w:line="276"/>
        <w:jc w:val="both"/>
      </w:pPr>
      <w:r>
        <w:rPr>
          <w:rFonts w:ascii="Arial" w:cs="Arial" w:eastAsia="Arial" w:hAnsi="Arial"/>
          <w:b w:val="false"/>
          <w:bCs w:val="false"/>
          <w:i w:val="false"/>
          <w:iCs w:val="false"/>
          <w:color w:val="4A4A4A"/>
          <w:sz w:val="22"/>
          <w:szCs w:val="22"/>
        </w:rPr>
        <w:t xml:space="preserve">On applique un choc de −20 % sur les taux de mortalité (les assurés vivent plus longtemps) et on recalcule la provision. Le SCR longévité = provision choquée − provision de base. Cela situe le risque de modèle par rapport au choc réglementaire : si l’écart inter-modèles est du même ordre que le SCR, le choix du modèle est un enjeu de capital.</w:t>
      </w:r>
    </w:p>
    <w:p>
      <w:r>
        <w:br w:type="page"/>
      </w:r>
    </w:p>
    <w:p>
      <w:pPr>
        <w:pStyle w:val="Heading1"/>
        <w:spacing w:after="200" w:before="360"/>
      </w:pPr>
      <w:r>
        <w:rPr>
          <w:rFonts w:ascii="Arial" w:cs="Arial" w:eastAsia="Arial" w:hAnsi="Arial"/>
        </w:rPr>
        <w:t xml:space="preserve">7. Les livrables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Livrable</w:t>
            </w:r>
          </w:p>
        </w:tc>
        <w:tc>
          <w:tcPr>
            <w:tcW w:type="dxa" w:w="6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Code source (src/)</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 modèles implémentés from scratch, architecture modulaire, interface commune, 42 tests unitaires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Benchmark (results/)</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29 500+ résultats dans benchmark.csv, reproductible via scripts/run_benchmark.py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Dashboard Streamlit</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Application interactive : heatmaps, comparaison des modèles, étude de cas, recommandeur interactif</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Rapport (report/)</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Rapport technique en français : revue de littérature, méthodologie, résultats, conclusions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Kit CV/LinkedIn</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 bullets CV, post LinkedIn, pitch 90 secondes pour entretien, tableau de compétences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CI/CD</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GitHub Actions : lint (ruff) + tests (pytest) automatiques à chaque push</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Configuration YAML</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Paramètres externalisés : pays, modèles, évaluation — reproductibilité totale</w:t>
            </w:r>
          </w:p>
        </w:tc>
      </w:tr>
    </w:tbl>
    <w:p>
      <w:pPr>
        <w:pStyle w:val="Heading2"/>
        <w:spacing w:after="200" w:before="240"/>
      </w:pPr>
      <w:r>
        <w:rPr>
          <w:rFonts w:ascii="Arial" w:cs="Arial" w:eastAsia="Arial" w:hAnsi="Arial"/>
        </w:rPr>
        <w:t xml:space="preserve">7.1 Dashboard Streamlit (4 onglets)</w:t>
      </w:r>
    </w:p>
    <w:p>
      <w:pPr>
        <w:pStyle w:val="ListParagraph"/>
        <w:numPr>
          <w:ilvl w:val="0"/>
          <w:numId w:val="2"/>
        </w:numPr>
        <w:spacing w:after="80" w:line="276"/>
      </w:pPr>
      <w:r>
        <w:rPr>
          <w:rFonts w:ascii="Arial" w:cs="Arial" w:eastAsia="Arial" w:hAnsi="Arial"/>
          <w:color w:val="4A4A4A"/>
          <w:sz w:val="22"/>
          <w:szCs w:val="22"/>
        </w:rPr>
        <w:t xml:space="preserve">Surface de mortalité : heatmap interactive (log m(x,t) pour chaque pays) + courbe d’évolution de e₀</w:t>
      </w:r>
    </w:p>
    <w:p>
      <w:pPr>
        <w:pStyle w:val="ListParagraph"/>
        <w:numPr>
          <w:ilvl w:val="0"/>
          <w:numId w:val="2"/>
        </w:numPr>
        <w:spacing w:after="80" w:line="276"/>
      </w:pPr>
      <w:r>
        <w:rPr>
          <w:rFonts w:ascii="Arial" w:cs="Arial" w:eastAsia="Arial" w:hAnsi="Arial"/>
          <w:color w:val="4A4A4A"/>
          <w:sz w:val="22"/>
          <w:szCs w:val="22"/>
        </w:rPr>
        <w:t xml:space="preserve">Comparaison des modèles : bar charts des métriques par modèle et horizon, tests de significativité</w:t>
      </w:r>
    </w:p>
    <w:p>
      <w:pPr>
        <w:pStyle w:val="ListParagraph"/>
        <w:numPr>
          <w:ilvl w:val="0"/>
          <w:numId w:val="2"/>
        </w:numPr>
        <w:spacing w:after="80" w:line="276"/>
      </w:pPr>
      <w:r>
        <w:rPr>
          <w:rFonts w:ascii="Arial" w:cs="Arial" w:eastAsia="Arial" w:hAnsi="Arial"/>
          <w:color w:val="4A4A4A"/>
          <w:sz w:val="22"/>
          <w:szCs w:val="22"/>
        </w:rPr>
        <w:t xml:space="preserve">Étude de cas actuarielle : pricing de rente + choc de longévité + risque de modèle en EUR</w:t>
      </w:r>
    </w:p>
    <w:p>
      <w:pPr>
        <w:pStyle w:val="ListParagraph"/>
        <w:numPr>
          <w:ilvl w:val="0"/>
          <w:numId w:val="2"/>
        </w:numPr>
        <w:spacing w:after="80" w:line="276"/>
      </w:pPr>
      <w:r>
        <w:rPr>
          <w:rFonts w:ascii="Arial" w:cs="Arial" w:eastAsia="Arial" w:hAnsi="Arial"/>
          <w:color w:val="4A4A4A"/>
          <w:sz w:val="22"/>
          <w:szCs w:val="22"/>
        </w:rPr>
        <w:t xml:space="preserve">Quel modèle ? : outil de recommandation interactif basé sur l’arbre de décision</w:t>
      </w:r>
    </w:p>
    <w:p>
      <w:pPr>
        <w:pStyle w:val="Heading2"/>
        <w:spacing w:after="200" w:before="240"/>
      </w:pPr>
      <w:r>
        <w:rPr>
          <w:rFonts w:ascii="Arial" w:cs="Arial" w:eastAsia="Arial" w:hAnsi="Arial"/>
        </w:rPr>
        <w:t xml:space="preserve">7.2 Kit CV et communication</w:t>
      </w:r>
    </w:p>
    <w:p>
      <w:pPr>
        <w:spacing w:after="160" w:line="276"/>
        <w:jc w:val="both"/>
      </w:pPr>
      <w:r>
        <w:rPr>
          <w:rFonts w:ascii="Arial" w:cs="Arial" w:eastAsia="Arial" w:hAnsi="Arial"/>
          <w:b w:val="false"/>
          <w:bCs w:val="false"/>
          <w:i w:val="false"/>
          <w:iCs w:val="false"/>
          <w:color w:val="4A4A4A"/>
          <w:sz w:val="22"/>
          <w:szCs w:val="22"/>
        </w:rPr>
        <w:t xml:space="preserve">Le fichier report/cv_kit.md contient du matériel prêt à l’emploi :</w:t>
      </w:r>
    </w:p>
    <w:p>
      <w:pPr>
        <w:pStyle w:val="ListParagraph"/>
        <w:numPr>
          <w:ilvl w:val="0"/>
          <w:numId w:val="3"/>
        </w:numPr>
        <w:spacing w:after="80" w:line="276"/>
      </w:pPr>
      <w:r>
        <w:rPr>
          <w:rFonts w:ascii="Arial" w:cs="Arial" w:eastAsia="Arial" w:hAnsi="Arial"/>
          <w:b/>
          <w:bCs/>
          <w:color w:val="4A4A4A"/>
          <w:sz w:val="22"/>
          <w:szCs w:val="22"/>
        </w:rPr>
        <w:t xml:space="preserve">3 bullets CV : </w:t>
      </w:r>
      <w:r>
        <w:rPr>
          <w:rFonts w:ascii="Arial" w:cs="Arial" w:eastAsia="Arial" w:hAnsi="Arial"/>
          <w:color w:val="4A4A4A"/>
          <w:sz w:val="22"/>
          <w:szCs w:val="22"/>
        </w:rPr>
        <w:t xml:space="preserve">prêts à coller dans un CV, couvrant benchmark, modèle hybride et étude de cas</w:t>
      </w:r>
    </w:p>
    <w:p>
      <w:pPr>
        <w:pStyle w:val="ListParagraph"/>
        <w:numPr>
          <w:ilvl w:val="0"/>
          <w:numId w:val="3"/>
        </w:numPr>
        <w:spacing w:after="80" w:line="276"/>
      </w:pPr>
      <w:r>
        <w:rPr>
          <w:rFonts w:ascii="Arial" w:cs="Arial" w:eastAsia="Arial" w:hAnsi="Arial"/>
          <w:b/>
          <w:bCs/>
          <w:color w:val="4A4A4A"/>
          <w:sz w:val="22"/>
          <w:szCs w:val="22"/>
        </w:rPr>
        <w:t xml:space="preserve">Post LinkedIn : </w:t>
      </w:r>
      <w:r>
        <w:rPr>
          <w:rFonts w:ascii="Arial" w:cs="Arial" w:eastAsia="Arial" w:hAnsi="Arial"/>
          <w:color w:val="4A4A4A"/>
          <w:sz w:val="22"/>
          <w:szCs w:val="22"/>
        </w:rPr>
        <w:t xml:space="preserve">post structuré avec les conclusions clés et les hashtags pertinents</w:t>
      </w:r>
    </w:p>
    <w:p>
      <w:pPr>
        <w:pStyle w:val="ListParagraph"/>
        <w:numPr>
          <w:ilvl w:val="0"/>
          <w:numId w:val="3"/>
        </w:numPr>
        <w:spacing w:after="80" w:line="276"/>
      </w:pPr>
      <w:r>
        <w:rPr>
          <w:rFonts w:ascii="Arial" w:cs="Arial" w:eastAsia="Arial" w:hAnsi="Arial"/>
          <w:b/>
          <w:bCs/>
          <w:color w:val="4A4A4A"/>
          <w:sz w:val="22"/>
          <w:szCs w:val="22"/>
        </w:rPr>
        <w:t xml:space="preserve">Pitch 90 secondes : </w:t>
      </w:r>
      <w:r>
        <w:rPr>
          <w:rFonts w:ascii="Arial" w:cs="Arial" w:eastAsia="Arial" w:hAnsi="Arial"/>
          <w:color w:val="4A4A4A"/>
          <w:sz w:val="22"/>
          <w:szCs w:val="22"/>
        </w:rPr>
        <w:t xml:space="preserve">script d’entretien fluide pour présenter le projet en 90 secondes</w:t>
      </w:r>
    </w:p>
    <w:p>
      <w:pPr>
        <w:pStyle w:val="ListParagraph"/>
        <w:numPr>
          <w:ilvl w:val="0"/>
          <w:numId w:val="3"/>
        </w:numPr>
        <w:spacing w:after="80" w:line="276"/>
      </w:pPr>
      <w:r>
        <w:rPr>
          <w:rFonts w:ascii="Arial" w:cs="Arial" w:eastAsia="Arial" w:hAnsi="Arial"/>
          <w:b/>
          <w:bCs/>
          <w:color w:val="4A4A4A"/>
          <w:sz w:val="22"/>
          <w:szCs w:val="22"/>
        </w:rPr>
        <w:t xml:space="preserve">Tableau de compétences : </w:t>
      </w:r>
      <w:r>
        <w:rPr>
          <w:rFonts w:ascii="Arial" w:cs="Arial" w:eastAsia="Arial" w:hAnsi="Arial"/>
          <w:color w:val="4A4A4A"/>
          <w:sz w:val="22"/>
          <w:szCs w:val="22"/>
        </w:rPr>
        <w:t xml:space="preserve">mapping compétence → preuve dans le projet</w:t>
      </w:r>
    </w:p>
    <w:p>
      <w:r>
        <w:br w:type="page"/>
      </w:r>
    </w:p>
    <w:p>
      <w:pPr>
        <w:pStyle w:val="Heading1"/>
        <w:spacing w:after="200" w:before="360"/>
      </w:pPr>
      <w:r>
        <w:rPr>
          <w:rFonts w:ascii="Arial" w:cs="Arial" w:eastAsia="Arial" w:hAnsi="Arial"/>
        </w:rPr>
        <w:t xml:space="preserve">8. Les trucs à savoir</w:t>
      </w:r>
    </w:p>
    <w:p>
      <w:pPr>
        <w:pStyle w:val="Heading2"/>
        <w:spacing w:after="200" w:before="240"/>
      </w:pPr>
      <w:r>
        <w:rPr>
          <w:rFonts w:ascii="Arial" w:cs="Arial" w:eastAsia="Arial" w:hAnsi="Arial"/>
        </w:rPr>
        <w:t xml:space="preserve">8.1 Données HMD</w:t>
      </w:r>
    </w:p>
    <w:p>
      <w:pPr>
        <w:pStyle w:val="ListParagraph"/>
        <w:numPr>
          <w:ilvl w:val="0"/>
          <w:numId w:val="3"/>
        </w:numPr>
        <w:spacing w:after="80" w:line="276"/>
      </w:pPr>
      <w:r>
        <w:rPr>
          <w:rFonts w:ascii="Arial" w:cs="Arial" w:eastAsia="Arial" w:hAnsi="Arial"/>
          <w:b/>
          <w:bCs/>
          <w:color w:val="4A4A4A"/>
          <w:sz w:val="22"/>
          <w:szCs w:val="22"/>
        </w:rPr>
        <w:t xml:space="preserve">Non redistribuables : </w:t>
      </w:r>
      <w:r>
        <w:rPr>
          <w:rFonts w:ascii="Arial" w:cs="Arial" w:eastAsia="Arial" w:hAnsi="Arial"/>
          <w:color w:val="4A4A4A"/>
          <w:sz w:val="22"/>
          <w:szCs w:val="22"/>
        </w:rPr>
        <w:t xml:space="preserve">les données de mortality.org ne peuvent pas être partagées. Le répertoire data/ est dans .gitignore. Chaque utilisateur doit créer un compte gratuit sur mortality.org.</w:t>
      </w:r>
    </w:p>
    <w:p>
      <w:pPr>
        <w:pStyle w:val="ListParagraph"/>
        <w:numPr>
          <w:ilvl w:val="0"/>
          <w:numId w:val="3"/>
        </w:numPr>
        <w:spacing w:after="80" w:line="276"/>
      </w:pPr>
      <w:r>
        <w:rPr>
          <w:rFonts w:ascii="Arial" w:cs="Arial" w:eastAsia="Arial" w:hAnsi="Arial"/>
          <w:b/>
          <w:bCs/>
          <w:color w:val="4A4A4A"/>
          <w:sz w:val="22"/>
          <w:szCs w:val="22"/>
        </w:rPr>
        <w:t xml:space="preserve">Format fixed-width : </w:t>
      </w:r>
      <w:r>
        <w:rPr>
          <w:rFonts w:ascii="Arial" w:cs="Arial" w:eastAsia="Arial" w:hAnsi="Arial"/>
          <w:color w:val="4A4A4A"/>
          <w:sz w:val="22"/>
          <w:szCs w:val="22"/>
        </w:rPr>
        <w:t xml:space="preserve">les fichiers HMD (Mx_1x1.txt, Exposures_1x1.txt) utilisent un format à largeur fixe, pas du CSV. Le parseur du projet gère les valeurs spéciales (".", " ") et les taux nuls.</w:t>
      </w:r>
    </w:p>
    <w:p>
      <w:pPr>
        <w:pStyle w:val="ListParagraph"/>
        <w:numPr>
          <w:ilvl w:val="0"/>
          <w:numId w:val="3"/>
        </w:numPr>
        <w:spacing w:after="80" w:line="276"/>
      </w:pPr>
      <w:r>
        <w:rPr>
          <w:rFonts w:ascii="Arial" w:cs="Arial" w:eastAsia="Arial" w:hAnsi="Arial"/>
          <w:b/>
          <w:bCs/>
          <w:color w:val="4A4A4A"/>
          <w:sz w:val="22"/>
          <w:szCs w:val="22"/>
        </w:rPr>
        <w:t xml:space="preserve">Authentification : </w:t>
      </w:r>
      <w:r>
        <w:rPr>
          <w:rFonts w:ascii="Arial" w:cs="Arial" w:eastAsia="Arial" w:hAnsi="Arial"/>
          <w:color w:val="4A4A4A"/>
          <w:sz w:val="22"/>
          <w:szCs w:val="22"/>
        </w:rPr>
        <w:t xml:space="preserve">le script download_hmd.py utilise une authentification par session (extraction du token CSRF + POST des identifiants + cookies de session), car l’auth HTTP basique ne fonctionne plus.</w:t>
      </w:r>
    </w:p>
    <w:p>
      <w:pPr>
        <w:pStyle w:val="ListParagraph"/>
        <w:numPr>
          <w:ilvl w:val="0"/>
          <w:numId w:val="3"/>
        </w:numPr>
        <w:spacing w:after="80" w:line="276"/>
      </w:pPr>
      <w:r>
        <w:rPr>
          <w:rFonts w:ascii="Arial" w:cs="Arial" w:eastAsia="Arial" w:hAnsi="Arial"/>
          <w:b/>
          <w:bCs/>
          <w:color w:val="4A4A4A"/>
          <w:sz w:val="22"/>
          <w:szCs w:val="22"/>
        </w:rPr>
        <w:t xml:space="preserve">Identifiants : </w:t>
      </w:r>
      <w:r>
        <w:rPr>
          <w:rFonts w:ascii="Arial" w:cs="Arial" w:eastAsia="Arial" w:hAnsi="Arial"/>
          <w:color w:val="4A4A4A"/>
          <w:sz w:val="22"/>
          <w:szCs w:val="22"/>
        </w:rPr>
        <w:t xml:space="preserve">stockés dans un fichier .env (également gitignoré), jamais commités.</w:t>
      </w:r>
    </w:p>
    <w:p>
      <w:pPr>
        <w:pStyle w:val="Heading2"/>
        <w:spacing w:after="200" w:before="240"/>
      </w:pPr>
      <w:r>
        <w:rPr>
          <w:rFonts w:ascii="Arial" w:cs="Arial" w:eastAsia="Arial" w:hAnsi="Arial"/>
        </w:rPr>
        <w:t xml:space="preserve">8.2 Décisions techniques importantes</w:t>
      </w:r>
    </w:p>
    <w:p>
      <w:pPr>
        <w:pStyle w:val="ListParagraph"/>
        <w:numPr>
          <w:ilvl w:val="0"/>
          <w:numId w:val="3"/>
        </w:numPr>
        <w:spacing w:after="80" w:line="276"/>
      </w:pPr>
      <w:r>
        <w:rPr>
          <w:rFonts w:ascii="Arial" w:cs="Arial" w:eastAsia="Arial" w:hAnsi="Arial"/>
          <w:b/>
          <w:bCs/>
          <w:color w:val="4A4A4A"/>
          <w:sz w:val="22"/>
          <w:szCs w:val="22"/>
        </w:rPr>
        <w:t xml:space="preserve">Tous les modèles from scratch : </w:t>
      </w:r>
      <w:r>
        <w:rPr>
          <w:rFonts w:ascii="Arial" w:cs="Arial" w:eastAsia="Arial" w:hAnsi="Arial"/>
          <w:color w:val="4A4A4A"/>
          <w:sz w:val="22"/>
          <w:szCs w:val="22"/>
        </w:rPr>
        <w:t xml:space="preserve">aucune bibliothèque de mortalité externe (pas de StMoMo, pas de lifetables). C’est un argument de compétence fort pour un CV.</w:t>
      </w:r>
    </w:p>
    <w:p>
      <w:pPr>
        <w:pStyle w:val="ListParagraph"/>
        <w:numPr>
          <w:ilvl w:val="0"/>
          <w:numId w:val="3"/>
        </w:numPr>
        <w:spacing w:after="80" w:line="276"/>
      </w:pPr>
      <w:r>
        <w:rPr>
          <w:rFonts w:ascii="Arial" w:cs="Arial" w:eastAsia="Arial" w:hAnsi="Arial"/>
          <w:b/>
          <w:bCs/>
          <w:color w:val="4A4A4A"/>
          <w:sz w:val="22"/>
          <w:szCs w:val="22"/>
        </w:rPr>
        <w:t xml:space="preserve">Même budget pour tous : </w:t>
      </w:r>
      <w:r>
        <w:rPr>
          <w:rFonts w:ascii="Arial" w:cs="Arial" w:eastAsia="Arial" w:hAnsi="Arial"/>
          <w:color w:val="4A4A4A"/>
          <w:sz w:val="22"/>
          <w:szCs w:val="22"/>
        </w:rPr>
        <w:t xml:space="preserve">les modèles neuronaux utilisent les mêmes hyperparamètres (200 époques, patience 20, lr=0.001) pour un benchmark équitable. Pas de tuning sélectif.</w:t>
      </w:r>
    </w:p>
    <w:p>
      <w:pPr>
        <w:pStyle w:val="ListParagraph"/>
        <w:numPr>
          <w:ilvl w:val="0"/>
          <w:numId w:val="3"/>
        </w:numPr>
        <w:spacing w:after="80" w:line="276"/>
      </w:pPr>
      <w:r>
        <w:rPr>
          <w:rFonts w:ascii="Arial" w:cs="Arial" w:eastAsia="Arial" w:hAnsi="Arial"/>
          <w:b/>
          <w:bCs/>
          <w:color w:val="4A4A4A"/>
          <w:sz w:val="22"/>
          <w:szCs w:val="22"/>
        </w:rPr>
        <w:t xml:space="preserve">Seeds fixées partout : </w:t>
      </w:r>
      <w:r>
        <w:rPr>
          <w:rFonts w:ascii="Arial" w:cs="Arial" w:eastAsia="Arial" w:hAnsi="Arial"/>
          <w:color w:val="4A4A4A"/>
          <w:sz w:val="22"/>
          <w:szCs w:val="22"/>
        </w:rPr>
        <w:t xml:space="preserve">seed=42 pour la reproductibilité. Les résultats sont déterministes.</w:t>
      </w:r>
    </w:p>
    <w:p>
      <w:pPr>
        <w:pStyle w:val="ListParagraph"/>
        <w:numPr>
          <w:ilvl w:val="0"/>
          <w:numId w:val="3"/>
        </w:numPr>
        <w:spacing w:after="80" w:line="276"/>
      </w:pPr>
      <w:r>
        <w:rPr>
          <w:rFonts w:ascii="Arial" w:cs="Arial" w:eastAsia="Arial" w:hAnsi="Arial"/>
          <w:b/>
          <w:bCs/>
          <w:color w:val="4A4A4A"/>
          <w:sz w:val="22"/>
          <w:szCs w:val="22"/>
        </w:rPr>
        <w:t xml:space="preserve">Mode quick : </w:t>
      </w:r>
      <w:r>
        <w:rPr>
          <w:rFonts w:ascii="Arial" w:cs="Arial" w:eastAsia="Arial" w:hAnsi="Arial"/>
          <w:color w:val="4A4A4A"/>
          <w:sz w:val="22"/>
          <w:szCs w:val="22"/>
        </w:rPr>
        <w:t xml:space="preserve">le flag --quick réduit le benchmark à 3 origines et des horizons courts, pour itérer rapidement (&lt;15 min vs plusieurs heures).</w:t>
      </w:r>
    </w:p>
    <w:p>
      <w:pPr>
        <w:pStyle w:val="Heading2"/>
        <w:spacing w:after="200" w:before="240"/>
      </w:pPr>
      <w:r>
        <w:rPr>
          <w:rFonts w:ascii="Arial" w:cs="Arial" w:eastAsia="Arial" w:hAnsi="Arial"/>
        </w:rPr>
        <w:t xml:space="preserve">8.3 Bugs trouvés et corrigés lors de l’audit</w:t>
      </w:r>
    </w:p>
    <w:p>
      <w:pPr>
        <w:spacing w:after="160" w:line="276"/>
        <w:jc w:val="both"/>
      </w:pPr>
      <w:r>
        <w:rPr>
          <w:rFonts w:ascii="Arial" w:cs="Arial" w:eastAsia="Arial" w:hAnsi="Arial"/>
          <w:b w:val="false"/>
          <w:bCs w:val="false"/>
          <w:i w:val="false"/>
          <w:iCs w:val="false"/>
          <w:color w:val="4A4A4A"/>
          <w:sz w:val="22"/>
          <w:szCs w:val="22"/>
        </w:rPr>
        <w:t xml:space="preserve">Le code a subi un audit complet qui a révélé 6 vrais bugs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Bug</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c>
          <w:tcPr>
            <w:tcW w:type="dxa" w:w="3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Correction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CBD crash dans l’évaluation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Zéro résultat pour le modèle des régulateurs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Attribut forecast_ages + alignement np.searchsorted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FFNN embeddings d’année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Prévisions bruitées (vecteurs non entraînés)</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Année comme feature continue normalisée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Diebold-Mariano naïf</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P-values anti-conservatrices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Correction HLN + Student-t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short_history_eval vide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Scénario « données courtes » manquant</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Placement correct de l’origine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Métriques actuarielles absurdes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e₀ sur grille 0–19 sans sens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Garde ages[-1] &gt;= 90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CNN sur historique court</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Crash quand lookback &gt;= n_years</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Lookback adaptatif (min)</w:t>
            </w:r>
          </w:p>
        </w:tc>
      </w:tr>
    </w:tbl>
    <w:p>
      <w:pPr>
        <w:pStyle w:val="Heading2"/>
        <w:spacing w:after="200" w:before="240"/>
      </w:pPr>
      <w:r>
        <w:rPr>
          <w:rFonts w:ascii="Arial" w:cs="Arial" w:eastAsia="Arial" w:hAnsi="Arial"/>
        </w:rPr>
        <w:t xml:space="preserve">8.4 Comment lancer le projet</w:t>
      </w:r>
    </w:p>
    <w:p>
      <w:pPr>
        <w:spacing w:after="160" w:line="276"/>
        <w:jc w:val="both"/>
      </w:pPr>
      <w:r>
        <w:rPr>
          <w:rFonts w:ascii="Arial" w:cs="Arial" w:eastAsia="Arial" w:hAnsi="Arial"/>
          <w:b w:val="false"/>
          <w:bCs w:val="false"/>
          <w:i w:val="false"/>
          <w:iCs w:val="false"/>
          <w:color w:val="4A4A4A"/>
          <w:sz w:val="22"/>
          <w:szCs w:val="22"/>
        </w:rPr>
        <w:t xml:space="preserve">Prérequis : Python 3.11+, pip, un compte mortality.org</w:t>
      </w:r>
    </w:p>
    <w:p>
      <w:pPr>
        <w:spacing w:after="80"/>
      </w:pPr>
    </w:p>
    <w:p>
      <w:pPr>
        <w:spacing w:after="120"/>
        <w:ind w:left="360"/>
      </w:pPr>
      <w:r>
        <w:rPr>
          <w:rFonts w:ascii="Consolas" w:cs="Consolas" w:eastAsia="Consolas" w:hAnsi="Consolas"/>
          <w:color w:val="333333"/>
          <w:sz w:val="18"/>
          <w:szCs w:val="18"/>
        </w:rPr>
        <w:t xml:space="preserve"># 1. Installer le package en mode développement</w:t>
      </w:r>
    </w:p>
    <w:p>
      <w:pPr>
        <w:spacing w:after="120"/>
        <w:ind w:left="360"/>
      </w:pPr>
      <w:r>
        <w:rPr>
          <w:rFonts w:ascii="Consolas" w:cs="Consolas" w:eastAsia="Consolas" w:hAnsi="Consolas"/>
          <w:color w:val="333333"/>
          <w:sz w:val="18"/>
          <w:szCs w:val="18"/>
        </w:rPr>
        <w:t xml:space="preserve">pip install -e ".[dev]"</w:t>
      </w:r>
    </w:p>
    <w:p>
      <w:pPr>
        <w:spacing w:after="80"/>
      </w:pPr>
    </w:p>
    <w:p>
      <w:pPr>
        <w:spacing w:after="120"/>
        <w:ind w:left="360"/>
      </w:pPr>
      <w:r>
        <w:rPr>
          <w:rFonts w:ascii="Consolas" w:cs="Consolas" w:eastAsia="Consolas" w:hAnsi="Consolas"/>
          <w:color w:val="333333"/>
          <w:sz w:val="18"/>
          <w:szCs w:val="18"/>
        </w:rPr>
        <w:t xml:space="preserve"># 2. Configurer les identifiants HMD</w:t>
      </w:r>
    </w:p>
    <w:p>
      <w:pPr>
        <w:spacing w:after="120"/>
        <w:ind w:left="360"/>
      </w:pPr>
      <w:r>
        <w:rPr>
          <w:rFonts w:ascii="Consolas" w:cs="Consolas" w:eastAsia="Consolas" w:hAnsi="Consolas"/>
          <w:color w:val="333333"/>
          <w:sz w:val="18"/>
          <w:szCs w:val="18"/>
        </w:rPr>
        <w:t xml:space="preserve"># Créer un fichier .env avec :</w:t>
      </w:r>
    </w:p>
    <w:p>
      <w:pPr>
        <w:spacing w:after="120"/>
        <w:ind w:left="360"/>
      </w:pPr>
      <w:r>
        <w:rPr>
          <w:rFonts w:ascii="Consolas" w:cs="Consolas" w:eastAsia="Consolas" w:hAnsi="Consolas"/>
          <w:color w:val="333333"/>
          <w:sz w:val="18"/>
          <w:szCs w:val="18"/>
        </w:rPr>
        <w:t xml:space="preserve">#   HMD_USERNAME=votre@email.com</w:t>
      </w:r>
    </w:p>
    <w:p>
      <w:pPr>
        <w:spacing w:after="120"/>
        <w:ind w:left="360"/>
      </w:pPr>
      <w:r>
        <w:rPr>
          <w:rFonts w:ascii="Consolas" w:cs="Consolas" w:eastAsia="Consolas" w:hAnsi="Consolas"/>
          <w:color w:val="333333"/>
          <w:sz w:val="18"/>
          <w:szCs w:val="18"/>
        </w:rPr>
        <w:t xml:space="preserve">#   HMD_PASSWORD=votre_mot_de_passe</w:t>
      </w:r>
    </w:p>
    <w:p>
      <w:pPr>
        <w:spacing w:after="80"/>
      </w:pPr>
    </w:p>
    <w:p>
      <w:pPr>
        <w:spacing w:after="120"/>
        <w:ind w:left="360"/>
      </w:pPr>
      <w:r>
        <w:rPr>
          <w:rFonts w:ascii="Consolas" w:cs="Consolas" w:eastAsia="Consolas" w:hAnsi="Consolas"/>
          <w:color w:val="333333"/>
          <w:sz w:val="18"/>
          <w:szCs w:val="18"/>
        </w:rPr>
        <w:t xml:space="preserve"># 3. Télécharger les données</w:t>
      </w:r>
    </w:p>
    <w:p>
      <w:pPr>
        <w:spacing w:after="120"/>
        <w:ind w:left="360"/>
      </w:pPr>
      <w:r>
        <w:rPr>
          <w:rFonts w:ascii="Consolas" w:cs="Consolas" w:eastAsia="Consolas" w:hAnsi="Consolas"/>
          <w:color w:val="333333"/>
          <w:sz w:val="18"/>
          <w:szCs w:val="18"/>
        </w:rPr>
        <w:t xml:space="preserve">python scripts/download_hmd.py</w:t>
      </w:r>
    </w:p>
    <w:p>
      <w:pPr>
        <w:spacing w:after="80"/>
      </w:pPr>
    </w:p>
    <w:p>
      <w:pPr>
        <w:spacing w:after="120"/>
        <w:ind w:left="360"/>
      </w:pPr>
      <w:r>
        <w:rPr>
          <w:rFonts w:ascii="Consolas" w:cs="Consolas" w:eastAsia="Consolas" w:hAnsi="Consolas"/>
          <w:color w:val="333333"/>
          <w:sz w:val="18"/>
          <w:szCs w:val="18"/>
        </w:rPr>
        <w:t xml:space="preserve"># 4. Lancer le benchmark (mode rapide)</w:t>
      </w:r>
    </w:p>
    <w:p>
      <w:pPr>
        <w:spacing w:after="120"/>
        <w:ind w:left="360"/>
      </w:pPr>
      <w:r>
        <w:rPr>
          <w:rFonts w:ascii="Consolas" w:cs="Consolas" w:eastAsia="Consolas" w:hAnsi="Consolas"/>
          <w:color w:val="333333"/>
          <w:sz w:val="18"/>
          <w:szCs w:val="18"/>
        </w:rPr>
        <w:t xml:space="preserve">python scripts/run_benchmark.py --countries FRATNP --quick</w:t>
      </w:r>
    </w:p>
    <w:p>
      <w:pPr>
        <w:spacing w:after="80"/>
      </w:pPr>
    </w:p>
    <w:p>
      <w:pPr>
        <w:spacing w:after="120"/>
        <w:ind w:left="360"/>
      </w:pPr>
      <w:r>
        <w:rPr>
          <w:rFonts w:ascii="Consolas" w:cs="Consolas" w:eastAsia="Consolas" w:hAnsi="Consolas"/>
          <w:color w:val="333333"/>
          <w:sz w:val="18"/>
          <w:szCs w:val="18"/>
        </w:rPr>
        <w:t xml:space="preserve"># 5. Lancer le benchmark complet (plusieurs heures)</w:t>
      </w:r>
    </w:p>
    <w:p>
      <w:pPr>
        <w:spacing w:after="120"/>
        <w:ind w:left="360"/>
      </w:pPr>
      <w:r>
        <w:rPr>
          <w:rFonts w:ascii="Consolas" w:cs="Consolas" w:eastAsia="Consolas" w:hAnsi="Consolas"/>
          <w:color w:val="333333"/>
          <w:sz w:val="18"/>
          <w:szCs w:val="18"/>
        </w:rPr>
        <w:t xml:space="preserve">python scripts/run_benchmark.py</w:t>
      </w:r>
    </w:p>
    <w:p>
      <w:pPr>
        <w:spacing w:after="80"/>
      </w:pPr>
    </w:p>
    <w:p>
      <w:pPr>
        <w:spacing w:after="120"/>
        <w:ind w:left="360"/>
      </w:pPr>
      <w:r>
        <w:rPr>
          <w:rFonts w:ascii="Consolas" w:cs="Consolas" w:eastAsia="Consolas" w:hAnsi="Consolas"/>
          <w:color w:val="333333"/>
          <w:sz w:val="18"/>
          <w:szCs w:val="18"/>
        </w:rPr>
        <w:t xml:space="preserve"># 6. Lancer le dashboard</w:t>
      </w:r>
    </w:p>
    <w:p>
      <w:pPr>
        <w:spacing w:after="120"/>
        <w:ind w:left="360"/>
      </w:pPr>
      <w:r>
        <w:rPr>
          <w:rFonts w:ascii="Consolas" w:cs="Consolas" w:eastAsia="Consolas" w:hAnsi="Consolas"/>
          <w:color w:val="333333"/>
          <w:sz w:val="18"/>
          <w:szCs w:val="18"/>
        </w:rPr>
        <w:t xml:space="preserve">streamlit run dashboard/app.py</w:t>
      </w:r>
    </w:p>
    <w:p>
      <w:pPr>
        <w:spacing w:after="80"/>
      </w:pPr>
    </w:p>
    <w:p>
      <w:pPr>
        <w:spacing w:after="120"/>
        <w:ind w:left="360"/>
      </w:pPr>
      <w:r>
        <w:rPr>
          <w:rFonts w:ascii="Consolas" w:cs="Consolas" w:eastAsia="Consolas" w:hAnsi="Consolas"/>
          <w:color w:val="333333"/>
          <w:sz w:val="18"/>
          <w:szCs w:val="18"/>
        </w:rPr>
        <w:t xml:space="preserve"># 7. Lancer les tests</w:t>
      </w:r>
    </w:p>
    <w:p>
      <w:pPr>
        <w:spacing w:after="120"/>
        <w:ind w:left="360"/>
      </w:pPr>
      <w:r>
        <w:rPr>
          <w:rFonts w:ascii="Consolas" w:cs="Consolas" w:eastAsia="Consolas" w:hAnsi="Consolas"/>
          <w:color w:val="333333"/>
          <w:sz w:val="18"/>
          <w:szCs w:val="18"/>
        </w:rPr>
        <w:t xml:space="preserve">pytest tests/ -v</w:t>
      </w:r>
    </w:p>
    <w:p>
      <w:pPr>
        <w:pStyle w:val="Heading2"/>
        <w:spacing w:after="200" w:before="240"/>
      </w:pPr>
      <w:r>
        <w:rPr>
          <w:rFonts w:ascii="Arial" w:cs="Arial" w:eastAsia="Arial" w:hAnsi="Arial"/>
        </w:rPr>
        <w:t xml:space="preserve">8.5 Stack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6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Python 3.11+</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Langage principal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NumPy / SciPy</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Algèbre linéaire (SVD, optimisation, interpolation)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Pandas</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Manipulation des résultats et tables de mortalité</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PyTorch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Modèles neuronaux (LSTM, GRU, Transformer, CNN, FFNN)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Statsmodels</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Modèles ARIMA pour Hyndman-Ullah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Matplotlib / Seaborn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Heatmaps, fan charts, figures du rapport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Streamlit</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Dashboard interactif déployable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pytest</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42 tests unitaires et d’intégration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ruff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Linter et formateur Python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GitHub Actions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CI : lint + tests à chaque push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YAML</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Configuration externalisée (pays, modèles, évaluation)</w:t>
            </w:r>
          </w:p>
        </w:tc>
      </w:tr>
    </w:tbl>
    <w:p>
      <w:pPr>
        <w:pStyle w:val="Heading2"/>
        <w:spacing w:after="200" w:before="240"/>
      </w:pPr>
      <w:r>
        <w:rPr>
          <w:rFonts w:ascii="Arial" w:cs="Arial" w:eastAsia="Arial" w:hAnsi="Arial"/>
        </w:rPr>
        <w:t xml:space="preserve">8.6 Compétences démontrées</w:t>
      </w:r>
    </w:p>
    <w:p>
      <w:pPr>
        <w:spacing w:after="160" w:line="276"/>
        <w:jc w:val="both"/>
      </w:pPr>
      <w:r>
        <w:rPr>
          <w:rFonts w:ascii="Arial" w:cs="Arial" w:eastAsia="Arial" w:hAnsi="Arial"/>
          <w:b w:val="false"/>
          <w:bCs w:val="false"/>
          <w:i w:val="false"/>
          <w:iCs w:val="false"/>
          <w:color w:val="4A4A4A"/>
          <w:sz w:val="22"/>
          <w:szCs w:val="22"/>
        </w:rPr>
        <w:t xml:space="preserve">Ce projet démontre les compétences suivantes, particulièrement recherchées pour les postes en actuariat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Compétence</w:t>
            </w:r>
          </w:p>
        </w:tc>
        <w:tc>
          <w:tcPr>
            <w:tcW w:type="dxa" w:w="5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Preuve dans le projet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Modélisation stochastique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 modèles de mortalité from scratch (LC, Poisson LC, CBD, HU...)</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Deep learning</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 architectures PyTorch (LSTM, GRU, BiLSTM, Transformer, FFNN, CNN)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Validation de modèles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Rolling-origin, Diebold-Mariano avec correction HLN, couverture des IC</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Risque de longévité</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Pricing rente ä₆₅, choc Solvabilité II, quantification du risque de modèle en EUR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Ingénierie logicielle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Architecture modulaire, 42 tests, CI GitHub Actions, config YAML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20"/>
                <w:szCs w:val="20"/>
              </w:rPr>
              <w:t xml:space="preserve">Communication</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Rapport FR, dashboard interactif, kit CV/LinkedIn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20"/>
                <w:szCs w:val="20"/>
              </w:rPr>
              <w:t xml:space="preserve">Recherche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Modèle hybride original (LC-ResNet) avec ablations documentées</w:t>
            </w:r>
          </w:p>
        </w:tc>
      </w:tr>
    </w:tbl>
    <w:p>
      <w:r>
        <w:br w:type="page"/>
      </w:r>
    </w:p>
    <w:p>
      <w:pPr>
        <w:pStyle w:val="Heading1"/>
        <w:spacing w:after="200" w:before="360"/>
      </w:pPr>
      <w:r>
        <w:rPr>
          <w:rFonts w:ascii="Arial" w:cs="Arial" w:eastAsia="Arial" w:hAnsi="Arial"/>
        </w:rPr>
        <w:t xml:space="preserve">9. Références bibliographiques</w:t>
      </w:r>
    </w:p>
    <w:p>
      <w:pPr>
        <w:pStyle w:val="ListParagraph"/>
        <w:numPr>
          <w:ilvl w:val="0"/>
          <w:numId w:val="2"/>
        </w:numPr>
        <w:spacing w:after="80" w:line="276"/>
      </w:pPr>
      <w:r>
        <w:rPr>
          <w:rFonts w:ascii="Arial" w:cs="Arial" w:eastAsia="Arial" w:hAnsi="Arial"/>
          <w:color w:val="4A4A4A"/>
          <w:sz w:val="22"/>
          <w:szCs w:val="22"/>
        </w:rPr>
        <w:t xml:space="preserve">Lee, R.D. &amp; Carter, L.R. (1992). Modeling and forecasting U.S. mortality. JASA, 87(419), 659–671.</w:t>
      </w:r>
    </w:p>
    <w:p>
      <w:pPr>
        <w:pStyle w:val="ListParagraph"/>
        <w:numPr>
          <w:ilvl w:val="0"/>
          <w:numId w:val="2"/>
        </w:numPr>
        <w:spacing w:after="80" w:line="276"/>
      </w:pPr>
      <w:r>
        <w:rPr>
          <w:rFonts w:ascii="Arial" w:cs="Arial" w:eastAsia="Arial" w:hAnsi="Arial"/>
          <w:color w:val="4A4A4A"/>
          <w:sz w:val="22"/>
          <w:szCs w:val="22"/>
        </w:rPr>
        <w:t xml:space="preserve">Lee, R.D. &amp; Miller, T. (2001). Evaluating the performance of the Lee-Carter method. Demography, 38(4), 537–549.</w:t>
      </w:r>
    </w:p>
    <w:p>
      <w:pPr>
        <w:pStyle w:val="ListParagraph"/>
        <w:numPr>
          <w:ilvl w:val="0"/>
          <w:numId w:val="2"/>
        </w:numPr>
        <w:spacing w:after="80" w:line="276"/>
      </w:pPr>
      <w:r>
        <w:rPr>
          <w:rFonts w:ascii="Arial" w:cs="Arial" w:eastAsia="Arial" w:hAnsi="Arial"/>
          <w:color w:val="4A4A4A"/>
          <w:sz w:val="22"/>
          <w:szCs w:val="22"/>
        </w:rPr>
        <w:t xml:space="preserve">Booth, H., Maindonald, J. &amp; Smith, L. (2002). Applying Lee-Carter under conditions of variable mortality decline. Population Studies, 56(3), 325–336.</w:t>
      </w:r>
    </w:p>
    <w:p>
      <w:pPr>
        <w:pStyle w:val="ListParagraph"/>
        <w:numPr>
          <w:ilvl w:val="0"/>
          <w:numId w:val="2"/>
        </w:numPr>
        <w:spacing w:after="80" w:line="276"/>
      </w:pPr>
      <w:r>
        <w:rPr>
          <w:rFonts w:ascii="Arial" w:cs="Arial" w:eastAsia="Arial" w:hAnsi="Arial"/>
          <w:color w:val="4A4A4A"/>
          <w:sz w:val="22"/>
          <w:szCs w:val="22"/>
        </w:rPr>
        <w:t xml:space="preserve">Brouhns, N., Denuit, M. &amp; Vermunt, J.K. (2002). A Poisson log-bilinear regression approach to the construction of projected lifetables. Insurance: Mathematics and Economics, 31(3), 373–393.</w:t>
      </w:r>
    </w:p>
    <w:p>
      <w:pPr>
        <w:pStyle w:val="ListParagraph"/>
        <w:numPr>
          <w:ilvl w:val="0"/>
          <w:numId w:val="2"/>
        </w:numPr>
        <w:spacing w:after="80" w:line="276"/>
      </w:pPr>
      <w:r>
        <w:rPr>
          <w:rFonts w:ascii="Arial" w:cs="Arial" w:eastAsia="Arial" w:hAnsi="Arial"/>
          <w:color w:val="4A4A4A"/>
          <w:sz w:val="22"/>
          <w:szCs w:val="22"/>
        </w:rPr>
        <w:t xml:space="preserve">Cairns, A.J., Blake, D. &amp; Dowd, K. (2006). A two-factor model for stochastic mortality. North American Actuarial Journal, 10(2), 1–22.</w:t>
      </w:r>
    </w:p>
    <w:p>
      <w:pPr>
        <w:pStyle w:val="ListParagraph"/>
        <w:numPr>
          <w:ilvl w:val="0"/>
          <w:numId w:val="2"/>
        </w:numPr>
        <w:spacing w:after="80" w:line="276"/>
      </w:pPr>
      <w:r>
        <w:rPr>
          <w:rFonts w:ascii="Arial" w:cs="Arial" w:eastAsia="Arial" w:hAnsi="Arial"/>
          <w:color w:val="4A4A4A"/>
          <w:sz w:val="22"/>
          <w:szCs w:val="22"/>
        </w:rPr>
        <w:t xml:space="preserve">Hyndman, R.J. &amp; Ullah, M.S. (2007). Robust forecasting of mortality and fertility rates. Computational Statistics &amp; Data Analysis, 51(10), 4942–4956.</w:t>
      </w:r>
    </w:p>
    <w:p>
      <w:pPr>
        <w:pStyle w:val="ListParagraph"/>
        <w:numPr>
          <w:ilvl w:val="0"/>
          <w:numId w:val="2"/>
        </w:numPr>
        <w:spacing w:after="80" w:line="276"/>
      </w:pPr>
      <w:r>
        <w:rPr>
          <w:rFonts w:ascii="Arial" w:cs="Arial" w:eastAsia="Arial" w:hAnsi="Arial"/>
          <w:color w:val="4A4A4A"/>
          <w:sz w:val="22"/>
          <w:szCs w:val="22"/>
        </w:rPr>
        <w:t xml:space="preserve">Harvey, D., Leybourne, S. &amp; Newbold, P. (1997). Testing the equality of prediction mean squared errors. International Journal of Forecasting, 13(2), 281–291.</w:t>
      </w:r>
    </w:p>
    <w:p>
      <w:pPr>
        <w:pStyle w:val="ListParagraph"/>
        <w:numPr>
          <w:ilvl w:val="0"/>
          <w:numId w:val="2"/>
        </w:numPr>
        <w:spacing w:after="80" w:line="276"/>
      </w:pPr>
      <w:r>
        <w:rPr>
          <w:rFonts w:ascii="Arial" w:cs="Arial" w:eastAsia="Arial" w:hAnsi="Arial"/>
          <w:color w:val="4A4A4A"/>
          <w:sz w:val="22"/>
          <w:szCs w:val="22"/>
        </w:rPr>
        <w:t xml:space="preserve">Richman, R. &amp; Wüthrich, M.V. (2019). A neural network extension of the Lee-Carter model to multiple populations. Annals of Actuarial Science, 15(2), 346–366.</w:t>
      </w:r>
    </w:p>
    <w:p>
      <w:pPr>
        <w:pStyle w:val="ListParagraph"/>
        <w:numPr>
          <w:ilvl w:val="0"/>
          <w:numId w:val="2"/>
        </w:numPr>
        <w:spacing w:after="80" w:line="276"/>
      </w:pPr>
      <w:r>
        <w:rPr>
          <w:rFonts w:ascii="Arial" w:cs="Arial" w:eastAsia="Arial" w:hAnsi="Arial"/>
          <w:color w:val="4A4A4A"/>
          <w:sz w:val="22"/>
          <w:szCs w:val="22"/>
        </w:rPr>
        <w:t xml:space="preserve">Perla, F., Richman, R., Scognamiglio, S. &amp; Wüthrich, M.V. (2021). A brief review of deep learning methods in mortality forecasting. Annals of Actuarial Science, 18(1), 72–95.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i/>
        <w:iCs/>
        <w:color w:val="2E75B6"/>
        <w:sz w:val="16"/>
        <w:szCs w:val="16"/>
      </w:rPr>
      <w:t xml:space="preserve">Documentation Projet — Neural Mortality Benchmark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4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2026-07-05T12:45:46.885Z</dcterms:created>
  <dcterms:modified xsi:type="dcterms:W3CDTF">2026-07-05T12:45:46.886Z</dcterms:modified>
</cp:coreProperties>
</file>

<file path=docProps/custom.xml><?xml version="1.0" encoding="utf-8"?>
<Properties xmlns="http://schemas.openxmlformats.org/officeDocument/2006/custom-properties" xmlns:vt="http://schemas.openxmlformats.org/officeDocument/2006/docPropsVTypes"/>
</file>