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Benchmark de modèles de mortalité classiques et neuronaux</w:t>
      </w:r>
    </w:p>
    <w:p>
      <w:pPr>
        <w:pStyle w:val="ReportSubtitle"/>
      </w:pPr>
      <w:r>
        <w:t>Amine Manai  •  Rapport technique  •  Juillet 2026</w:t>
      </w:r>
    </w:p>
    <w:p>
      <w:pPr>
        <w:pStyle w:val="Heading1"/>
      </w:pPr>
      <w:r>
        <w:t>Résumé exécutif</w:t>
      </w:r>
    </w:p>
    <w:p>
      <w:r>
        <w:t>Ce projet compare 14 implémentations de prévision de mortalité sur huit populations de la Human Mortality Database (HMD) : cinq modèles statistiques structurés, deux baselines simples, six architectures neuronales et un modèle hybride proposé, LC-ResNet. Les données couvrent les âges 0 à 100 et, selon le pays, les années 1950 à 2023.</w:t>
      </w:r>
    </w:p>
    <w:p>
      <w:r>
        <w:t xml:space="preserve">Le protocole utilise une validation rolling-origin aux horizons 1, 5, 10 et 20 ans. Un résultat à l’horizon </w:t>
      </w:r>
      <w:r>
        <w:rPr>
          <w:rFonts w:ascii="Consolas" w:hAnsi="Consolas"/>
          <w:sz w:val="19"/>
        </w:rPr>
        <w:t>h</w:t>
      </w:r>
      <w:r>
        <w:t xml:space="preserve"> mesure l’erreur sur toute la trajectoire allant de l’année 1 à l’année </w:t>
      </w:r>
      <w:r>
        <w:rPr>
          <w:rFonts w:ascii="Consolas" w:hAnsi="Consolas"/>
          <w:sz w:val="19"/>
        </w:rPr>
        <w:t>h</w:t>
      </w:r>
      <w:r>
        <w:t xml:space="preserve">, et non uniquement sur l’année terminale. Les critères sont l’erreur sur </w:t>
      </w:r>
      <w:r>
        <w:rPr>
          <w:rFonts w:ascii="Consolas" w:hAnsi="Consolas"/>
          <w:sz w:val="19"/>
        </w:rPr>
        <w:t>log(mx)</w:t>
      </w:r>
      <w:r>
        <w:t>, l’espérance de vie à la naissance et la valeur d’une rente à 65 ans. Les deux critères actuariels sont tronqués à l’âge 100.</w:t>
      </w:r>
    </w:p>
    <w:p>
      <w:r>
        <w:t>Les principaux résultats sont les suivants :</w:t>
      </w:r>
    </w:p>
    <w:p>
      <w:pPr>
        <w:pStyle w:val="ListBullet"/>
      </w:pPr>
      <w:r>
        <w:t xml:space="preserve">la marche aléatoire avec dérive par âge obtient la meilleure précision sur </w:t>
      </w:r>
      <w:r>
        <w:rPr>
          <w:rFonts w:ascii="Consolas" w:hAnsi="Consolas"/>
          <w:sz w:val="19"/>
        </w:rPr>
        <w:t>log(mx)</w:t>
      </w:r>
      <w:r>
        <w:t xml:space="preserve"> à tous les horizons ;</w:t>
      </w:r>
    </w:p>
    <w:p>
      <w:pPr>
        <w:pStyle w:val="ListBullet"/>
      </w:pPr>
      <w:r>
        <w:t>LC-ResNet est le meilleur modèle structuré à un an, mais Lee-Miller le dépasse à 20 ans ;</w:t>
      </w:r>
    </w:p>
    <w:p>
      <w:pPr>
        <w:pStyle w:val="ListBullet"/>
      </w:pPr>
      <w:r>
        <w:t>le modèle fonctionnel H-U obtient la plus faible erreur sur l’espérance de vie à 20 ans ;</w:t>
      </w:r>
    </w:p>
    <w:p>
      <w:pPr>
        <w:pStyle w:val="ListBullet"/>
      </w:pPr>
      <w:r>
        <w:t>le FFNN obtient la plus faible erreur sur la valeur de rente à 20 ans ;</w:t>
      </w:r>
    </w:p>
    <w:p>
      <w:pPr>
        <w:pStyle w:val="ListBullet"/>
      </w:pPr>
      <w:r>
        <w:t>les taux gelés sont les plus robustes dans le test COVID cumulé 2020–2022 et avec seulement 20 ans d’historique ;</w:t>
      </w:r>
    </w:p>
    <w:p>
      <w:pPr>
        <w:pStyle w:val="ListBullet"/>
      </w:pPr>
      <w:r>
        <w:t>dans l’étude de cas française, l’écart de provision entre cinq modèles atteint 6,26 M€, dont 1,22 M€ entre les quatre modèles couvrant tous les âges.</w:t>
      </w:r>
    </w:p>
    <w:p>
      <w:r>
        <w:t>Ces résultats sont propres au jeu de données, au protocole et aux fonctions de perte retenues. Ils ne constituent pas un classement universel des modèles.</w:t>
      </w:r>
    </w:p>
    <w:p>
      <w:pPr>
        <w:pStyle w:val="Heading1"/>
      </w:pPr>
      <w:r>
        <w:t>1. Contexte actuariel</w:t>
      </w:r>
    </w:p>
    <w:p>
      <w:r>
        <w:t>Le risque de longévité correspond au risque que les assurés vivent plus longtemps que prévu. Il affecte directement les provisions de rentes et le capital de solvabilité. Dans la formule standard de Solvabilité II, le choc de longévité est une baisse instantanée et permanente de 20 % des taux de mortalité.</w:t>
      </w:r>
    </w:p>
    <w:p>
      <w:r>
        <w:t>La difficulté pratique n’est donc pas seulement de prévoir correctement les taux de décès. Il faut aussi vérifier que les erreurs résiduelles n’entraînent pas un biais matériel sur les quantités utilisées en actuariat : espérance de vie, valeur de rente et besoin en capital.</w:t>
      </w:r>
    </w:p>
    <w:p>
      <w:pPr>
        <w:pStyle w:val="Heading1"/>
      </w:pPr>
      <w:r>
        <w:t>2. Données</w:t>
      </w:r>
    </w:p>
    <w:p>
      <w:r>
        <w:t xml:space="preserve">Le benchmark utilise les taux centraux de mortalité </w:t>
      </w:r>
      <w:r>
        <w:rPr>
          <w:rFonts w:ascii="Consolas" w:hAnsi="Consolas"/>
          <w:sz w:val="19"/>
        </w:rPr>
        <w:t>mx</w:t>
      </w:r>
      <w:r>
        <w:t xml:space="preserve">, les expositions et les décès de la HMD pour la France, l’Angleterre et le Pays de Galles, les États-Unis, le Japon, l’Italie, l’Espagne, la Suède et les Pays-Bas. La population totale est utilisée. Les taux nuls ou manquants sont remplacés par un plancher de </w:t>
      </w:r>
      <w:r>
        <w:rPr>
          <w:rFonts w:ascii="Consolas" w:hAnsi="Consolas"/>
          <w:sz w:val="19"/>
        </w:rPr>
        <w:t>10^-6</w:t>
      </w:r>
      <w:r>
        <w:t xml:space="preserve"> avant le passage au logarithme. Les années terminales absentes ne sont pas imputées.</w:t>
      </w:r>
    </w:p>
    <w:p>
      <w:r>
        <w:t>La HMD autorise l’utilisation de ses données après inscription, mais leur redistribution n’est pas permise. Le dépôt contient donc le code de téléchargement et de traitement, mais pas les fichiers HMD bruts.</w:t>
      </w:r>
    </w:p>
    <w:p>
      <w:pPr>
        <w:pStyle w:val="Heading1"/>
      </w:pPr>
      <w:r>
        <w:t>3. Modèles comparés</w:t>
      </w:r>
    </w:p>
    <w:p>
      <w:pPr>
        <w:pStyle w:val="Heading2"/>
      </w:pPr>
      <w:r>
        <w:t>3.1 Modèles structurés et baselines</w:t>
      </w:r>
    </w:p>
    <w:p>
      <w:pPr>
        <w:pStyle w:val="ListNumber"/>
      </w:pPr>
      <w:r>
        <w:t>Lee-Carter par SVD, avec marche aléatoire avec dérive sur l’indice temporel.</w:t>
      </w:r>
    </w:p>
    <w:p>
      <w:pPr>
        <w:pStyle w:val="ListNumber"/>
      </w:pPr>
      <w:r>
        <w:t>Lee-Miller, avec ajustement de l’indice sur l’espérance de vie observée.</w:t>
      </w:r>
    </w:p>
    <w:p>
      <w:pPr>
        <w:pStyle w:val="ListNumber"/>
      </w:pPr>
      <w:r>
        <w:t>Lee-Carter Poisson, estimé à partir des décès et des expositions.</w:t>
      </w:r>
    </w:p>
    <w:p>
      <w:pPr>
        <w:pStyle w:val="ListNumber"/>
      </w:pPr>
      <w:r>
        <w:t>CBD, modèle à deux facteurs limité aux âges 60–100.</w:t>
      </w:r>
    </w:p>
    <w:p>
      <w:pPr>
        <w:pStyle w:val="ListNumber"/>
      </w:pPr>
      <w:r>
        <w:t>Modèle fonctionnel de style Hyndman-Ullah : lissage par splines, six composantes fonctionnelles et marches aléatoires avec dérive sur les scores. Il s’agit d’une version simplifiée de la procédure H-U complète.</w:t>
      </w:r>
    </w:p>
    <w:p>
      <w:pPr>
        <w:pStyle w:val="ListNumber"/>
      </w:pPr>
      <w:r>
        <w:t>Marche aléatoire avec dérive, séparément pour chaque âge.</w:t>
      </w:r>
    </w:p>
    <w:p>
      <w:pPr>
        <w:pStyle w:val="ListNumber"/>
      </w:pPr>
      <w:r>
        <w:t>Taux gelés au dernier niveau observé.</w:t>
      </w:r>
    </w:p>
    <w:p>
      <w:pPr>
        <w:pStyle w:val="Heading2"/>
      </w:pPr>
      <w:r>
        <w:t>3.2 Modèles neuronaux</w:t>
      </w:r>
    </w:p>
    <w:p>
      <w:r>
        <w:t xml:space="preserve">Les six modèles PyTorch utilisent un budget commun : 200 époques au maximum, early stopping de patience 20, Adam, taux d’apprentissage </w:t>
      </w:r>
      <w:r>
        <w:rPr>
          <w:rFonts w:ascii="Consolas" w:hAnsi="Consolas"/>
          <w:sz w:val="19"/>
        </w:rPr>
        <w:t>10^-3</w:t>
      </w:r>
      <w:r>
        <w:t xml:space="preserve">, pénalisation </w:t>
      </w:r>
      <w:r>
        <w:rPr>
          <w:rFonts w:ascii="Consolas" w:hAnsi="Consolas"/>
          <w:sz w:val="19"/>
        </w:rPr>
        <w:t>10^-4</w:t>
      </w:r>
      <w:r>
        <w:t xml:space="preserve"> et seed 42.</w:t>
      </w:r>
    </w:p>
    <w:p>
      <w:pPr>
        <w:pStyle w:val="ListBullet"/>
      </w:pPr>
      <w:r>
        <w:t>LSTM, GRU, Bi-LSTM et Transformer prédisent l’indice temporel de Lee-Carter à partir de 20 années d’historique.</w:t>
      </w:r>
    </w:p>
    <w:p>
      <w:pPr>
        <w:pStyle w:val="ListBullet"/>
      </w:pPr>
      <w:r>
        <w:t>Le FFNN combine un embedding d’âge et une variable temporelle continue.</w:t>
      </w:r>
    </w:p>
    <w:p>
      <w:pPr>
        <w:pStyle w:val="ListBullet"/>
      </w:pPr>
      <w:r>
        <w:t>Le CNN traite la surface âge–année comme une image et produit les profils futurs de manière récursive.</w:t>
      </w:r>
    </w:p>
    <w:p>
      <w:pPr>
        <w:pStyle w:val="Heading2"/>
      </w:pPr>
      <w:r>
        <w:t>3.3 LC-ResNet</w:t>
      </w:r>
    </w:p>
    <w:p>
      <w:r>
        <w:t xml:space="preserve">LC-ResNet ajuste d’abord un Lee-Carter Poisson, puis apprend les résidus avec un MLP 64–32 à partir de l’âge, de l’année, de </w:t>
      </w:r>
      <w:r>
        <w:rPr>
          <w:rFonts w:ascii="Consolas" w:hAnsi="Consolas"/>
          <w:sz w:val="19"/>
        </w:rPr>
        <w:t>bx</w:t>
      </w:r>
      <w:r>
        <w:t xml:space="preserve"> et de </w:t>
      </w:r>
      <w:r>
        <w:rPr>
          <w:rFonts w:ascii="Consolas" w:hAnsi="Consolas"/>
          <w:sz w:val="19"/>
        </w:rPr>
        <w:t>kt</w:t>
      </w:r>
      <w:r>
        <w:t xml:space="preserve"> normalisés. La correction neuronale est multipliée par </w:t>
      </w:r>
      <w:r>
        <w:rPr>
          <w:rFonts w:ascii="Consolas" w:hAnsi="Consolas"/>
          <w:sz w:val="19"/>
        </w:rPr>
        <w:t>exp(-0,1 h)</w:t>
      </w:r>
      <w:r>
        <w:t>. Son poids vaut environ 0,90 à un an et 0,14 à 20 ans.</w:t>
      </w:r>
    </w:p>
    <w:p>
      <w:r>
        <w:t>Le squelette Lee-Carter reste transparent, mais la correction neuronale demeure opaque. Le modèle est donc partiellement interprétable, pas totalement interprétable.</w:t>
      </w:r>
    </w:p>
    <w:p>
      <w:pPr>
        <w:pStyle w:val="Heading1"/>
      </w:pPr>
      <w:r>
        <w:t>4. Protocole d’évaluation</w:t>
      </w:r>
    </w:p>
    <w:p>
      <w:r>
        <w:t>Pour chaque origine 1990, 1992, …, 2018, le modèle est réajusté sur les observations disponibles puis évalué aux horizons 1, 5, 10 et 20 ans lorsque la vérité est disponible. Les résultats agrégés sont des moyennes non pondérées des RMSE par couple pays–origine valide.</w:t>
      </w:r>
    </w:p>
    <w:p>
      <w:r>
        <w:t>Les scénarios complémentaires sont :</w:t>
      </w:r>
    </w:p>
    <w:p>
      <w:pPr>
        <w:pStyle w:val="ListBullet"/>
      </w:pPr>
      <w:r>
        <w:t>historique court : une origine par pays, 10 années laissées pour l’évaluation, fenêtres d’apprentissage de 20, 30 et 50 ans ;</w:t>
      </w:r>
    </w:p>
    <w:p>
      <w:pPr>
        <w:pStyle w:val="ListBullet"/>
      </w:pPr>
      <w:r>
        <w:t>choc COVID : entraînement jusqu’en 2019, puis erreurs cumulées sur 2020, 2020–2021 et 2020–2022 ;</w:t>
      </w:r>
    </w:p>
    <w:p>
      <w:pPr>
        <w:pStyle w:val="ListBullet"/>
      </w:pPr>
      <w:r>
        <w:t>groupes d’âges : réajustement séparé de chaque modèle sur 0–19, 20–64 et 65–100 ans.</w:t>
      </w:r>
    </w:p>
    <w:p>
      <w:r>
        <w:t>Le benchmark enregistré contient 27 312 lignes pour 14 implémentations. Il mesure la précision ponctuelle ; il ne produit ni test de Diebold-Mariano publié, ni couverture d’intervalles prédictifs.</w:t>
      </w:r>
    </w:p>
    <w:p>
      <w:pPr>
        <w:pStyle w:val="Heading1"/>
      </w:pPr>
      <w:r>
        <w:t>5. Résultats</w:t>
      </w:r>
    </w:p>
    <w:p>
      <w:pPr>
        <w:pStyle w:val="Heading2"/>
      </w:pPr>
      <w:r>
        <w:t>5.1 RMSE sur log(mx)</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800"/>
        <w:gridCol w:w="1640"/>
        <w:gridCol w:w="1640"/>
        <w:gridCol w:w="1640"/>
        <w:gridCol w:w="1640"/>
      </w:tblGrid>
      <w:tr>
        <w:trPr>
          <w:tblHeader w:val="true"/>
        </w:trPr>
        <w:tc>
          <w:tcPr>
            <w:tcW w:type="dxa" w:w="2800"/>
            <w:vAlign w:val="center"/>
            <w:shd w:fill="F4F6F9"/>
          </w:tcPr>
          <w:p>
            <w:pPr>
              <w:spacing w:after="0" w:line="240" w:lineRule="auto"/>
            </w:pPr>
            <w:r>
              <w:rPr>
                <w:rFonts w:ascii="Calibri" w:hAnsi="Calibri"/>
                <w:b/>
                <w:color w:val="0B2545"/>
                <w:sz w:val="18"/>
              </w:rPr>
            </w:r>
            <w:r>
              <w:rPr>
                <w:rFonts w:ascii="Calibri" w:hAnsi="Calibri"/>
                <w:b/>
                <w:color w:val="0B2545"/>
                <w:sz w:val="18"/>
              </w:rPr>
              <w:t>Modèle</w:t>
            </w:r>
          </w:p>
        </w:tc>
        <w:tc>
          <w:tcPr>
            <w:tcW w:type="dxa" w:w="1640"/>
            <w:vAlign w:val="center"/>
            <w:shd w:fill="F4F6F9"/>
          </w:tcPr>
          <w:p>
            <w:pPr>
              <w:spacing w:after="0" w:line="240" w:lineRule="auto"/>
            </w:pPr>
            <w:r>
              <w:rPr>
                <w:rFonts w:ascii="Calibri" w:hAnsi="Calibri"/>
                <w:b/>
                <w:color w:val="0B2545"/>
                <w:sz w:val="18"/>
              </w:rPr>
            </w:r>
            <w:r>
              <w:rPr>
                <w:rFonts w:ascii="Calibri" w:hAnsi="Calibri"/>
                <w:b/>
                <w:color w:val="0B2545"/>
                <w:sz w:val="18"/>
              </w:rPr>
              <w:t>h=1</w:t>
            </w:r>
          </w:p>
        </w:tc>
        <w:tc>
          <w:tcPr>
            <w:tcW w:type="dxa" w:w="1640"/>
            <w:vAlign w:val="center"/>
            <w:shd w:fill="F4F6F9"/>
          </w:tcPr>
          <w:p>
            <w:pPr>
              <w:spacing w:after="0" w:line="240" w:lineRule="auto"/>
            </w:pPr>
            <w:r>
              <w:rPr>
                <w:rFonts w:ascii="Calibri" w:hAnsi="Calibri"/>
                <w:b/>
                <w:color w:val="0B2545"/>
                <w:sz w:val="18"/>
              </w:rPr>
            </w:r>
            <w:r>
              <w:rPr>
                <w:rFonts w:ascii="Calibri" w:hAnsi="Calibri"/>
                <w:b/>
                <w:color w:val="0B2545"/>
                <w:sz w:val="18"/>
              </w:rPr>
              <w:t>h=5</w:t>
            </w:r>
          </w:p>
        </w:tc>
        <w:tc>
          <w:tcPr>
            <w:tcW w:type="dxa" w:w="1640"/>
            <w:vAlign w:val="center"/>
            <w:shd w:fill="F4F6F9"/>
          </w:tcPr>
          <w:p>
            <w:pPr>
              <w:spacing w:after="0" w:line="240" w:lineRule="auto"/>
            </w:pPr>
            <w:r>
              <w:rPr>
                <w:rFonts w:ascii="Calibri" w:hAnsi="Calibri"/>
                <w:b/>
                <w:color w:val="0B2545"/>
                <w:sz w:val="18"/>
              </w:rPr>
            </w:r>
            <w:r>
              <w:rPr>
                <w:rFonts w:ascii="Calibri" w:hAnsi="Calibri"/>
                <w:b/>
                <w:color w:val="0B2545"/>
                <w:sz w:val="18"/>
              </w:rPr>
              <w:t>h=10</w:t>
            </w:r>
          </w:p>
        </w:tc>
        <w:tc>
          <w:tcPr>
            <w:tcW w:type="dxa" w:w="1640"/>
            <w:vAlign w:val="center"/>
            <w:shd w:fill="F4F6F9"/>
          </w:tcPr>
          <w:p>
            <w:pPr>
              <w:spacing w:after="0" w:line="240" w:lineRule="auto"/>
            </w:pPr>
            <w:r>
              <w:rPr>
                <w:rFonts w:ascii="Calibri" w:hAnsi="Calibri"/>
                <w:b/>
                <w:color w:val="0B2545"/>
                <w:sz w:val="18"/>
              </w:rPr>
            </w:r>
            <w:r>
              <w:rPr>
                <w:rFonts w:ascii="Calibri" w:hAnsi="Calibri"/>
                <w:b/>
                <w:color w:val="0B2545"/>
                <w:sz w:val="18"/>
              </w:rPr>
              <w:t>h=20</w:t>
            </w:r>
          </w:p>
        </w:tc>
      </w:tr>
      <w:tr>
        <w:tc>
          <w:tcPr>
            <w:tcW w:type="dxa" w:w="2800"/>
            <w:vAlign w:val="center"/>
          </w:tcPr>
          <w:p>
            <w:pPr>
              <w:spacing w:after="0" w:line="240" w:lineRule="auto"/>
            </w:pPr>
            <w:r>
              <w:rPr>
                <w:rFonts w:ascii="Calibri" w:hAnsi="Calibri"/>
                <w:sz w:val="18"/>
              </w:rPr>
            </w:r>
            <w:r>
              <w:rPr>
                <w:rFonts w:ascii="Calibri" w:hAnsi="Calibri"/>
                <w:sz w:val="18"/>
              </w:rPr>
              <w:t>Marche aléatoire</w:t>
            </w:r>
          </w:p>
        </w:tc>
        <w:tc>
          <w:tcPr>
            <w:tcW w:type="dxa" w:w="1640"/>
            <w:vAlign w:val="center"/>
          </w:tcPr>
          <w:p>
            <w:pPr>
              <w:spacing w:after="0" w:line="240" w:lineRule="auto"/>
            </w:pPr>
            <w:r>
              <w:rPr>
                <w:rFonts w:ascii="Calibri" w:hAnsi="Calibri"/>
                <w:sz w:val="18"/>
              </w:rPr>
            </w:r>
            <w:r>
              <w:rPr>
                <w:rFonts w:ascii="Calibri" w:hAnsi="Calibri"/>
                <w:sz w:val="18"/>
              </w:rPr>
              <w:t>0,100</w:t>
            </w:r>
          </w:p>
        </w:tc>
        <w:tc>
          <w:tcPr>
            <w:tcW w:type="dxa" w:w="1640"/>
            <w:vAlign w:val="center"/>
          </w:tcPr>
          <w:p>
            <w:pPr>
              <w:spacing w:after="0" w:line="240" w:lineRule="auto"/>
            </w:pPr>
            <w:r>
              <w:rPr>
                <w:rFonts w:ascii="Calibri" w:hAnsi="Calibri"/>
                <w:sz w:val="18"/>
              </w:rPr>
            </w:r>
            <w:r>
              <w:rPr>
                <w:rFonts w:ascii="Calibri" w:hAnsi="Calibri"/>
                <w:sz w:val="18"/>
              </w:rPr>
              <w:t>0,124</w:t>
            </w:r>
          </w:p>
        </w:tc>
        <w:tc>
          <w:tcPr>
            <w:tcW w:type="dxa" w:w="1640"/>
            <w:vAlign w:val="center"/>
          </w:tcPr>
          <w:p>
            <w:pPr>
              <w:spacing w:after="0" w:line="240" w:lineRule="auto"/>
            </w:pPr>
            <w:r>
              <w:rPr>
                <w:rFonts w:ascii="Calibri" w:hAnsi="Calibri"/>
                <w:sz w:val="18"/>
              </w:rPr>
            </w:r>
            <w:r>
              <w:rPr>
                <w:rFonts w:ascii="Calibri" w:hAnsi="Calibri"/>
                <w:sz w:val="18"/>
              </w:rPr>
              <w:t>0,146</w:t>
            </w:r>
          </w:p>
        </w:tc>
        <w:tc>
          <w:tcPr>
            <w:tcW w:type="dxa" w:w="1640"/>
            <w:vAlign w:val="center"/>
          </w:tcPr>
          <w:p>
            <w:pPr>
              <w:spacing w:after="0" w:line="240" w:lineRule="auto"/>
            </w:pPr>
            <w:r>
              <w:rPr>
                <w:rFonts w:ascii="Calibri" w:hAnsi="Calibri"/>
                <w:sz w:val="18"/>
              </w:rPr>
            </w:r>
            <w:r>
              <w:rPr>
                <w:rFonts w:ascii="Calibri" w:hAnsi="Calibri"/>
                <w:sz w:val="18"/>
              </w:rPr>
              <w:t>0,203</w:t>
            </w:r>
          </w:p>
        </w:tc>
      </w:tr>
      <w:tr>
        <w:tc>
          <w:tcPr>
            <w:tcW w:type="dxa" w:w="2800"/>
            <w:vAlign w:val="center"/>
          </w:tcPr>
          <w:p>
            <w:pPr>
              <w:spacing w:after="0" w:line="240" w:lineRule="auto"/>
            </w:pPr>
            <w:r>
              <w:rPr>
                <w:rFonts w:ascii="Calibri" w:hAnsi="Calibri"/>
                <w:sz w:val="18"/>
              </w:rPr>
            </w:r>
            <w:r>
              <w:rPr>
                <w:rFonts w:ascii="Calibri" w:hAnsi="Calibri"/>
                <w:sz w:val="18"/>
              </w:rPr>
              <w:t>Taux gelés</w:t>
            </w:r>
          </w:p>
        </w:tc>
        <w:tc>
          <w:tcPr>
            <w:tcW w:type="dxa" w:w="1640"/>
            <w:vAlign w:val="center"/>
          </w:tcPr>
          <w:p>
            <w:pPr>
              <w:spacing w:after="0" w:line="240" w:lineRule="auto"/>
            </w:pPr>
            <w:r>
              <w:rPr>
                <w:rFonts w:ascii="Calibri" w:hAnsi="Calibri"/>
                <w:sz w:val="18"/>
              </w:rPr>
            </w:r>
            <w:r>
              <w:rPr>
                <w:rFonts w:ascii="Calibri" w:hAnsi="Calibri"/>
                <w:sz w:val="18"/>
              </w:rPr>
              <w:t>0,100</w:t>
            </w:r>
          </w:p>
        </w:tc>
        <w:tc>
          <w:tcPr>
            <w:tcW w:type="dxa" w:w="1640"/>
            <w:vAlign w:val="center"/>
          </w:tcPr>
          <w:p>
            <w:pPr>
              <w:spacing w:after="0" w:line="240" w:lineRule="auto"/>
            </w:pPr>
            <w:r>
              <w:rPr>
                <w:rFonts w:ascii="Calibri" w:hAnsi="Calibri"/>
                <w:sz w:val="18"/>
              </w:rPr>
            </w:r>
            <w:r>
              <w:rPr>
                <w:rFonts w:ascii="Calibri" w:hAnsi="Calibri"/>
                <w:sz w:val="18"/>
              </w:rPr>
              <w:t>0,133</w:t>
            </w:r>
          </w:p>
        </w:tc>
        <w:tc>
          <w:tcPr>
            <w:tcW w:type="dxa" w:w="1640"/>
            <w:vAlign w:val="center"/>
          </w:tcPr>
          <w:p>
            <w:pPr>
              <w:spacing w:after="0" w:line="240" w:lineRule="auto"/>
            </w:pPr>
            <w:r>
              <w:rPr>
                <w:rFonts w:ascii="Calibri" w:hAnsi="Calibri"/>
                <w:sz w:val="18"/>
              </w:rPr>
            </w:r>
            <w:r>
              <w:rPr>
                <w:rFonts w:ascii="Calibri" w:hAnsi="Calibri"/>
                <w:sz w:val="18"/>
              </w:rPr>
              <w:t>0,186</w:t>
            </w:r>
          </w:p>
        </w:tc>
        <w:tc>
          <w:tcPr>
            <w:tcW w:type="dxa" w:w="1640"/>
            <w:vAlign w:val="center"/>
          </w:tcPr>
          <w:p>
            <w:pPr>
              <w:spacing w:after="0" w:line="240" w:lineRule="auto"/>
            </w:pPr>
            <w:r>
              <w:rPr>
                <w:rFonts w:ascii="Calibri" w:hAnsi="Calibri"/>
                <w:sz w:val="18"/>
              </w:rPr>
            </w:r>
            <w:r>
              <w:rPr>
                <w:rFonts w:ascii="Calibri" w:hAnsi="Calibri"/>
                <w:sz w:val="18"/>
              </w:rPr>
              <w:t>0,314</w:t>
            </w:r>
          </w:p>
        </w:tc>
      </w:tr>
      <w:tr>
        <w:tc>
          <w:tcPr>
            <w:tcW w:type="dxa" w:w="2800"/>
            <w:vAlign w:val="center"/>
          </w:tcPr>
          <w:p>
            <w:pPr>
              <w:spacing w:after="0" w:line="240" w:lineRule="auto"/>
            </w:pPr>
            <w:r>
              <w:rPr>
                <w:rFonts w:ascii="Calibri" w:hAnsi="Calibri"/>
                <w:sz w:val="18"/>
              </w:rPr>
            </w:r>
            <w:r>
              <w:rPr>
                <w:rFonts w:ascii="Calibri" w:hAnsi="Calibri"/>
                <w:sz w:val="18"/>
              </w:rPr>
              <w:t>LC-ResNet</w:t>
            </w:r>
          </w:p>
        </w:tc>
        <w:tc>
          <w:tcPr>
            <w:tcW w:type="dxa" w:w="1640"/>
            <w:vAlign w:val="center"/>
          </w:tcPr>
          <w:p>
            <w:pPr>
              <w:spacing w:after="0" w:line="240" w:lineRule="auto"/>
            </w:pPr>
            <w:r>
              <w:rPr>
                <w:rFonts w:ascii="Calibri" w:hAnsi="Calibri"/>
                <w:sz w:val="18"/>
              </w:rPr>
            </w:r>
            <w:r>
              <w:rPr>
                <w:rFonts w:ascii="Calibri" w:hAnsi="Calibri"/>
                <w:sz w:val="18"/>
              </w:rPr>
              <w:t>0,120</w:t>
            </w:r>
          </w:p>
        </w:tc>
        <w:tc>
          <w:tcPr>
            <w:tcW w:type="dxa" w:w="1640"/>
            <w:vAlign w:val="center"/>
          </w:tcPr>
          <w:p>
            <w:pPr>
              <w:spacing w:after="0" w:line="240" w:lineRule="auto"/>
            </w:pPr>
            <w:r>
              <w:rPr>
                <w:rFonts w:ascii="Calibri" w:hAnsi="Calibri"/>
                <w:sz w:val="18"/>
              </w:rPr>
            </w:r>
            <w:r>
              <w:rPr>
                <w:rFonts w:ascii="Calibri" w:hAnsi="Calibri"/>
                <w:sz w:val="18"/>
              </w:rPr>
              <w:t>0,152</w:t>
            </w:r>
          </w:p>
        </w:tc>
        <w:tc>
          <w:tcPr>
            <w:tcW w:type="dxa" w:w="1640"/>
            <w:vAlign w:val="center"/>
          </w:tcPr>
          <w:p>
            <w:pPr>
              <w:spacing w:after="0" w:line="240" w:lineRule="auto"/>
            </w:pPr>
            <w:r>
              <w:rPr>
                <w:rFonts w:ascii="Calibri" w:hAnsi="Calibri"/>
                <w:sz w:val="18"/>
              </w:rPr>
            </w:r>
            <w:r>
              <w:rPr>
                <w:rFonts w:ascii="Calibri" w:hAnsi="Calibri"/>
                <w:sz w:val="18"/>
              </w:rPr>
              <w:t>0,184</w:t>
            </w:r>
          </w:p>
        </w:tc>
        <w:tc>
          <w:tcPr>
            <w:tcW w:type="dxa" w:w="1640"/>
            <w:vAlign w:val="center"/>
          </w:tcPr>
          <w:p>
            <w:pPr>
              <w:spacing w:after="0" w:line="240" w:lineRule="auto"/>
            </w:pPr>
            <w:r>
              <w:rPr>
                <w:rFonts w:ascii="Calibri" w:hAnsi="Calibri"/>
                <w:sz w:val="18"/>
              </w:rPr>
            </w:r>
            <w:r>
              <w:rPr>
                <w:rFonts w:ascii="Calibri" w:hAnsi="Calibri"/>
                <w:sz w:val="18"/>
              </w:rPr>
              <w:t>0,247</w:t>
            </w:r>
          </w:p>
        </w:tc>
      </w:tr>
      <w:tr>
        <w:tc>
          <w:tcPr>
            <w:tcW w:type="dxa" w:w="2800"/>
            <w:vAlign w:val="center"/>
          </w:tcPr>
          <w:p>
            <w:pPr>
              <w:spacing w:after="0" w:line="240" w:lineRule="auto"/>
            </w:pPr>
            <w:r>
              <w:rPr>
                <w:rFonts w:ascii="Calibri" w:hAnsi="Calibri"/>
                <w:sz w:val="18"/>
              </w:rPr>
            </w:r>
            <w:r>
              <w:rPr>
                <w:rFonts w:ascii="Calibri" w:hAnsi="Calibri"/>
                <w:sz w:val="18"/>
              </w:rPr>
              <w:t>Lee-Miller</w:t>
            </w:r>
          </w:p>
        </w:tc>
        <w:tc>
          <w:tcPr>
            <w:tcW w:type="dxa" w:w="1640"/>
            <w:vAlign w:val="center"/>
          </w:tcPr>
          <w:p>
            <w:pPr>
              <w:spacing w:after="0" w:line="240" w:lineRule="auto"/>
            </w:pPr>
            <w:r>
              <w:rPr>
                <w:rFonts w:ascii="Calibri" w:hAnsi="Calibri"/>
                <w:sz w:val="18"/>
              </w:rPr>
            </w:r>
            <w:r>
              <w:rPr>
                <w:rFonts w:ascii="Calibri" w:hAnsi="Calibri"/>
                <w:sz w:val="18"/>
              </w:rPr>
              <w:t>0,145</w:t>
            </w:r>
          </w:p>
        </w:tc>
        <w:tc>
          <w:tcPr>
            <w:tcW w:type="dxa" w:w="1640"/>
            <w:vAlign w:val="center"/>
          </w:tcPr>
          <w:p>
            <w:pPr>
              <w:spacing w:after="0" w:line="240" w:lineRule="auto"/>
            </w:pPr>
            <w:r>
              <w:rPr>
                <w:rFonts w:ascii="Calibri" w:hAnsi="Calibri"/>
                <w:sz w:val="18"/>
              </w:rPr>
            </w:r>
            <w:r>
              <w:rPr>
                <w:rFonts w:ascii="Calibri" w:hAnsi="Calibri"/>
                <w:sz w:val="18"/>
              </w:rPr>
              <w:t>0,166</w:t>
            </w:r>
          </w:p>
        </w:tc>
        <w:tc>
          <w:tcPr>
            <w:tcW w:type="dxa" w:w="1640"/>
            <w:vAlign w:val="center"/>
          </w:tcPr>
          <w:p>
            <w:pPr>
              <w:spacing w:after="0" w:line="240" w:lineRule="auto"/>
            </w:pPr>
            <w:r>
              <w:rPr>
                <w:rFonts w:ascii="Calibri" w:hAnsi="Calibri"/>
                <w:sz w:val="18"/>
              </w:rPr>
            </w:r>
            <w:r>
              <w:rPr>
                <w:rFonts w:ascii="Calibri" w:hAnsi="Calibri"/>
                <w:sz w:val="18"/>
              </w:rPr>
              <w:t>0,187</w:t>
            </w:r>
          </w:p>
        </w:tc>
        <w:tc>
          <w:tcPr>
            <w:tcW w:type="dxa" w:w="1640"/>
            <w:vAlign w:val="center"/>
          </w:tcPr>
          <w:p>
            <w:pPr>
              <w:spacing w:after="0" w:line="240" w:lineRule="auto"/>
            </w:pPr>
            <w:r>
              <w:rPr>
                <w:rFonts w:ascii="Calibri" w:hAnsi="Calibri"/>
                <w:sz w:val="18"/>
              </w:rPr>
            </w:r>
            <w:r>
              <w:rPr>
                <w:rFonts w:ascii="Calibri" w:hAnsi="Calibri"/>
                <w:sz w:val="18"/>
              </w:rPr>
              <w:t>0,232</w:t>
            </w:r>
          </w:p>
        </w:tc>
      </w:tr>
      <w:tr>
        <w:tc>
          <w:tcPr>
            <w:tcW w:type="dxa" w:w="2800"/>
            <w:vAlign w:val="center"/>
          </w:tcPr>
          <w:p>
            <w:pPr>
              <w:spacing w:after="0" w:line="240" w:lineRule="auto"/>
            </w:pPr>
            <w:r>
              <w:rPr>
                <w:rFonts w:ascii="Calibri" w:hAnsi="Calibri"/>
                <w:sz w:val="18"/>
              </w:rPr>
            </w:r>
            <w:r>
              <w:rPr>
                <w:rFonts w:ascii="Calibri" w:hAnsi="Calibri"/>
                <w:sz w:val="18"/>
              </w:rPr>
              <w:t>Lee-Carter</w:t>
            </w:r>
          </w:p>
        </w:tc>
        <w:tc>
          <w:tcPr>
            <w:tcW w:type="dxa" w:w="1640"/>
            <w:vAlign w:val="center"/>
          </w:tcPr>
          <w:p>
            <w:pPr>
              <w:spacing w:after="0" w:line="240" w:lineRule="auto"/>
            </w:pPr>
            <w:r>
              <w:rPr>
                <w:rFonts w:ascii="Calibri" w:hAnsi="Calibri"/>
                <w:sz w:val="18"/>
              </w:rPr>
            </w:r>
            <w:r>
              <w:rPr>
                <w:rFonts w:ascii="Calibri" w:hAnsi="Calibri"/>
                <w:sz w:val="18"/>
              </w:rPr>
              <w:t>0,156</w:t>
            </w:r>
          </w:p>
        </w:tc>
        <w:tc>
          <w:tcPr>
            <w:tcW w:type="dxa" w:w="1640"/>
            <w:vAlign w:val="center"/>
          </w:tcPr>
          <w:p>
            <w:pPr>
              <w:spacing w:after="0" w:line="240" w:lineRule="auto"/>
            </w:pPr>
            <w:r>
              <w:rPr>
                <w:rFonts w:ascii="Calibri" w:hAnsi="Calibri"/>
                <w:sz w:val="18"/>
              </w:rPr>
            </w:r>
            <w:r>
              <w:rPr>
                <w:rFonts w:ascii="Calibri" w:hAnsi="Calibri"/>
                <w:sz w:val="18"/>
              </w:rPr>
              <w:t>0,177</w:t>
            </w:r>
          </w:p>
        </w:tc>
        <w:tc>
          <w:tcPr>
            <w:tcW w:type="dxa" w:w="1640"/>
            <w:vAlign w:val="center"/>
          </w:tcPr>
          <w:p>
            <w:pPr>
              <w:spacing w:after="0" w:line="240" w:lineRule="auto"/>
            </w:pPr>
            <w:r>
              <w:rPr>
                <w:rFonts w:ascii="Calibri" w:hAnsi="Calibri"/>
                <w:sz w:val="18"/>
              </w:rPr>
            </w:r>
            <w:r>
              <w:rPr>
                <w:rFonts w:ascii="Calibri" w:hAnsi="Calibri"/>
                <w:sz w:val="18"/>
              </w:rPr>
              <w:t>0,199</w:t>
            </w:r>
          </w:p>
        </w:tc>
        <w:tc>
          <w:tcPr>
            <w:tcW w:type="dxa" w:w="1640"/>
            <w:vAlign w:val="center"/>
          </w:tcPr>
          <w:p>
            <w:pPr>
              <w:spacing w:after="0" w:line="240" w:lineRule="auto"/>
            </w:pPr>
            <w:r>
              <w:rPr>
                <w:rFonts w:ascii="Calibri" w:hAnsi="Calibri"/>
                <w:sz w:val="18"/>
              </w:rPr>
            </w:r>
            <w:r>
              <w:rPr>
                <w:rFonts w:ascii="Calibri" w:hAnsi="Calibri"/>
                <w:sz w:val="18"/>
              </w:rPr>
              <w:t>0,248</w:t>
            </w:r>
          </w:p>
        </w:tc>
      </w:tr>
      <w:tr>
        <w:tc>
          <w:tcPr>
            <w:tcW w:type="dxa" w:w="2800"/>
            <w:vAlign w:val="center"/>
          </w:tcPr>
          <w:p>
            <w:pPr>
              <w:spacing w:after="0" w:line="240" w:lineRule="auto"/>
            </w:pPr>
            <w:r>
              <w:rPr>
                <w:rFonts w:ascii="Calibri" w:hAnsi="Calibri"/>
                <w:sz w:val="18"/>
              </w:rPr>
            </w:r>
            <w:r>
              <w:rPr>
                <w:rFonts w:ascii="Calibri" w:hAnsi="Calibri"/>
                <w:sz w:val="18"/>
              </w:rPr>
              <w:t>LSTM sur kt</w:t>
            </w:r>
          </w:p>
        </w:tc>
        <w:tc>
          <w:tcPr>
            <w:tcW w:type="dxa" w:w="1640"/>
            <w:vAlign w:val="center"/>
          </w:tcPr>
          <w:p>
            <w:pPr>
              <w:spacing w:after="0" w:line="240" w:lineRule="auto"/>
            </w:pPr>
            <w:r>
              <w:rPr>
                <w:rFonts w:ascii="Calibri" w:hAnsi="Calibri"/>
                <w:sz w:val="18"/>
              </w:rPr>
            </w:r>
            <w:r>
              <w:rPr>
                <w:rFonts w:ascii="Calibri" w:hAnsi="Calibri"/>
                <w:sz w:val="18"/>
              </w:rPr>
              <w:t>0,131</w:t>
            </w:r>
          </w:p>
        </w:tc>
        <w:tc>
          <w:tcPr>
            <w:tcW w:type="dxa" w:w="1640"/>
            <w:vAlign w:val="center"/>
          </w:tcPr>
          <w:p>
            <w:pPr>
              <w:spacing w:after="0" w:line="240" w:lineRule="auto"/>
            </w:pPr>
            <w:r>
              <w:rPr>
                <w:rFonts w:ascii="Calibri" w:hAnsi="Calibri"/>
                <w:sz w:val="18"/>
              </w:rPr>
            </w:r>
            <w:r>
              <w:rPr>
                <w:rFonts w:ascii="Calibri" w:hAnsi="Calibri"/>
                <w:sz w:val="18"/>
              </w:rPr>
              <w:t>0,152</w:t>
            </w:r>
          </w:p>
        </w:tc>
        <w:tc>
          <w:tcPr>
            <w:tcW w:type="dxa" w:w="1640"/>
            <w:vAlign w:val="center"/>
          </w:tcPr>
          <w:p>
            <w:pPr>
              <w:spacing w:after="0" w:line="240" w:lineRule="auto"/>
            </w:pPr>
            <w:r>
              <w:rPr>
                <w:rFonts w:ascii="Calibri" w:hAnsi="Calibri"/>
                <w:sz w:val="18"/>
              </w:rPr>
            </w:r>
            <w:r>
              <w:rPr>
                <w:rFonts w:ascii="Calibri" w:hAnsi="Calibri"/>
                <w:sz w:val="18"/>
              </w:rPr>
              <w:t>0,180</w:t>
            </w:r>
          </w:p>
        </w:tc>
        <w:tc>
          <w:tcPr>
            <w:tcW w:type="dxa" w:w="1640"/>
            <w:vAlign w:val="center"/>
          </w:tcPr>
          <w:p>
            <w:pPr>
              <w:spacing w:after="0" w:line="240" w:lineRule="auto"/>
            </w:pPr>
            <w:r>
              <w:rPr>
                <w:rFonts w:ascii="Calibri" w:hAnsi="Calibri"/>
                <w:sz w:val="18"/>
              </w:rPr>
            </w:r>
            <w:r>
              <w:rPr>
                <w:rFonts w:ascii="Calibri" w:hAnsi="Calibri"/>
                <w:sz w:val="18"/>
              </w:rPr>
              <w:t>0,263</w:t>
            </w:r>
          </w:p>
        </w:tc>
      </w:tr>
      <w:tr>
        <w:tc>
          <w:tcPr>
            <w:tcW w:type="dxa" w:w="2800"/>
            <w:vAlign w:val="center"/>
          </w:tcPr>
          <w:p>
            <w:pPr>
              <w:spacing w:after="0" w:line="240" w:lineRule="auto"/>
            </w:pPr>
            <w:r>
              <w:rPr>
                <w:rFonts w:ascii="Calibri" w:hAnsi="Calibri"/>
                <w:sz w:val="18"/>
              </w:rPr>
            </w:r>
            <w:r>
              <w:rPr>
                <w:rFonts w:ascii="Calibri" w:hAnsi="Calibri"/>
                <w:sz w:val="18"/>
              </w:rPr>
              <w:t>Transformer sur kt</w:t>
            </w:r>
          </w:p>
        </w:tc>
        <w:tc>
          <w:tcPr>
            <w:tcW w:type="dxa" w:w="1640"/>
            <w:vAlign w:val="center"/>
          </w:tcPr>
          <w:p>
            <w:pPr>
              <w:spacing w:after="0" w:line="240" w:lineRule="auto"/>
            </w:pPr>
            <w:r>
              <w:rPr>
                <w:rFonts w:ascii="Calibri" w:hAnsi="Calibri"/>
                <w:sz w:val="18"/>
              </w:rPr>
            </w:r>
            <w:r>
              <w:rPr>
                <w:rFonts w:ascii="Calibri" w:hAnsi="Calibri"/>
                <w:sz w:val="18"/>
              </w:rPr>
              <w:t>0,141</w:t>
            </w:r>
          </w:p>
        </w:tc>
        <w:tc>
          <w:tcPr>
            <w:tcW w:type="dxa" w:w="1640"/>
            <w:vAlign w:val="center"/>
          </w:tcPr>
          <w:p>
            <w:pPr>
              <w:spacing w:after="0" w:line="240" w:lineRule="auto"/>
            </w:pPr>
            <w:r>
              <w:rPr>
                <w:rFonts w:ascii="Calibri" w:hAnsi="Calibri"/>
                <w:sz w:val="18"/>
              </w:rPr>
            </w:r>
            <w:r>
              <w:rPr>
                <w:rFonts w:ascii="Calibri" w:hAnsi="Calibri"/>
                <w:sz w:val="18"/>
              </w:rPr>
              <w:t>0,177</w:t>
            </w:r>
          </w:p>
        </w:tc>
        <w:tc>
          <w:tcPr>
            <w:tcW w:type="dxa" w:w="1640"/>
            <w:vAlign w:val="center"/>
          </w:tcPr>
          <w:p>
            <w:pPr>
              <w:spacing w:after="0" w:line="240" w:lineRule="auto"/>
            </w:pPr>
            <w:r>
              <w:rPr>
                <w:rFonts w:ascii="Calibri" w:hAnsi="Calibri"/>
                <w:sz w:val="18"/>
              </w:rPr>
            </w:r>
            <w:r>
              <w:rPr>
                <w:rFonts w:ascii="Calibri" w:hAnsi="Calibri"/>
                <w:sz w:val="18"/>
              </w:rPr>
              <w:t>0,225</w:t>
            </w:r>
          </w:p>
        </w:tc>
        <w:tc>
          <w:tcPr>
            <w:tcW w:type="dxa" w:w="1640"/>
            <w:vAlign w:val="center"/>
          </w:tcPr>
          <w:p>
            <w:pPr>
              <w:spacing w:after="0" w:line="240" w:lineRule="auto"/>
            </w:pPr>
            <w:r>
              <w:rPr>
                <w:rFonts w:ascii="Calibri" w:hAnsi="Calibri"/>
                <w:sz w:val="18"/>
              </w:rPr>
            </w:r>
            <w:r>
              <w:rPr>
                <w:rFonts w:ascii="Calibri" w:hAnsi="Calibri"/>
                <w:sz w:val="18"/>
              </w:rPr>
              <w:t>0,327</w:t>
            </w:r>
          </w:p>
        </w:tc>
      </w:tr>
      <w:tr>
        <w:tc>
          <w:tcPr>
            <w:tcW w:type="dxa" w:w="2800"/>
            <w:vAlign w:val="center"/>
          </w:tcPr>
          <w:p>
            <w:pPr>
              <w:spacing w:after="0" w:line="240" w:lineRule="auto"/>
            </w:pPr>
            <w:r>
              <w:rPr>
                <w:rFonts w:ascii="Calibri" w:hAnsi="Calibri"/>
                <w:sz w:val="18"/>
              </w:rPr>
            </w:r>
            <w:r>
              <w:rPr>
                <w:rFonts w:ascii="Calibri" w:hAnsi="Calibri"/>
                <w:sz w:val="18"/>
              </w:rPr>
              <w:t>CNN surface</w:t>
            </w:r>
          </w:p>
        </w:tc>
        <w:tc>
          <w:tcPr>
            <w:tcW w:type="dxa" w:w="1640"/>
            <w:vAlign w:val="center"/>
          </w:tcPr>
          <w:p>
            <w:pPr>
              <w:spacing w:after="0" w:line="240" w:lineRule="auto"/>
            </w:pPr>
            <w:r>
              <w:rPr>
                <w:rFonts w:ascii="Calibri" w:hAnsi="Calibri"/>
                <w:sz w:val="18"/>
              </w:rPr>
            </w:r>
            <w:r>
              <w:rPr>
                <w:rFonts w:ascii="Calibri" w:hAnsi="Calibri"/>
                <w:sz w:val="18"/>
              </w:rPr>
              <w:t>0,147</w:t>
            </w:r>
          </w:p>
        </w:tc>
        <w:tc>
          <w:tcPr>
            <w:tcW w:type="dxa" w:w="1640"/>
            <w:vAlign w:val="center"/>
          </w:tcPr>
          <w:p>
            <w:pPr>
              <w:spacing w:after="0" w:line="240" w:lineRule="auto"/>
            </w:pPr>
            <w:r>
              <w:rPr>
                <w:rFonts w:ascii="Calibri" w:hAnsi="Calibri"/>
                <w:sz w:val="18"/>
              </w:rPr>
            </w:r>
            <w:r>
              <w:rPr>
                <w:rFonts w:ascii="Calibri" w:hAnsi="Calibri"/>
                <w:sz w:val="18"/>
              </w:rPr>
              <w:t>0,191</w:t>
            </w:r>
          </w:p>
        </w:tc>
        <w:tc>
          <w:tcPr>
            <w:tcW w:type="dxa" w:w="1640"/>
            <w:vAlign w:val="center"/>
          </w:tcPr>
          <w:p>
            <w:pPr>
              <w:spacing w:after="0" w:line="240" w:lineRule="auto"/>
            </w:pPr>
            <w:r>
              <w:rPr>
                <w:rFonts w:ascii="Calibri" w:hAnsi="Calibri"/>
                <w:sz w:val="18"/>
              </w:rPr>
            </w:r>
            <w:r>
              <w:rPr>
                <w:rFonts w:ascii="Calibri" w:hAnsi="Calibri"/>
                <w:sz w:val="18"/>
              </w:rPr>
              <w:t>0,240</w:t>
            </w:r>
          </w:p>
        </w:tc>
        <w:tc>
          <w:tcPr>
            <w:tcW w:type="dxa" w:w="1640"/>
            <w:vAlign w:val="center"/>
          </w:tcPr>
          <w:p>
            <w:pPr>
              <w:spacing w:after="0" w:line="240" w:lineRule="auto"/>
            </w:pPr>
            <w:r>
              <w:rPr>
                <w:rFonts w:ascii="Calibri" w:hAnsi="Calibri"/>
                <w:sz w:val="18"/>
              </w:rPr>
            </w:r>
            <w:r>
              <w:rPr>
                <w:rFonts w:ascii="Calibri" w:hAnsi="Calibri"/>
                <w:sz w:val="18"/>
              </w:rPr>
              <w:t>0,448</w:t>
            </w:r>
          </w:p>
        </w:tc>
      </w:tr>
    </w:tbl>
    <w:p>
      <w:pPr>
        <w:spacing w:after="0"/>
      </w:pPr>
    </w:p>
    <w:p>
      <w:r>
        <w:t>CBD obtient des valeurs plus faibles sur les seuls âges 60–100, mais celles-ci ne sont pas comparables aux résultats sur la grille complète.</w:t>
      </w:r>
    </w:p>
    <w:p>
      <w:pPr>
        <w:pStyle w:val="Heading2"/>
      </w:pPr>
      <w:r>
        <w:t>5.2 Critères actuariels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3500"/>
        <w:gridCol w:w="2930"/>
        <w:gridCol w:w="2930"/>
      </w:tblGrid>
      <w:tr>
        <w:trPr>
          <w:tblHeader w:val="true"/>
        </w:trPr>
        <w:tc>
          <w:tcPr>
            <w:tcW w:type="dxa" w:w="3500"/>
            <w:vAlign w:val="center"/>
            <w:shd w:fill="F4F6F9"/>
          </w:tcPr>
          <w:p>
            <w:pPr>
              <w:spacing w:after="0" w:line="240" w:lineRule="auto"/>
            </w:pPr>
            <w:r>
              <w:rPr>
                <w:rFonts w:ascii="Calibri" w:hAnsi="Calibri"/>
                <w:b/>
                <w:color w:val="0B2545"/>
                <w:sz w:val="18"/>
              </w:rPr>
            </w:r>
            <w:r>
              <w:rPr>
                <w:rFonts w:ascii="Calibri" w:hAnsi="Calibri"/>
                <w:b/>
                <w:color w:val="0B2545"/>
                <w:sz w:val="18"/>
              </w:rPr>
              <w:t>Objectif</w:t>
            </w:r>
          </w:p>
        </w:tc>
        <w:tc>
          <w:tcPr>
            <w:tcW w:type="dxa" w:w="2930"/>
            <w:vAlign w:val="center"/>
            <w:shd w:fill="F4F6F9"/>
          </w:tcPr>
          <w:p>
            <w:pPr>
              <w:spacing w:after="0" w:line="240" w:lineRule="auto"/>
            </w:pPr>
            <w:r>
              <w:rPr>
                <w:rFonts w:ascii="Calibri" w:hAnsi="Calibri"/>
                <w:b/>
                <w:color w:val="0B2545"/>
                <w:sz w:val="18"/>
              </w:rPr>
            </w:r>
            <w:r>
              <w:rPr>
                <w:rFonts w:ascii="Calibri" w:hAnsi="Calibri"/>
                <w:b/>
                <w:color w:val="0B2545"/>
                <w:sz w:val="18"/>
              </w:rPr>
              <w:t>Meilleur modèle à 5 ans</w:t>
            </w:r>
          </w:p>
        </w:tc>
        <w:tc>
          <w:tcPr>
            <w:tcW w:type="dxa" w:w="2930"/>
            <w:vAlign w:val="center"/>
            <w:shd w:fill="F4F6F9"/>
          </w:tcPr>
          <w:p>
            <w:pPr>
              <w:spacing w:after="0" w:line="240" w:lineRule="auto"/>
            </w:pPr>
            <w:r>
              <w:rPr>
                <w:rFonts w:ascii="Calibri" w:hAnsi="Calibri"/>
                <w:b/>
                <w:color w:val="0B2545"/>
                <w:sz w:val="18"/>
              </w:rPr>
            </w:r>
            <w:r>
              <w:rPr>
                <w:rFonts w:ascii="Calibri" w:hAnsi="Calibri"/>
                <w:b/>
                <w:color w:val="0B2545"/>
                <w:sz w:val="18"/>
              </w:rPr>
              <w:t>Meilleur modèle à 20 ans</w:t>
            </w:r>
          </w:p>
        </w:tc>
      </w:tr>
      <w:tr>
        <w:tc>
          <w:tcPr>
            <w:tcW w:type="dxa" w:w="3500"/>
            <w:vAlign w:val="center"/>
          </w:tcPr>
          <w:p>
            <w:pPr>
              <w:spacing w:after="0" w:line="240" w:lineRule="auto"/>
            </w:pPr>
            <w:r>
              <w:rPr>
                <w:rFonts w:ascii="Calibri" w:hAnsi="Calibri"/>
                <w:sz w:val="18"/>
              </w:rPr>
            </w:r>
            <w:r>
              <w:rPr>
                <w:rFonts w:ascii="Calibri" w:hAnsi="Calibri"/>
                <w:sz w:val="18"/>
              </w:rPr>
              <w:t>Espérance de vie e0</w:t>
            </w:r>
          </w:p>
        </w:tc>
        <w:tc>
          <w:tcPr>
            <w:tcW w:type="dxa" w:w="2930"/>
            <w:vAlign w:val="center"/>
          </w:tcPr>
          <w:p>
            <w:pPr>
              <w:spacing w:after="0" w:line="240" w:lineRule="auto"/>
            </w:pPr>
            <w:r>
              <w:rPr>
                <w:rFonts w:ascii="Calibri" w:hAnsi="Calibri"/>
                <w:sz w:val="18"/>
              </w:rPr>
            </w:r>
            <w:r>
              <w:rPr>
                <w:rFonts w:ascii="Calibri" w:hAnsi="Calibri"/>
                <w:sz w:val="18"/>
              </w:rPr>
              <w:t>Marche aléatoire, 0,315 an</w:t>
            </w:r>
          </w:p>
        </w:tc>
        <w:tc>
          <w:tcPr>
            <w:tcW w:type="dxa" w:w="2930"/>
            <w:vAlign w:val="center"/>
          </w:tcPr>
          <w:p>
            <w:pPr>
              <w:spacing w:after="0" w:line="240" w:lineRule="auto"/>
            </w:pPr>
            <w:r>
              <w:rPr>
                <w:rFonts w:ascii="Calibri" w:hAnsi="Calibri"/>
                <w:sz w:val="18"/>
              </w:rPr>
            </w:r>
            <w:r>
              <w:rPr>
                <w:rFonts w:ascii="Calibri" w:hAnsi="Calibri"/>
                <w:sz w:val="18"/>
              </w:rPr>
              <w:t>H-U, 0,694 an</w:t>
            </w:r>
          </w:p>
        </w:tc>
      </w:tr>
      <w:tr>
        <w:tc>
          <w:tcPr>
            <w:tcW w:type="dxa" w:w="3500"/>
            <w:vAlign w:val="center"/>
          </w:tcPr>
          <w:p>
            <w:pPr>
              <w:spacing w:after="0" w:line="240" w:lineRule="auto"/>
            </w:pPr>
            <w:r>
              <w:rPr>
                <w:rFonts w:ascii="Calibri" w:hAnsi="Calibri"/>
                <w:sz w:val="18"/>
              </w:rPr>
            </w:r>
            <w:r>
              <w:rPr>
                <w:rFonts w:ascii="Calibri" w:hAnsi="Calibri"/>
                <w:sz w:val="18"/>
              </w:rPr>
              <w:t>Rente à 65 ans</w:t>
            </w:r>
          </w:p>
        </w:tc>
        <w:tc>
          <w:tcPr>
            <w:tcW w:type="dxa" w:w="2930"/>
            <w:vAlign w:val="center"/>
          </w:tcPr>
          <w:p>
            <w:pPr>
              <w:spacing w:after="0" w:line="240" w:lineRule="auto"/>
            </w:pPr>
            <w:r>
              <w:rPr>
                <w:rFonts w:ascii="Calibri" w:hAnsi="Calibri"/>
                <w:sz w:val="18"/>
              </w:rPr>
            </w:r>
            <w:r>
              <w:rPr>
                <w:rFonts w:ascii="Calibri" w:hAnsi="Calibri"/>
                <w:sz w:val="18"/>
              </w:rPr>
              <w:t>Marche aléatoire, 0,159</w:t>
            </w:r>
          </w:p>
        </w:tc>
        <w:tc>
          <w:tcPr>
            <w:tcW w:type="dxa" w:w="2930"/>
            <w:vAlign w:val="center"/>
          </w:tcPr>
          <w:p>
            <w:pPr>
              <w:spacing w:after="0" w:line="240" w:lineRule="auto"/>
            </w:pPr>
            <w:r>
              <w:rPr>
                <w:rFonts w:ascii="Calibri" w:hAnsi="Calibri"/>
                <w:sz w:val="18"/>
              </w:rPr>
            </w:r>
            <w:r>
              <w:rPr>
                <w:rFonts w:ascii="Calibri" w:hAnsi="Calibri"/>
                <w:sz w:val="18"/>
              </w:rPr>
              <w:t>FFNN, 0,381</w:t>
            </w:r>
          </w:p>
        </w:tc>
      </w:tr>
    </w:tbl>
    <w:p>
      <w:pPr>
        <w:spacing w:after="0"/>
      </w:pPr>
    </w:p>
    <w:p>
      <w:r>
        <w:t xml:space="preserve">Les modèles récurrents peuvent améliorer </w:t>
      </w:r>
      <w:r>
        <w:rPr>
          <w:rFonts w:ascii="Consolas" w:hAnsi="Consolas"/>
          <w:sz w:val="19"/>
        </w:rPr>
        <w:t>log(mx)</w:t>
      </w:r>
      <w:r>
        <w:t xml:space="preserve"> à court horizon tout en détériorant fortement les critères actuariels à 20 ans. Par exemple, l’erreur de l’espérance de vie du LSTM atteint 2,059 ans à 20 ans, contre 0,742 pour Lee-Miller.</w:t>
      </w:r>
    </w:p>
    <w:p>
      <w:pPr>
        <w:pStyle w:val="Heading2"/>
      </w:pPr>
      <w:r>
        <w:t>5.3 Scénarios</w:t>
      </w:r>
    </w:p>
    <w:p>
      <w:pPr>
        <w:pStyle w:val="ListBullet"/>
      </w:pPr>
      <w:r>
        <w:t xml:space="preserve">COVID : les taux gelés obtiennent les meilleurs résultats sur les trois trajectoires cumulées complètes ; plusieurs modèles neuronaux sur </w:t>
      </w:r>
      <w:r>
        <w:rPr>
          <w:rFonts w:ascii="Consolas" w:hAnsi="Consolas"/>
          <w:sz w:val="19"/>
        </w:rPr>
        <w:t>kt</w:t>
      </w:r>
      <w:r>
        <w:t xml:space="preserve"> restent proches.</w:t>
      </w:r>
    </w:p>
    <w:p>
      <w:pPr>
        <w:pStyle w:val="ListBullet"/>
      </w:pPr>
      <w:r>
        <w:t>Historique de 20 ans : les taux gelés sont premiers avec 0,134 ; LC-ResNet est le meilleur modèle structuré avec 0,159.</w:t>
      </w:r>
    </w:p>
    <w:p>
      <w:pPr>
        <w:pStyle w:val="ListBullet"/>
      </w:pPr>
      <w:r>
        <w:t>Jeunes âges : LC-ResNet et Bi-LSTM sont à égalité après arrondi, avec 0,228.</w:t>
      </w:r>
    </w:p>
    <w:p>
      <w:pPr>
        <w:pStyle w:val="ListBullet"/>
      </w:pPr>
      <w:r>
        <w:t>Âges 65–100 : taux gelés 0,054 ; H-U et marche aléatoire 0,068 ; CBD 0,102.</w:t>
      </w:r>
    </w:p>
    <w:p>
      <w:pPr>
        <w:pStyle w:val="Heading1"/>
      </w:pPr>
      <w:r>
        <w:t>6. Guide de décision</w:t>
      </w:r>
    </w:p>
    <w:p>
      <w:r>
        <w:t>Le choix doit être lié à l’objectif :</w:t>
      </w:r>
    </w:p>
    <w:p>
      <w:pPr>
        <w:pStyle w:val="ListBullet"/>
      </w:pPr>
      <w:r>
        <w:rPr>
          <w:rFonts w:ascii="Consolas" w:hAnsi="Consolas"/>
          <w:sz w:val="19"/>
        </w:rPr>
        <w:t>log(mx)</w:t>
      </w:r>
      <w:r>
        <w:t xml:space="preserve"> sur la grille complète : toujours inclure la marche aléatoire comme baseline forte ;</w:t>
      </w:r>
    </w:p>
    <w:p>
      <w:pPr>
        <w:pStyle w:val="ListBullet"/>
      </w:pPr>
      <w:r>
        <w:t>historique très court : tester d’abord les taux gelés ; utiliser LC-ResNet si un modèle structuré est exigé ;</w:t>
      </w:r>
    </w:p>
    <w:p>
      <w:pPr>
        <w:pStyle w:val="ListBullet"/>
      </w:pPr>
      <w:r>
        <w:t>espérance de vie à 20 ans : H-U arrive premier dans ce benchmark, Lee-Miller étant l’option la plus forte de la famille LC ;</w:t>
      </w:r>
    </w:p>
    <w:p>
      <w:pPr>
        <w:pStyle w:val="ListBullet"/>
      </w:pPr>
      <w:r>
        <w:t>valeur de rente à 20 ans : le FFNN arrive premier, mais il doit être accompagné de sensibilités classiques ;</w:t>
      </w:r>
    </w:p>
    <w:p>
      <w:pPr>
        <w:pStyle w:val="ListBullet"/>
      </w:pPr>
      <w:r>
        <w:t>transparence : préférer une famille LC ; LC-ResNet conserve un squelette explicable mais pas une correction explicable ;</w:t>
      </w:r>
    </w:p>
    <w:p>
      <w:pPr>
        <w:pStyle w:val="ListBullet"/>
      </w:pPr>
      <w:r>
        <w:t>choc : conserver plusieurs modèles, car une seule période COVID ne suffit pas à sélectionner un modèle universellement robuste.</w:t>
      </w:r>
    </w:p>
    <w:p>
      <w:pPr>
        <w:pStyle w:val="Heading1"/>
      </w:pPr>
      <w:r>
        <w:t>7. Étude de cas française</w:t>
      </w:r>
    </w:p>
    <w:p>
      <w:r>
        <w:t>Les modèles sont ajustés sur la France jusqu’en 2023 et leur projection 2033 est utilisée pour un portefeuille fictif de 1 000 rentiers âgés de 65 ans, rente annuelle 12 000 €, taux d’actualisation 2 %, paiements jusqu’à 100 ans.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3000"/>
        <w:gridCol w:w="2120"/>
        <w:gridCol w:w="2120"/>
        <w:gridCol w:w="2120"/>
      </w:tblGrid>
      <w:tr>
        <w:trPr>
          <w:tblHeader w:val="true"/>
        </w:trPr>
        <w:tc>
          <w:tcPr>
            <w:tcW w:type="dxa" w:w="3000"/>
            <w:vAlign w:val="center"/>
            <w:shd w:fill="F4F6F9"/>
          </w:tcPr>
          <w:p>
            <w:pPr>
              <w:spacing w:after="0" w:line="240" w:lineRule="auto"/>
            </w:pPr>
            <w:r>
              <w:rPr>
                <w:rFonts w:ascii="Calibri" w:hAnsi="Calibri"/>
                <w:b/>
                <w:color w:val="0B2545"/>
                <w:sz w:val="18"/>
              </w:rPr>
            </w:r>
            <w:r>
              <w:rPr>
                <w:rFonts w:ascii="Calibri" w:hAnsi="Calibri"/>
                <w:b/>
                <w:color w:val="0B2545"/>
                <w:sz w:val="18"/>
              </w:rPr>
              <w:t>Modèle</w:t>
            </w:r>
          </w:p>
        </w:tc>
        <w:tc>
          <w:tcPr>
            <w:tcW w:type="dxa" w:w="2120"/>
            <w:vAlign w:val="center"/>
            <w:shd w:fill="F4F6F9"/>
          </w:tcPr>
          <w:p>
            <w:pPr>
              <w:spacing w:after="0" w:line="240" w:lineRule="auto"/>
            </w:pPr>
            <w:r>
              <w:rPr>
                <w:rFonts w:ascii="Calibri" w:hAnsi="Calibri"/>
                <w:b/>
                <w:color w:val="0B2545"/>
                <w:sz w:val="18"/>
              </w:rPr>
            </w:r>
            <w:r>
              <w:rPr>
                <w:rFonts w:ascii="Calibri" w:hAnsi="Calibri"/>
                <w:b/>
                <w:color w:val="0B2545"/>
                <w:sz w:val="18"/>
              </w:rPr>
              <w:t>Provision de base</w:t>
            </w:r>
          </w:p>
        </w:tc>
        <w:tc>
          <w:tcPr>
            <w:tcW w:type="dxa" w:w="2120"/>
            <w:vAlign w:val="center"/>
            <w:shd w:fill="F4F6F9"/>
          </w:tcPr>
          <w:p>
            <w:pPr>
              <w:spacing w:after="0" w:line="240" w:lineRule="auto"/>
            </w:pPr>
            <w:r>
              <w:rPr>
                <w:rFonts w:ascii="Calibri" w:hAnsi="Calibri"/>
                <w:b/>
                <w:color w:val="0B2545"/>
                <w:sz w:val="18"/>
              </w:rPr>
            </w:r>
            <w:r>
              <w:rPr>
                <w:rFonts w:ascii="Calibri" w:hAnsi="Calibri"/>
                <w:b/>
                <w:color w:val="0B2545"/>
                <w:sz w:val="18"/>
              </w:rPr>
              <w:t>Provision choquée</w:t>
            </w:r>
          </w:p>
        </w:tc>
        <w:tc>
          <w:tcPr>
            <w:tcW w:type="dxa" w:w="2120"/>
            <w:vAlign w:val="center"/>
            <w:shd w:fill="F4F6F9"/>
          </w:tcPr>
          <w:p>
            <w:pPr>
              <w:spacing w:after="0" w:line="240" w:lineRule="auto"/>
            </w:pPr>
            <w:r>
              <w:rPr>
                <w:rFonts w:ascii="Calibri" w:hAnsi="Calibri"/>
                <w:b/>
                <w:color w:val="0B2545"/>
                <w:sz w:val="18"/>
              </w:rPr>
            </w:r>
            <w:r>
              <w:rPr>
                <w:rFonts w:ascii="Calibri" w:hAnsi="Calibri"/>
                <w:b/>
                <w:color w:val="0B2545"/>
                <w:sz w:val="18"/>
              </w:rPr>
              <w:t>SCR longévité</w:t>
            </w:r>
          </w:p>
        </w:tc>
      </w:tr>
      <w:tr>
        <w:tc>
          <w:tcPr>
            <w:tcW w:type="dxa" w:w="3000"/>
            <w:vAlign w:val="center"/>
          </w:tcPr>
          <w:p>
            <w:pPr>
              <w:spacing w:after="0" w:line="240" w:lineRule="auto"/>
            </w:pPr>
            <w:r>
              <w:rPr>
                <w:rFonts w:ascii="Calibri" w:hAnsi="Calibri"/>
                <w:sz w:val="18"/>
              </w:rPr>
            </w:r>
            <w:r>
              <w:rPr>
                <w:rFonts w:ascii="Calibri" w:hAnsi="Calibri"/>
                <w:sz w:val="18"/>
              </w:rPr>
              <w:t>Lee-Carter</w:t>
            </w:r>
          </w:p>
        </w:tc>
        <w:tc>
          <w:tcPr>
            <w:tcW w:type="dxa" w:w="2120"/>
            <w:vAlign w:val="center"/>
          </w:tcPr>
          <w:p>
            <w:pPr>
              <w:spacing w:after="0" w:line="240" w:lineRule="auto"/>
            </w:pPr>
            <w:r>
              <w:rPr>
                <w:rFonts w:ascii="Calibri" w:hAnsi="Calibri"/>
                <w:sz w:val="18"/>
              </w:rPr>
            </w:r>
            <w:r>
              <w:rPr>
                <w:rFonts w:ascii="Calibri" w:hAnsi="Calibri"/>
                <w:sz w:val="18"/>
              </w:rPr>
              <w:t>220,05 M€</w:t>
            </w:r>
          </w:p>
        </w:tc>
        <w:tc>
          <w:tcPr>
            <w:tcW w:type="dxa" w:w="2120"/>
            <w:vAlign w:val="center"/>
          </w:tcPr>
          <w:p>
            <w:pPr>
              <w:spacing w:after="0" w:line="240" w:lineRule="auto"/>
            </w:pPr>
            <w:r>
              <w:rPr>
                <w:rFonts w:ascii="Calibri" w:hAnsi="Calibri"/>
                <w:sz w:val="18"/>
              </w:rPr>
            </w:r>
            <w:r>
              <w:rPr>
                <w:rFonts w:ascii="Calibri" w:hAnsi="Calibri"/>
                <w:sz w:val="18"/>
              </w:rPr>
              <w:t>231,57 M€</w:t>
            </w:r>
          </w:p>
        </w:tc>
        <w:tc>
          <w:tcPr>
            <w:tcW w:type="dxa" w:w="2120"/>
            <w:vAlign w:val="center"/>
          </w:tcPr>
          <w:p>
            <w:pPr>
              <w:spacing w:after="0" w:line="240" w:lineRule="auto"/>
            </w:pPr>
            <w:r>
              <w:rPr>
                <w:rFonts w:ascii="Calibri" w:hAnsi="Calibri"/>
                <w:sz w:val="18"/>
              </w:rPr>
            </w:r>
            <w:r>
              <w:rPr>
                <w:rFonts w:ascii="Calibri" w:hAnsi="Calibri"/>
                <w:sz w:val="18"/>
              </w:rPr>
              <w:t>11,52 M€</w:t>
            </w:r>
          </w:p>
        </w:tc>
      </w:tr>
      <w:tr>
        <w:tc>
          <w:tcPr>
            <w:tcW w:type="dxa" w:w="3000"/>
            <w:vAlign w:val="center"/>
          </w:tcPr>
          <w:p>
            <w:pPr>
              <w:spacing w:after="0" w:line="240" w:lineRule="auto"/>
            </w:pPr>
            <w:r>
              <w:rPr>
                <w:rFonts w:ascii="Calibri" w:hAnsi="Calibri"/>
                <w:sz w:val="18"/>
              </w:rPr>
            </w:r>
            <w:r>
              <w:rPr>
                <w:rFonts w:ascii="Calibri" w:hAnsi="Calibri"/>
                <w:sz w:val="18"/>
              </w:rPr>
              <w:t>Lee-Carter Poisson</w:t>
            </w:r>
          </w:p>
        </w:tc>
        <w:tc>
          <w:tcPr>
            <w:tcW w:type="dxa" w:w="2120"/>
            <w:vAlign w:val="center"/>
          </w:tcPr>
          <w:p>
            <w:pPr>
              <w:spacing w:after="0" w:line="240" w:lineRule="auto"/>
            </w:pPr>
            <w:r>
              <w:rPr>
                <w:rFonts w:ascii="Calibri" w:hAnsi="Calibri"/>
                <w:sz w:val="18"/>
              </w:rPr>
            </w:r>
            <w:r>
              <w:rPr>
                <w:rFonts w:ascii="Calibri" w:hAnsi="Calibri"/>
                <w:sz w:val="18"/>
              </w:rPr>
              <w:t>219,87 M€</w:t>
            </w:r>
          </w:p>
        </w:tc>
        <w:tc>
          <w:tcPr>
            <w:tcW w:type="dxa" w:w="2120"/>
            <w:vAlign w:val="center"/>
          </w:tcPr>
          <w:p>
            <w:pPr>
              <w:spacing w:after="0" w:line="240" w:lineRule="auto"/>
            </w:pPr>
            <w:r>
              <w:rPr>
                <w:rFonts w:ascii="Calibri" w:hAnsi="Calibri"/>
                <w:sz w:val="18"/>
              </w:rPr>
            </w:r>
            <w:r>
              <w:rPr>
                <w:rFonts w:ascii="Calibri" w:hAnsi="Calibri"/>
                <w:sz w:val="18"/>
              </w:rPr>
              <w:t>231,39 M€</w:t>
            </w:r>
          </w:p>
        </w:tc>
        <w:tc>
          <w:tcPr>
            <w:tcW w:type="dxa" w:w="2120"/>
            <w:vAlign w:val="center"/>
          </w:tcPr>
          <w:p>
            <w:pPr>
              <w:spacing w:after="0" w:line="240" w:lineRule="auto"/>
            </w:pPr>
            <w:r>
              <w:rPr>
                <w:rFonts w:ascii="Calibri" w:hAnsi="Calibri"/>
                <w:sz w:val="18"/>
              </w:rPr>
            </w:r>
            <w:r>
              <w:rPr>
                <w:rFonts w:ascii="Calibri" w:hAnsi="Calibri"/>
                <w:sz w:val="18"/>
              </w:rPr>
              <w:t>11,52 M€</w:t>
            </w:r>
          </w:p>
        </w:tc>
      </w:tr>
      <w:tr>
        <w:tc>
          <w:tcPr>
            <w:tcW w:type="dxa" w:w="3000"/>
            <w:vAlign w:val="center"/>
          </w:tcPr>
          <w:p>
            <w:pPr>
              <w:spacing w:after="0" w:line="240" w:lineRule="auto"/>
            </w:pPr>
            <w:r>
              <w:rPr>
                <w:rFonts w:ascii="Calibri" w:hAnsi="Calibri"/>
                <w:sz w:val="18"/>
              </w:rPr>
            </w:r>
            <w:r>
              <w:rPr>
                <w:rFonts w:ascii="Calibri" w:hAnsi="Calibri"/>
                <w:sz w:val="18"/>
              </w:rPr>
              <w:t>LC-ResNet</w:t>
            </w:r>
          </w:p>
        </w:tc>
        <w:tc>
          <w:tcPr>
            <w:tcW w:type="dxa" w:w="2120"/>
            <w:vAlign w:val="center"/>
          </w:tcPr>
          <w:p>
            <w:pPr>
              <w:spacing w:after="0" w:line="240" w:lineRule="auto"/>
            </w:pPr>
            <w:r>
              <w:rPr>
                <w:rFonts w:ascii="Calibri" w:hAnsi="Calibri"/>
                <w:sz w:val="18"/>
              </w:rPr>
            </w:r>
            <w:r>
              <w:rPr>
                <w:rFonts w:ascii="Calibri" w:hAnsi="Calibri"/>
                <w:sz w:val="18"/>
              </w:rPr>
              <w:t>219,22 M€</w:t>
            </w:r>
          </w:p>
        </w:tc>
        <w:tc>
          <w:tcPr>
            <w:tcW w:type="dxa" w:w="2120"/>
            <w:vAlign w:val="center"/>
          </w:tcPr>
          <w:p>
            <w:pPr>
              <w:spacing w:after="0" w:line="240" w:lineRule="auto"/>
            </w:pPr>
            <w:r>
              <w:rPr>
                <w:rFonts w:ascii="Calibri" w:hAnsi="Calibri"/>
                <w:sz w:val="18"/>
              </w:rPr>
            </w:r>
            <w:r>
              <w:rPr>
                <w:rFonts w:ascii="Calibri" w:hAnsi="Calibri"/>
                <w:sz w:val="18"/>
              </w:rPr>
              <w:t>230,80 M€</w:t>
            </w:r>
          </w:p>
        </w:tc>
        <w:tc>
          <w:tcPr>
            <w:tcW w:type="dxa" w:w="2120"/>
            <w:vAlign w:val="center"/>
          </w:tcPr>
          <w:p>
            <w:pPr>
              <w:spacing w:after="0" w:line="240" w:lineRule="auto"/>
            </w:pPr>
            <w:r>
              <w:rPr>
                <w:rFonts w:ascii="Calibri" w:hAnsi="Calibri"/>
                <w:sz w:val="18"/>
              </w:rPr>
            </w:r>
            <w:r>
              <w:rPr>
                <w:rFonts w:ascii="Calibri" w:hAnsi="Calibri"/>
                <w:sz w:val="18"/>
              </w:rPr>
              <w:t>11,58 M€</w:t>
            </w:r>
          </w:p>
        </w:tc>
      </w:tr>
      <w:tr>
        <w:tc>
          <w:tcPr>
            <w:tcW w:type="dxa" w:w="3000"/>
            <w:vAlign w:val="center"/>
          </w:tcPr>
          <w:p>
            <w:pPr>
              <w:spacing w:after="0" w:line="240" w:lineRule="auto"/>
            </w:pPr>
            <w:r>
              <w:rPr>
                <w:rFonts w:ascii="Calibri" w:hAnsi="Calibri"/>
                <w:sz w:val="18"/>
              </w:rPr>
            </w:r>
            <w:r>
              <w:rPr>
                <w:rFonts w:ascii="Calibri" w:hAnsi="Calibri"/>
                <w:sz w:val="18"/>
              </w:rPr>
              <w:t>Marche aléatoire</w:t>
            </w:r>
          </w:p>
        </w:tc>
        <w:tc>
          <w:tcPr>
            <w:tcW w:type="dxa" w:w="2120"/>
            <w:vAlign w:val="center"/>
          </w:tcPr>
          <w:p>
            <w:pPr>
              <w:spacing w:after="0" w:line="240" w:lineRule="auto"/>
            </w:pPr>
            <w:r>
              <w:rPr>
                <w:rFonts w:ascii="Calibri" w:hAnsi="Calibri"/>
                <w:sz w:val="18"/>
              </w:rPr>
            </w:r>
            <w:r>
              <w:rPr>
                <w:rFonts w:ascii="Calibri" w:hAnsi="Calibri"/>
                <w:sz w:val="18"/>
              </w:rPr>
              <w:t>218,83 M€</w:t>
            </w:r>
          </w:p>
        </w:tc>
        <w:tc>
          <w:tcPr>
            <w:tcW w:type="dxa" w:w="2120"/>
            <w:vAlign w:val="center"/>
          </w:tcPr>
          <w:p>
            <w:pPr>
              <w:spacing w:after="0" w:line="240" w:lineRule="auto"/>
            </w:pPr>
            <w:r>
              <w:rPr>
                <w:rFonts w:ascii="Calibri" w:hAnsi="Calibri"/>
                <w:sz w:val="18"/>
              </w:rPr>
            </w:r>
            <w:r>
              <w:rPr>
                <w:rFonts w:ascii="Calibri" w:hAnsi="Calibri"/>
                <w:sz w:val="18"/>
              </w:rPr>
              <w:t>230,54 M€</w:t>
            </w:r>
          </w:p>
        </w:tc>
        <w:tc>
          <w:tcPr>
            <w:tcW w:type="dxa" w:w="2120"/>
            <w:vAlign w:val="center"/>
          </w:tcPr>
          <w:p>
            <w:pPr>
              <w:spacing w:after="0" w:line="240" w:lineRule="auto"/>
            </w:pPr>
            <w:r>
              <w:rPr>
                <w:rFonts w:ascii="Calibri" w:hAnsi="Calibri"/>
                <w:sz w:val="18"/>
              </w:rPr>
            </w:r>
            <w:r>
              <w:rPr>
                <w:rFonts w:ascii="Calibri" w:hAnsi="Calibri"/>
                <w:sz w:val="18"/>
              </w:rPr>
              <w:t>11,71 M€</w:t>
            </w:r>
          </w:p>
        </w:tc>
      </w:tr>
      <w:tr>
        <w:tc>
          <w:tcPr>
            <w:tcW w:type="dxa" w:w="3000"/>
            <w:vAlign w:val="center"/>
          </w:tcPr>
          <w:p>
            <w:pPr>
              <w:spacing w:after="0" w:line="240" w:lineRule="auto"/>
            </w:pPr>
            <w:r>
              <w:rPr>
                <w:rFonts w:ascii="Calibri" w:hAnsi="Calibri"/>
                <w:sz w:val="18"/>
              </w:rPr>
            </w:r>
            <w:r>
              <w:rPr>
                <w:rFonts w:ascii="Calibri" w:hAnsi="Calibri"/>
                <w:sz w:val="18"/>
              </w:rPr>
              <w:t>CBD</w:t>
            </w:r>
          </w:p>
        </w:tc>
        <w:tc>
          <w:tcPr>
            <w:tcW w:type="dxa" w:w="2120"/>
            <w:vAlign w:val="center"/>
          </w:tcPr>
          <w:p>
            <w:pPr>
              <w:spacing w:after="0" w:line="240" w:lineRule="auto"/>
            </w:pPr>
            <w:r>
              <w:rPr>
                <w:rFonts w:ascii="Calibri" w:hAnsi="Calibri"/>
                <w:sz w:val="18"/>
              </w:rPr>
            </w:r>
            <w:r>
              <w:rPr>
                <w:rFonts w:ascii="Calibri" w:hAnsi="Calibri"/>
                <w:sz w:val="18"/>
              </w:rPr>
              <w:t>213,79 M€</w:t>
            </w:r>
          </w:p>
        </w:tc>
        <w:tc>
          <w:tcPr>
            <w:tcW w:type="dxa" w:w="2120"/>
            <w:vAlign w:val="center"/>
          </w:tcPr>
          <w:p>
            <w:pPr>
              <w:spacing w:after="0" w:line="240" w:lineRule="auto"/>
            </w:pPr>
            <w:r>
              <w:rPr>
                <w:rFonts w:ascii="Calibri" w:hAnsi="Calibri"/>
                <w:sz w:val="18"/>
              </w:rPr>
            </w:r>
            <w:r>
              <w:rPr>
                <w:rFonts w:ascii="Calibri" w:hAnsi="Calibri"/>
                <w:sz w:val="18"/>
              </w:rPr>
              <w:t>226,12 M€</w:t>
            </w:r>
          </w:p>
        </w:tc>
        <w:tc>
          <w:tcPr>
            <w:tcW w:type="dxa" w:w="2120"/>
            <w:vAlign w:val="center"/>
          </w:tcPr>
          <w:p>
            <w:pPr>
              <w:spacing w:after="0" w:line="240" w:lineRule="auto"/>
            </w:pPr>
            <w:r>
              <w:rPr>
                <w:rFonts w:ascii="Calibri" w:hAnsi="Calibri"/>
                <w:sz w:val="18"/>
              </w:rPr>
            </w:r>
            <w:r>
              <w:rPr>
                <w:rFonts w:ascii="Calibri" w:hAnsi="Calibri"/>
                <w:sz w:val="18"/>
              </w:rPr>
              <w:t>12,33 M€</w:t>
            </w:r>
          </w:p>
        </w:tc>
      </w:tr>
    </w:tbl>
    <w:p>
      <w:pPr>
        <w:spacing w:after="0"/>
      </w:pPr>
    </w:p>
    <w:p>
      <w:r>
        <w:t>L’écart de provision atteint 6,26 M€ en incluant CBD et 1,22 M€ entre modèles couvrant tous les âges. Le SCR varie de 11,52 à 12,33 M€, soit environ 7 % d’écart relatif. Cette étude est illustrative et ne remplace pas une valorisation propre à un assureur.</w:t>
      </w:r>
    </w:p>
    <w:p>
      <w:pPr>
        <w:pStyle w:val="Heading1"/>
      </w:pPr>
      <w:r>
        <w:t>8. Limites</w:t>
      </w:r>
    </w:p>
    <w:p>
      <w:pPr>
        <w:pStyle w:val="ListBullet"/>
      </w:pPr>
      <w:r>
        <w:t>modèles mono-population et absence d’effet cohorte explicite ;</w:t>
      </w:r>
    </w:p>
    <w:p>
      <w:pPr>
        <w:pStyle w:val="ListBullet"/>
      </w:pPr>
      <w:r>
        <w:t>une seule seed et pas de tuning spécifique à chaque architecture ;</w:t>
      </w:r>
    </w:p>
    <w:p>
      <w:pPr>
        <w:pStyle w:val="ListBullet"/>
      </w:pPr>
      <w:r>
        <w:t>prévisions ponctuelles seulement, sans calibration d’intervalles ;</w:t>
      </w:r>
    </w:p>
    <w:p>
      <w:pPr>
        <w:pStyle w:val="ListBullet"/>
      </w:pPr>
      <w:r>
        <w:t>critères actuariels tronqués à 100 ans ;</w:t>
      </w:r>
    </w:p>
    <w:p>
      <w:pPr>
        <w:pStyle w:val="ListBullet"/>
      </w:pPr>
      <w:r>
        <w:t>nombres d’origines valides différents selon la date de fin de chaque pays ;</w:t>
      </w:r>
    </w:p>
    <w:p>
      <w:pPr>
        <w:pStyle w:val="ListBullet"/>
      </w:pPr>
      <w:r>
        <w:t>scénario COVID limité à un seul épisode ;</w:t>
      </w:r>
    </w:p>
    <w:p>
      <w:pPr>
        <w:pStyle w:val="ListBullet"/>
      </w:pPr>
      <w:r>
        <w:t>étude de cas sensible à l’inclusion de CBD, qui ne couvre que les âges élevés.</w:t>
      </w:r>
    </w:p>
    <w:p>
      <w:pPr>
        <w:pStyle w:val="Heading1"/>
      </w:pPr>
      <w:r>
        <w:t>9. Reproductibilité</w:t>
      </w:r>
    </w:p>
    <w:p>
      <w:pPr>
        <w:pStyle w:val="CodeBlock"/>
      </w:pPr>
      <w:r>
        <w:t>pip install -e ".[dev]"</w:t>
        <w:br/>
        <w:t>python scripts/run_benchmark.py</w:t>
        <w:br/>
        <w:t>python scripts/run_case_study.py</w:t>
        <w:br/>
        <w:t>pytest -q</w:t>
      </w:r>
    </w:p>
    <w:p>
      <w:r>
        <w:t>Le dépôt contient le manuscrit LaTeX, 27 312 lignes de résultats, le CSV de l’étude de cas, les tests et le dashboard Streamlit. OpenAI Codex a été utilisé pour l’édition linguistique, les vérifications de cohérence entre code et manuscrit et l’assurance qualité des documents ; l’auteur reste responsable de l’étude et de son contenu.</w:t>
      </w:r>
    </w:p>
    <w:p>
      <w:pPr>
        <w:pStyle w:val="Heading1"/>
      </w:pPr>
      <w:r>
        <w:t>10. Références principales</w:t>
      </w:r>
    </w:p>
    <w:p>
      <w:pPr>
        <w:pStyle w:val="ListBullet"/>
      </w:pPr>
      <w:r>
        <w:t>Lee, R. D. et Carter, L. R. (1992). Modeling and Forecasting U.S. Mortality. JASA.</w:t>
      </w:r>
    </w:p>
    <w:p>
      <w:pPr>
        <w:pStyle w:val="ListBullet"/>
      </w:pPr>
      <w:r>
        <w:t>Brouhns, N., Denuit, M. et Vermunt, J. K. (2002). Poisson log-bilinear mortality projection. IME.</w:t>
      </w:r>
    </w:p>
    <w:p>
      <w:pPr>
        <w:pStyle w:val="ListBullet"/>
      </w:pPr>
      <w:r>
        <w:t>Cairns, A. J. G., Blake, D. et Dowd, K. (2006). A two-factor model for stochastic mortality. Journal of Risk and Insurance.</w:t>
      </w:r>
    </w:p>
    <w:p>
      <w:pPr>
        <w:pStyle w:val="ListBullet"/>
      </w:pPr>
      <w:r>
        <w:t>Hyndman, R. J. et Ullah, M. S. (2007). Robust forecasting of mortality and fertility rates. CSDA.</w:t>
      </w:r>
    </w:p>
    <w:p>
      <w:pPr>
        <w:pStyle w:val="ListBullet"/>
      </w:pPr>
      <w:r>
        <w:t>Barigou, K. et al. (2023). Bayesian model averaging for mortality forecasting. IJF.</w:t>
      </w:r>
    </w:p>
    <w:p>
      <w:pPr>
        <w:pStyle w:val="ListBullet"/>
      </w:pPr>
      <w:r>
        <w:t>Li, L., Li, H. et Panagiotelis, A. (2025). Boosting domain-specific models with shrinkage. IJF.</w:t>
      </w:r>
    </w:p>
    <w:p>
      <w:pPr>
        <w:pStyle w:val="ListBullet"/>
      </w:pPr>
      <w:r>
        <w:t>De Mori, L. et al. (2025). Mortality forecasting via multi-task neural networks. ASTIN Bulletin.</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EC"/>
      </w:pBdr>
    </w:pPr>
    <w:r>
      <w:rPr>
        <w:rFonts w:ascii="Calibri" w:hAnsi="Calibri"/>
        <w:color w:val="5B6573"/>
        <w:sz w:val="16"/>
      </w:rPr>
      <w:t>MORTALITY BENCHMARK  •  RAPPORT DE PROJET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EC"/>
      </w:pBdr>
    </w:pPr>
    <w:r>
      <w:rPr>
        <w:rFonts w:ascii="Calibri" w:hAnsi="Calibri"/>
        <w:color w:val="5B6573"/>
        <w:sz w:val="16"/>
      </w:rPr>
      <w:t>MORTALITY BENCHMARK  •  RAPPORT DE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left"/>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80"/>
    </w:pPr>
    <w:rPr>
      <w:rFonts w:ascii="Calibri" w:hAnsi="Calibri"/>
      <w:color w:val="5B6573"/>
      <w:sz w:val="22"/>
    </w:rPr>
  </w:style>
  <w:style w:type="paragraph" w:customStyle="1" w:styleId="CodeBlock">
    <w:name w:val="Code Block"/>
    <w:pPr>
      <w:spacing w:before="80" w:after="160" w:line="240" w:lineRule="auto"/>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de modèles de mortalité classiques et neuronaux</dc:title>
  <dc:subject>Mortality forecasting benchmark and actuarial model risk</dc:subject>
  <dc:creator>Amine Manai</dc:creator>
  <cp:keywords>mortalité, actuariat, Lee-Carter, deep learning, Solvabilité II</cp:keywords>
  <dc:description>generated by python-docx</dc:description>
  <cp:lastModifiedBy/>
  <cp:revision>1</cp:revision>
  <dcterms:created xsi:type="dcterms:W3CDTF">2013-12-23T23:15:00Z</dcterms:created>
  <dcterms:modified xsi:type="dcterms:W3CDTF">2013-12-23T23:15:00Z</dcterms:modified>
  <cp:category/>
</cp:coreProperties>
</file>