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Times New Roman" w:cs="Times New Roman" w:eastAsia="Times New Roman" w:hAnsi="Times New Roman"/>
          <w:sz w:val="24"/>
          <w:szCs w:val="24"/>
        </w:rPr>
        <w:t xml:space="preserve"/>
      </w:r>
    </w:p>
    <w:p>
      <w:pPr>
        <w:spacing w:after="100" w:before="0"/>
        <w:jc w:val="center"/>
      </w:pPr>
      <w:r>
        <w:rPr>
          <w:rFonts w:ascii="Times New Roman" w:cs="Times New Roman" w:eastAsia="Times New Roman" w:hAnsi="Times New Roman"/>
          <w:b w:val="false"/>
          <w:bCs w:val="false"/>
          <w:sz w:val="22"/>
          <w:szCs w:val="22"/>
        </w:rPr>
        <w:t xml:space="preserve">УДК 004.85</w:t>
      </w:r>
    </w:p>
    <w:p>
      <w:pPr>
        <w:spacing w:after="0" w:before="0"/>
      </w:pPr>
      <w:r>
        <w:rPr>
          <w:rFonts w:ascii="Times New Roman" w:cs="Times New Roman" w:eastAsia="Times New Roman" w:hAnsi="Times New Roman"/>
          <w:sz w:val="24"/>
          <w:szCs w:val="24"/>
        </w:rPr>
        <w:t xml:space="preserve"/>
      </w:r>
    </w:p>
    <w:p>
      <w:pPr>
        <w:spacing w:after="120" w:before="120"/>
        <w:jc w:val="center"/>
      </w:pPr>
      <w:r>
        <w:rPr>
          <w:rFonts w:ascii="Times New Roman" w:cs="Times New Roman" w:eastAsia="Times New Roman" w:hAnsi="Times New Roman"/>
          <w:b/>
          <w:bCs/>
          <w:sz w:val="26"/>
          <w:szCs w:val="26"/>
        </w:rPr>
        <w:t xml:space="preserve">СРАВНИТЕЛЬНЫЙ АНАЛИЗ МЕТОДОВ КОНФОРМНОГО ПРЕДСКАЗАНИЯ
ДЛЯ ОЦЕНКИ НЕОПРЕДЕЛЁННОСТИ В СИСТЕМАХ
ПОДДЕРЖКИ ПРИНЯТИЯ РЕШЕНИЙ ПРИ ИЗМЕНЕНИИ УСЛОВИЙ ДАННЫХ</w:t>
      </w:r>
    </w:p>
    <w:p>
      <w:pPr>
        <w:spacing w:after="0" w:before="0"/>
      </w:pPr>
      <w:r>
        <w:rPr>
          <w:rFonts w:ascii="Times New Roman" w:cs="Times New Roman" w:eastAsia="Times New Roman" w:hAnsi="Times New Roman"/>
          <w:sz w:val="24"/>
          <w:szCs w:val="24"/>
        </w:rPr>
        <w:t xml:space="preserve"/>
      </w:r>
    </w:p>
    <w:p>
      <w:pPr>
        <w:spacing w:after="100" w:before="0"/>
        <w:jc w:val="center"/>
      </w:pPr>
      <w:r>
        <w:rPr>
          <w:rFonts w:ascii="Times New Roman" w:cs="Times New Roman" w:eastAsia="Times New Roman" w:hAnsi="Times New Roman"/>
          <w:b w:val="false"/>
          <w:bCs w:val="false"/>
          <w:sz w:val="24"/>
          <w:szCs w:val="24"/>
        </w:rPr>
        <w:t xml:space="preserve">Рефси Амин</w:t>
      </w:r>
    </w:p>
    <w:p>
      <w:pPr>
        <w:spacing w:after="100" w:before="0"/>
        <w:jc w:val="center"/>
      </w:pPr>
      <w:r>
        <w:rPr>
          <w:rFonts w:ascii="Times New Roman" w:cs="Times New Roman" w:eastAsia="Times New Roman" w:hAnsi="Times New Roman"/>
          <w:b w:val="false"/>
          <w:bCs w:val="false"/>
          <w:sz w:val="24"/>
          <w:szCs w:val="24"/>
        </w:rPr>
        <w:t xml:space="preserve">аспирант</w:t>
      </w:r>
    </w:p>
    <w:p>
      <w:pPr>
        <w:spacing w:after="100" w:before="0"/>
        <w:jc w:val="center"/>
      </w:pPr>
      <w:r>
        <w:rPr>
          <w:rFonts w:ascii="Times New Roman" w:cs="Times New Roman" w:eastAsia="Times New Roman" w:hAnsi="Times New Roman"/>
          <w:b w:val="false"/>
          <w:bCs w:val="false"/>
          <w:sz w:val="24"/>
          <w:szCs w:val="24"/>
        </w:rPr>
        <w:t xml:space="preserve">ФГБОУ ВО «Самарский государственный технический университет»</w:t>
      </w:r>
    </w:p>
    <w:p>
      <w:pPr>
        <w:spacing w:after="100" w:before="0"/>
        <w:jc w:val="center"/>
      </w:pPr>
      <w:r>
        <w:rPr>
          <w:rFonts w:ascii="Times New Roman" w:cs="Times New Roman" w:eastAsia="Times New Roman" w:hAnsi="Times New Roman"/>
          <w:b w:val="false"/>
          <w:bCs w:val="false"/>
          <w:sz w:val="24"/>
          <w:szCs w:val="24"/>
        </w:rPr>
        <w:t xml:space="preserve">г. Самара, Россия</w:t>
      </w:r>
    </w:p>
    <w:p>
      <w:pPr>
        <w:spacing w:after="100" w:before="0"/>
        <w:jc w:val="center"/>
      </w:pPr>
      <w:r>
        <w:rPr>
          <w:rFonts w:ascii="Times New Roman" w:cs="Times New Roman" w:eastAsia="Times New Roman" w:hAnsi="Times New Roman"/>
          <w:b w:val="false"/>
          <w:bCs w:val="false"/>
          <w:sz w:val="24"/>
          <w:szCs w:val="24"/>
        </w:rPr>
        <w:t xml:space="preserve">refsiamine.p@gmail.com</w:t>
      </w:r>
    </w:p>
    <w:p>
      <w:pPr>
        <w:spacing w:after="0" w:before="0"/>
      </w:pPr>
      <w:r>
        <w:rPr>
          <w:rFonts w:ascii="Times New Roman" w:cs="Times New Roman" w:eastAsia="Times New Roman" w:hAnsi="Times New Roman"/>
          <w:sz w:val="24"/>
          <w:szCs w:val="24"/>
        </w:rPr>
        <w:t xml:space="preserve"/>
      </w:r>
    </w:p>
    <w:p>
      <w:pPr>
        <w:spacing w:after="120" w:before="0" w:line="320"/>
        <w:jc w:val="both"/>
      </w:pPr>
      <w:r>
        <w:rPr>
          <w:rFonts w:ascii="Times New Roman" w:cs="Times New Roman" w:eastAsia="Times New Roman" w:hAnsi="Times New Roman"/>
          <w:b/>
          <w:bCs/>
          <w:sz w:val="22"/>
          <w:szCs w:val="22"/>
        </w:rPr>
        <w:t xml:space="preserve">Аннотация: </w:t>
      </w:r>
      <w:r>
        <w:rPr>
          <w:rFonts w:ascii="Times New Roman" w:cs="Times New Roman" w:eastAsia="Times New Roman" w:hAnsi="Times New Roman"/>
          <w:sz w:val="22"/>
          <w:szCs w:val="22"/>
        </w:rPr>
        <w:t xml:space="preserve">Работа посвящена сопоставлению методов конформного предсказания в контексте задач интеллектуальной поддержки принятия решений, когда статистические свойства данных со временем меняются. Разобраны базовый, взвешенный и адаптивный варианты конформного предсказания, а также подход, сохраняющий частичные гарантии за пределами условия обменяемости. Для каждого варианта показано, при каком типе сдвига распределения он сохраняет гарантии покрытия, а при каком — теряет их. На основе сравнения предложена практическая схема выбора метода, учитывающая доступность разметки и характер наблюдаемого сдвига.</w:t>
      </w:r>
    </w:p>
    <w:p>
      <w:pPr>
        <w:spacing w:after="0" w:before="0"/>
      </w:pPr>
      <w:r>
        <w:rPr>
          <w:rFonts w:ascii="Times New Roman" w:cs="Times New Roman" w:eastAsia="Times New Roman" w:hAnsi="Times New Roman"/>
          <w:sz w:val="24"/>
          <w:szCs w:val="24"/>
        </w:rPr>
        <w:t xml:space="preserve"/>
      </w:r>
    </w:p>
    <w:p>
      <w:pPr>
        <w:spacing w:after="120" w:before="0" w:line="320"/>
        <w:jc w:val="both"/>
      </w:pPr>
      <w:r>
        <w:rPr>
          <w:rFonts w:ascii="Times New Roman" w:cs="Times New Roman" w:eastAsia="Times New Roman" w:hAnsi="Times New Roman"/>
          <w:b/>
          <w:bCs/>
          <w:sz w:val="22"/>
          <w:szCs w:val="22"/>
        </w:rPr>
        <w:t xml:space="preserve">Ключевые слова: </w:t>
      </w:r>
      <w:r>
        <w:rPr>
          <w:rFonts w:ascii="Times New Roman" w:cs="Times New Roman" w:eastAsia="Times New Roman" w:hAnsi="Times New Roman"/>
          <w:sz w:val="22"/>
          <w:szCs w:val="22"/>
        </w:rPr>
        <w:t xml:space="preserve">конформное предсказание; сдвиг распределения данных; ковариатный сдвиг; поддержка принятия решений; неопределённость прогнозов; гарантии покрытия; машинное обучение.</w:t>
      </w:r>
    </w:p>
    <w:p>
      <w:pPr>
        <w:spacing w:after="0" w:before="0"/>
      </w:pPr>
      <w:r>
        <w:rPr>
          <w:rFonts w:ascii="Times New Roman" w:cs="Times New Roman" w:eastAsia="Times New Roman" w:hAnsi="Times New Roman"/>
          <w:sz w:val="24"/>
          <w:szCs w:val="24"/>
        </w:rPr>
        <w:t xml:space="preserve"/>
      </w:r>
    </w:p>
    <w:p>
      <w:pPr>
        <w:spacing w:after="120" w:before="0" w:line="320"/>
        <w:jc w:val="both"/>
      </w:pPr>
      <w:r>
        <w:rPr>
          <w:rFonts w:ascii="Times New Roman" w:cs="Times New Roman" w:eastAsia="Times New Roman" w:hAnsi="Times New Roman"/>
          <w:b/>
          <w:bCs/>
          <w:i/>
          <w:iCs/>
          <w:sz w:val="22"/>
          <w:szCs w:val="22"/>
        </w:rPr>
        <w:t xml:space="preserve">Abstract: </w:t>
      </w:r>
      <w:r>
        <w:rPr>
          <w:rFonts w:ascii="Times New Roman" w:cs="Times New Roman" w:eastAsia="Times New Roman" w:hAnsi="Times New Roman"/>
          <w:i/>
          <w:iCs/>
          <w:sz w:val="22"/>
          <w:szCs w:val="22"/>
        </w:rPr>
        <w:t xml:space="preserve">This work compares conformal prediction methods in the context of intelligent decision support when the statistical properties of data change over time. Base, weighted, and adaptive variants of conformal prediction are examined, along with an approach that retains partial coverage guarantees beyond the exchangeability assumption. For each variant, it is shown under which type of distribution shift coverage guarantees hold and under which they break down. Based on this comparison, a practical method-selection scheme is proposed that takes into account label availability and the nature of the observed shift.</w:t>
      </w:r>
    </w:p>
    <w:p>
      <w:pPr>
        <w:spacing w:after="360" w:before="0" w:line="320"/>
        <w:jc w:val="both"/>
      </w:pPr>
      <w:r>
        <w:rPr>
          <w:rFonts w:ascii="Times New Roman" w:cs="Times New Roman" w:eastAsia="Times New Roman" w:hAnsi="Times New Roman"/>
          <w:b/>
          <w:bCs/>
          <w:i/>
          <w:iCs/>
          <w:sz w:val="22"/>
          <w:szCs w:val="22"/>
        </w:rPr>
        <w:t xml:space="preserve">Keywords: </w:t>
      </w:r>
      <w:r>
        <w:rPr>
          <w:rFonts w:ascii="Times New Roman" w:cs="Times New Roman" w:eastAsia="Times New Roman" w:hAnsi="Times New Roman"/>
          <w:i/>
          <w:iCs/>
          <w:sz w:val="22"/>
          <w:szCs w:val="22"/>
        </w:rPr>
        <w:t xml:space="preserve">conformal prediction; data distribution shift; covariate shift; decision support; prediction uncertainty; coverage guarantees; machine learning.</w:t>
      </w:r>
    </w:p>
    <w:p>
      <w:pPr>
        <w:pStyle w:val="Heading1"/>
        <w:spacing w:after="120" w:before="360"/>
        <w:jc w:val="center"/>
      </w:pPr>
      <w:r>
        <w:rPr>
          <w:rFonts w:ascii="Times New Roman" w:cs="Times New Roman" w:eastAsia="Times New Roman" w:hAnsi="Times New Roman"/>
          <w:b/>
          <w:bCs/>
          <w:sz w:val="28"/>
          <w:szCs w:val="28"/>
        </w:rPr>
        <w:t xml:space="preserve">1. ВВЕДЕНИЕ</w:t>
      </w:r>
    </w:p>
    <w:p>
      <w:pPr>
        <w:spacing w:after="120" w:before="0" w:line="360" w:lineRule="auto"/>
        <w:ind w:firstLine="567"/>
        <w:jc w:val="both"/>
      </w:pPr>
      <w:r>
        <w:rPr>
          <w:rFonts w:ascii="Times New Roman" w:cs="Times New Roman" w:eastAsia="Times New Roman" w:hAnsi="Times New Roman"/>
          <w:sz w:val="24"/>
          <w:szCs w:val="24"/>
        </w:rPr>
        <w:t xml:space="preserve">Когда система интеллектуальной поддержки принятия решений (СИППР) работает достаточно долго, рано или поздно она сталкивается с данными, чьи статистические свойства уже не совпадают с теми, что были на этапе обучения модели. Это явление обычно называют сдвигом распределения (distribution shift) [1], и оно напрямую бьёт по надёжности выдаваемых системой рекомендаций.</w:t>
      </w:r>
    </w:p>
    <w:p>
      <w:pPr>
        <w:spacing w:after="120" w:before="0" w:line="360" w:lineRule="auto"/>
        <w:ind w:firstLine="567"/>
        <w:jc w:val="both"/>
      </w:pPr>
      <w:r>
        <w:rPr>
          <w:rFonts w:ascii="Times New Roman" w:cs="Times New Roman" w:eastAsia="Times New Roman" w:hAnsi="Times New Roman"/>
          <w:sz w:val="24"/>
          <w:szCs w:val="24"/>
        </w:rPr>
        <w:t xml:space="preserve">Один из немногих математически строгих ответов на эту проблему даёт конформное предсказание (CP) [2] — оно позволяет строить не точечный прогноз, а целую область допустимых ответов с заранее заданным уровнем гарантированного покрытия, причём без каких-либо предположений о конкретной форме распределения данных. Загвоздка в том, что классический CP держится на условии обменяемости наблюдений, а при сдвиге распределения это условие как раз и нарушается.</w:t>
      </w:r>
    </w:p>
    <w:p>
      <w:pPr>
        <w:spacing w:after="120" w:before="0" w:line="360" w:lineRule="auto"/>
        <w:ind w:firstLine="567"/>
        <w:jc w:val="both"/>
      </w:pPr>
      <w:r>
        <w:rPr>
          <w:rFonts w:ascii="Times New Roman" w:cs="Times New Roman" w:eastAsia="Times New Roman" w:hAnsi="Times New Roman"/>
          <w:sz w:val="24"/>
          <w:szCs w:val="24"/>
        </w:rPr>
        <w:t xml:space="preserve">За последнее десятилетие появилось несколько расширений CP, рассчитанных именно на нестационарные условия: взвешенное конформное предсказание [3], адаптивное конформное предсказание [4], методы с частичными гарантиями за пределами обменяемости [5]. При этом сравнительный разбор этих подходов применительно к задачам СИППР в отечественной литературе представлен, прямо скажем, скудно.</w:t>
      </w:r>
    </w:p>
    <w:p>
      <w:pPr>
        <w:spacing w:after="120" w:before="0" w:line="360" w:lineRule="auto"/>
        <w:ind w:firstLine="567"/>
        <w:jc w:val="both"/>
      </w:pPr>
      <w:r>
        <w:rPr>
          <w:rFonts w:ascii="Times New Roman" w:cs="Times New Roman" w:eastAsia="Times New Roman" w:hAnsi="Times New Roman"/>
          <w:sz w:val="24"/>
          <w:szCs w:val="24"/>
        </w:rPr>
        <w:t xml:space="preserve">Цель этой статьи — свести воедино и сопоставить методы CP именно с точки зрения их пригодности для обеспечения надёжности СИППР при сдвиге распределения данных.</w:t>
      </w:r>
    </w:p>
    <w:p>
      <w:pPr>
        <w:pStyle w:val="Heading1"/>
        <w:spacing w:after="120" w:before="360"/>
        <w:jc w:val="center"/>
      </w:pPr>
      <w:r>
        <w:rPr>
          <w:rFonts w:ascii="Times New Roman" w:cs="Times New Roman" w:eastAsia="Times New Roman" w:hAnsi="Times New Roman"/>
          <w:b/>
          <w:bCs/>
          <w:sz w:val="28"/>
          <w:szCs w:val="28"/>
        </w:rPr>
        <w:t xml:space="preserve">2. ФОРМАЛИЗАЦИЯ ЗАДАЧИ</w:t>
      </w:r>
    </w:p>
    <w:p>
      <w:pPr>
        <w:pStyle w:val="Heading2"/>
        <w:spacing w:after="80" w:before="240"/>
      </w:pPr>
      <w:r>
        <w:rPr>
          <w:rFonts w:ascii="Times New Roman" w:cs="Times New Roman" w:eastAsia="Times New Roman" w:hAnsi="Times New Roman"/>
          <w:b/>
          <w:bCs/>
          <w:sz w:val="26"/>
          <w:szCs w:val="26"/>
        </w:rPr>
        <w:t xml:space="preserve">2.1. Постановка общей задачи</w:t>
      </w:r>
    </w:p>
    <w:p>
      <w:pPr>
        <w:spacing w:after="120" w:before="0" w:line="360" w:lineRule="auto"/>
        <w:ind w:firstLine="567"/>
        <w:jc w:val="both"/>
      </w:pPr>
      <w:r>
        <w:rPr>
          <w:rFonts w:ascii="Times New Roman" w:cs="Times New Roman" w:eastAsia="Times New Roman" w:hAnsi="Times New Roman"/>
          <w:sz w:val="24"/>
          <w:szCs w:val="24"/>
        </w:rPr>
        <w:t xml:space="preserve">Рассмотрим классификатор f: X → [0,1], обученный на выборке D_train ~ P_train(X,Y). В момент эксплуатации система получает запрос x_new из распределения P_test(X), которое в общем случае может не совпадать с P_train(X).</w:t>
      </w:r>
    </w:p>
    <w:p>
      <w:pPr>
        <w:spacing w:after="120" w:before="0" w:line="360" w:lineRule="auto"/>
        <w:ind w:firstLine="567"/>
        <w:jc w:val="both"/>
      </w:pPr>
      <w:r>
        <w:rPr>
          <w:rFonts w:ascii="Times New Roman" w:cs="Times New Roman" w:eastAsia="Times New Roman" w:hAnsi="Times New Roman"/>
          <w:sz w:val="24"/>
          <w:szCs w:val="24"/>
        </w:rPr>
        <w:t xml:space="preserve">Задача CP — построить множество C(x_new) ⊆ Y такое, что:</w:t>
      </w:r>
    </w:p>
    <w:p>
      <w:pPr>
        <w:spacing w:after="120" w:before="0" w:line="360" w:lineRule="auto"/>
        <w:ind/>
        <w:jc w:val="both"/>
      </w:pPr>
      <w:r>
        <w:rPr>
          <w:rFonts w:ascii="Times New Roman" w:cs="Times New Roman" w:eastAsia="Times New Roman" w:hAnsi="Times New Roman"/>
          <w:sz w:val="24"/>
          <w:szCs w:val="24"/>
        </w:rPr>
        <w:t xml:space="preserve">                P(Y_new ∈ C(x_new)) ≥ 1 − α,     (1)</w:t>
      </w:r>
    </w:p>
    <w:p>
      <w:pPr>
        <w:spacing w:after="120" w:before="0" w:line="360" w:lineRule="auto"/>
        <w:ind w:firstLine="567"/>
        <w:jc w:val="both"/>
      </w:pPr>
      <w:r>
        <w:rPr>
          <w:rFonts w:ascii="Times New Roman" w:cs="Times New Roman" w:eastAsia="Times New Roman" w:hAnsi="Times New Roman"/>
          <w:sz w:val="24"/>
          <w:szCs w:val="24"/>
        </w:rPr>
        <w:t xml:space="preserve">где α ∈ (0,1) — заданный уровень значимости, а величина 1 − α называется гарантированным уровнем покрытия. Для задач СИППР на практике обычно берут α ∈ {0.05; 0.10}.</w:t>
      </w:r>
    </w:p>
    <w:p>
      <w:pPr>
        <w:pStyle w:val="Heading2"/>
        <w:spacing w:after="80" w:before="240"/>
      </w:pPr>
      <w:r>
        <w:rPr>
          <w:rFonts w:ascii="Times New Roman" w:cs="Times New Roman" w:eastAsia="Times New Roman" w:hAnsi="Times New Roman"/>
          <w:b/>
          <w:bCs/>
          <w:sz w:val="26"/>
          <w:szCs w:val="26"/>
        </w:rPr>
        <w:t xml:space="preserve">2.2. Типология сдвигов распределения</w:t>
      </w:r>
    </w:p>
    <w:p>
      <w:pPr>
        <w:spacing w:after="120" w:before="0" w:line="360" w:lineRule="auto"/>
        <w:ind w:firstLine="567"/>
        <w:jc w:val="both"/>
      </w:pPr>
      <w:r>
        <w:rPr>
          <w:rFonts w:ascii="Times New Roman" w:cs="Times New Roman" w:eastAsia="Times New Roman" w:hAnsi="Times New Roman"/>
          <w:sz w:val="24"/>
          <w:szCs w:val="24"/>
        </w:rPr>
        <w:t xml:space="preserve">Чтобы правильно подобрать метод CP, нужно для начала различать, с каким именно типом сдвига мы имеем дело:</w:t>
      </w:r>
    </w:p>
    <w:p>
      <w:pPr>
        <w:spacing w:after="80" w:before="0" w:line="340" w:lineRule="auto"/>
        <w:ind w:left="567"/>
        <w:jc w:val="both"/>
      </w:pPr>
      <w:r>
        <w:rPr>
          <w:rFonts w:ascii="Times New Roman" w:cs="Times New Roman" w:eastAsia="Times New Roman" w:hAnsi="Times New Roman"/>
          <w:sz w:val="24"/>
          <w:szCs w:val="24"/>
        </w:rPr>
        <w:t xml:space="preserve">– ковариатный сдвиг (covariate shift): P_train(X) ≠ P_test(X) при P(Y|X) = const — самый распространённый случай на практике;</w:t>
      </w:r>
    </w:p>
    <w:p>
      <w:pPr>
        <w:spacing w:after="80" w:before="0" w:line="340" w:lineRule="auto"/>
        <w:ind w:left="567"/>
        <w:jc w:val="both"/>
      </w:pPr>
      <w:r>
        <w:rPr>
          <w:rFonts w:ascii="Times New Roman" w:cs="Times New Roman" w:eastAsia="Times New Roman" w:hAnsi="Times New Roman"/>
          <w:sz w:val="24"/>
          <w:szCs w:val="24"/>
        </w:rPr>
        <w:t xml:space="preserve">– сдвиг меток (label shift): P_train(Y) ≠ P_test(Y) при P(X|Y) = const — типичен для медицины и финансов, где меняются базовые частоты событий;</w:t>
      </w:r>
    </w:p>
    <w:p>
      <w:pPr>
        <w:spacing w:after="80" w:before="0" w:line="340" w:lineRule="auto"/>
        <w:ind w:left="567"/>
        <w:jc w:val="both"/>
      </w:pPr>
      <w:r>
        <w:rPr>
          <w:rFonts w:ascii="Times New Roman" w:cs="Times New Roman" w:eastAsia="Times New Roman" w:hAnsi="Times New Roman"/>
          <w:sz w:val="24"/>
          <w:szCs w:val="24"/>
        </w:rPr>
        <w:t xml:space="preserve">– концептуальный дрейф (concept drift): P_train(Y|X) ≠ P_test(Y|X) — самый серьёзный случай, обычно требующий переобучения модели;</w:t>
      </w:r>
    </w:p>
    <w:p>
      <w:pPr>
        <w:spacing w:after="80" w:before="0" w:line="340" w:lineRule="auto"/>
        <w:ind w:left="567"/>
        <w:jc w:val="both"/>
      </w:pPr>
      <w:r>
        <w:rPr>
          <w:rFonts w:ascii="Times New Roman" w:cs="Times New Roman" w:eastAsia="Times New Roman" w:hAnsi="Times New Roman"/>
          <w:sz w:val="24"/>
          <w:szCs w:val="24"/>
        </w:rPr>
        <w:t xml:space="preserve">– временной дрейф (temporal drift) — постепенное, растянутое во времени смещение любого из перечисленных типов.</w:t>
      </w:r>
    </w:p>
    <w:p>
      <w:pPr>
        <w:spacing w:after="120" w:before="0" w:line="360" w:lineRule="auto"/>
        <w:ind w:firstLine="567"/>
        <w:jc w:val="both"/>
      </w:pPr>
      <w:r>
        <w:rPr>
          <w:rFonts w:ascii="Times New Roman" w:cs="Times New Roman" w:eastAsia="Times New Roman" w:hAnsi="Times New Roman"/>
          <w:sz w:val="24"/>
          <w:szCs w:val="24"/>
        </w:rPr>
        <w:t xml:space="preserve">Тип сдвига здесь имеет решающее значение: каждый из вариантов CP опирается на своё собственное предположение о характере нестационарности, и метод, хорошо работающий при одном типе сдвига, вполне может подвести при другом.</w:t>
      </w:r>
    </w:p>
    <w:p>
      <w:pPr>
        <w:pStyle w:val="Heading1"/>
        <w:spacing w:after="120" w:before="360"/>
        <w:jc w:val="center"/>
      </w:pPr>
      <w:r>
        <w:rPr>
          <w:rFonts w:ascii="Times New Roman" w:cs="Times New Roman" w:eastAsia="Times New Roman" w:hAnsi="Times New Roman"/>
          <w:b/>
          <w:bCs/>
          <w:sz w:val="28"/>
          <w:szCs w:val="28"/>
        </w:rPr>
        <w:t xml:space="preserve">3. МЕТОДЫ КОНФОРМНОГО ПРЕДСКАЗАНИЯ ПРИ СДВИГЕ РАСПРЕДЕЛЕНИЯ</w:t>
      </w:r>
    </w:p>
    <w:p>
      <w:pPr>
        <w:pStyle w:val="Heading2"/>
        <w:spacing w:after="80" w:before="240"/>
      </w:pPr>
      <w:r>
        <w:rPr>
          <w:rFonts w:ascii="Times New Roman" w:cs="Times New Roman" w:eastAsia="Times New Roman" w:hAnsi="Times New Roman"/>
          <w:b/>
          <w:bCs/>
          <w:sz w:val="26"/>
          <w:szCs w:val="26"/>
        </w:rPr>
        <w:t xml:space="preserve">3.1. Базовое конформное предсказание (Split CP)</w:t>
      </w:r>
    </w:p>
    <w:p>
      <w:pPr>
        <w:spacing w:after="120" w:before="0" w:line="360" w:lineRule="auto"/>
        <w:ind w:firstLine="567"/>
        <w:jc w:val="both"/>
      </w:pPr>
      <w:r>
        <w:rPr>
          <w:rFonts w:ascii="Times New Roman" w:cs="Times New Roman" w:eastAsia="Times New Roman" w:hAnsi="Times New Roman"/>
          <w:sz w:val="24"/>
          <w:szCs w:val="24"/>
        </w:rPr>
        <w:t xml:space="preserve">Разделённая версия CP [2] предполагает наличие калибровочной выборки D_cal = {(x_i, y_i)}_{i=1}^{n}, не участвовавшей в обучении модели. Для каждого наблюдения считается мера несоответствия:</w:t>
      </w:r>
    </w:p>
    <w:p>
      <w:pPr>
        <w:spacing w:after="120" w:before="0" w:line="360" w:lineRule="auto"/>
        <w:ind/>
        <w:jc w:val="both"/>
      </w:pPr>
      <w:r>
        <w:rPr>
          <w:rFonts w:ascii="Times New Roman" w:cs="Times New Roman" w:eastAsia="Times New Roman" w:hAnsi="Times New Roman"/>
          <w:sz w:val="24"/>
          <w:szCs w:val="24"/>
        </w:rPr>
        <w:t xml:space="preserve">                s_i = 1 − f(x_i)[y_i],     (2)</w:t>
      </w:r>
    </w:p>
    <w:p>
      <w:pPr>
        <w:spacing w:after="120" w:before="0" w:line="360" w:lineRule="auto"/>
        <w:ind w:firstLine="567"/>
        <w:jc w:val="both"/>
      </w:pPr>
      <w:r>
        <w:rPr>
          <w:rFonts w:ascii="Times New Roman" w:cs="Times New Roman" w:eastAsia="Times New Roman" w:hAnsi="Times New Roman"/>
          <w:sz w:val="24"/>
          <w:szCs w:val="24"/>
        </w:rPr>
        <w:t xml:space="preserve">где f(x_i)[y_i] — вероятность, которую модель присвоила истинному классу y_i. Порог τ берётся как (1−α)-квантиль распределения {s_i}, а прогностическое множество строится так:</w:t>
      </w:r>
    </w:p>
    <w:p>
      <w:pPr>
        <w:spacing w:after="120" w:before="0" w:line="360" w:lineRule="auto"/>
        <w:ind/>
        <w:jc w:val="both"/>
      </w:pPr>
      <w:r>
        <w:rPr>
          <w:rFonts w:ascii="Times New Roman" w:cs="Times New Roman" w:eastAsia="Times New Roman" w:hAnsi="Times New Roman"/>
          <w:sz w:val="24"/>
          <w:szCs w:val="24"/>
        </w:rPr>
        <w:t xml:space="preserve">                C(x_new) = {y : 1 − f(x_new)[y] ≤ τ}.     (3)</w:t>
      </w:r>
    </w:p>
    <w:p>
      <w:pPr>
        <w:spacing w:after="120" w:before="0" w:line="360" w:lineRule="auto"/>
        <w:ind w:firstLine="567"/>
        <w:jc w:val="both"/>
      </w:pPr>
      <w:r>
        <w:rPr>
          <w:rFonts w:ascii="Times New Roman" w:cs="Times New Roman" w:eastAsia="Times New Roman" w:hAnsi="Times New Roman"/>
          <w:sz w:val="24"/>
          <w:szCs w:val="24"/>
        </w:rPr>
        <w:t xml:space="preserve">Гарантии покрытия (1) держатся ровно до тех пор, пока обучающие и тестовые данные можно считать обменяемыми. Стоит появиться сдвигу — и это условие нарушается, что ведёт к систематическому расхождению фактического и заявленного покрытия.</w:t>
      </w:r>
    </w:p>
    <w:p>
      <w:pPr>
        <w:spacing w:after="120" w:before="0" w:line="360" w:lineRule="auto"/>
        <w:ind w:firstLine="567"/>
        <w:jc w:val="both"/>
      </w:pPr>
      <w:r>
        <w:rPr>
          <w:rFonts w:ascii="Times New Roman" w:cs="Times New Roman" w:eastAsia="Times New Roman" w:hAnsi="Times New Roman"/>
          <w:sz w:val="24"/>
          <w:szCs w:val="24"/>
        </w:rPr>
        <w:t xml:space="preserve">Из плюсов: реализуется предельно просто, почти не накладывает ограничений на форму распределения, легко ставится поверх любого базового классификатора — хоть XGBoost, хоть LightGBM.</w:t>
      </w:r>
    </w:p>
    <w:p>
      <w:pPr>
        <w:spacing w:after="120" w:before="0" w:line="360" w:lineRule="auto"/>
        <w:ind w:firstLine="567"/>
        <w:jc w:val="both"/>
      </w:pPr>
      <w:r>
        <w:rPr>
          <w:rFonts w:ascii="Times New Roman" w:cs="Times New Roman" w:eastAsia="Times New Roman" w:hAnsi="Times New Roman"/>
          <w:sz w:val="24"/>
          <w:szCs w:val="24"/>
        </w:rPr>
        <w:t xml:space="preserve">Из минусов — собственно то, ради чего пишется эта статья: гарантии покрытия рушатся при любом типе сдвига распределения.</w:t>
      </w:r>
    </w:p>
    <w:p>
      <w:pPr>
        <w:pStyle w:val="Heading2"/>
        <w:spacing w:after="80" w:before="240"/>
      </w:pPr>
      <w:r>
        <w:rPr>
          <w:rFonts w:ascii="Times New Roman" w:cs="Times New Roman" w:eastAsia="Times New Roman" w:hAnsi="Times New Roman"/>
          <w:b/>
          <w:bCs/>
          <w:sz w:val="26"/>
          <w:szCs w:val="26"/>
        </w:rPr>
        <w:t xml:space="preserve">3.2. Взвешенное конформное предсказание (Weighted CP)</w:t>
      </w:r>
    </w:p>
    <w:p>
      <w:pPr>
        <w:spacing w:after="120" w:before="0" w:line="360" w:lineRule="auto"/>
        <w:ind w:firstLine="567"/>
        <w:jc w:val="both"/>
      </w:pPr>
      <w:r>
        <w:rPr>
          <w:rFonts w:ascii="Times New Roman" w:cs="Times New Roman" w:eastAsia="Times New Roman" w:hAnsi="Times New Roman"/>
          <w:sz w:val="24"/>
          <w:szCs w:val="24"/>
        </w:rPr>
        <w:t xml:space="preserve">Чтобы скомпенсировать ковариатный сдвиг, Tibshirani с соавторами [3] предложили взвешенный вариант CP. Идея простая: наблюдениям калибровочной выборки присваиваются веса, обратно пропорциональные отношению правдоподобий распределений:</w:t>
      </w:r>
    </w:p>
    <w:p>
      <w:pPr>
        <w:spacing w:after="120" w:before="0" w:line="360" w:lineRule="auto"/>
        <w:ind/>
        <w:jc w:val="both"/>
      </w:pPr>
      <w:r>
        <w:rPr>
          <w:rFonts w:ascii="Times New Roman" w:cs="Times New Roman" w:eastAsia="Times New Roman" w:hAnsi="Times New Roman"/>
          <w:sz w:val="24"/>
          <w:szCs w:val="24"/>
        </w:rPr>
        <w:t xml:space="preserve">                w_i = p_test(x_i) / p_train(x_i).     (4)</w:t>
      </w:r>
    </w:p>
    <w:p>
      <w:pPr>
        <w:spacing w:after="120" w:before="0" w:line="360" w:lineRule="auto"/>
        <w:ind w:firstLine="567"/>
        <w:jc w:val="both"/>
      </w:pPr>
      <w:r>
        <w:rPr>
          <w:rFonts w:ascii="Times New Roman" w:cs="Times New Roman" w:eastAsia="Times New Roman" w:hAnsi="Times New Roman"/>
          <w:sz w:val="24"/>
          <w:szCs w:val="24"/>
        </w:rPr>
        <w:t xml:space="preserve">Взвешенный квантиль вычисляется как:</w:t>
      </w:r>
    </w:p>
    <w:p>
      <w:pPr>
        <w:spacing w:after="120" w:before="0" w:line="360" w:lineRule="auto"/>
        <w:ind/>
        <w:jc w:val="both"/>
      </w:pPr>
      <w:r>
        <w:rPr>
          <w:rFonts w:ascii="Times New Roman" w:cs="Times New Roman" w:eastAsia="Times New Roman" w:hAnsi="Times New Roman"/>
          <w:sz w:val="24"/>
          <w:szCs w:val="24"/>
        </w:rPr>
        <w:t xml:space="preserve">                τ_w = inf{τ : Σ w_i · 1[s_i ≤ τ] / (Σ w_i + w_new) ≥ 1−α}.     (5)</w:t>
      </w:r>
    </w:p>
    <w:p>
      <w:pPr>
        <w:spacing w:after="120" w:before="0" w:line="360" w:lineRule="auto"/>
        <w:ind w:firstLine="567"/>
        <w:jc w:val="both"/>
      </w:pPr>
      <w:r>
        <w:rPr>
          <w:rFonts w:ascii="Times New Roman" w:cs="Times New Roman" w:eastAsia="Times New Roman" w:hAnsi="Times New Roman"/>
          <w:sz w:val="24"/>
          <w:szCs w:val="24"/>
        </w:rPr>
        <w:t xml:space="preserve">При таком подходе покрытие приближается к нужному уже относительно тестового распределения. Саму оценку отношения плотностей w_i обычно получают методами классификации источника — то есть обучают отдельную модель отличать обучающие объекты от тестовых.</w:t>
      </w:r>
    </w:p>
    <w:p>
      <w:pPr>
        <w:spacing w:after="120" w:before="0" w:line="360" w:lineRule="auto"/>
        <w:ind w:firstLine="567"/>
        <w:jc w:val="both"/>
      </w:pPr>
      <w:r>
        <w:rPr>
          <w:rFonts w:ascii="Times New Roman" w:cs="Times New Roman" w:eastAsia="Times New Roman" w:hAnsi="Times New Roman"/>
          <w:sz w:val="24"/>
          <w:szCs w:val="24"/>
        </w:rPr>
        <w:t xml:space="preserve">Достоинство метода — теоретическая обоснованность коррекции именно под ковариатный сдвиг, причём без переобучения базовой модели. Ограничение — оценка отношения плотностей сама по себе непростая задача при высокой размерности признаков, а концептуальный дрейф этим методом никак не устраняется.</w:t>
      </w:r>
    </w:p>
    <w:p>
      <w:pPr>
        <w:pStyle w:val="Heading2"/>
        <w:spacing w:after="80" w:before="240"/>
      </w:pPr>
      <w:r>
        <w:rPr>
          <w:rFonts w:ascii="Times New Roman" w:cs="Times New Roman" w:eastAsia="Times New Roman" w:hAnsi="Times New Roman"/>
          <w:b/>
          <w:bCs/>
          <w:sz w:val="26"/>
          <w:szCs w:val="26"/>
        </w:rPr>
        <w:t xml:space="preserve">3.3. Адаптивное конформное предсказание (Adaptive CP)</w:t>
      </w:r>
    </w:p>
    <w:p>
      <w:pPr>
        <w:spacing w:after="120" w:before="0" w:line="360" w:lineRule="auto"/>
        <w:ind w:firstLine="567"/>
        <w:jc w:val="both"/>
      </w:pPr>
      <w:r>
        <w:rPr>
          <w:rFonts w:ascii="Times New Roman" w:cs="Times New Roman" w:eastAsia="Times New Roman" w:hAnsi="Times New Roman"/>
          <w:sz w:val="24"/>
          <w:szCs w:val="24"/>
        </w:rPr>
        <w:t xml:space="preserve">Gibbs и Candès [4] пошли другим путём — предложили онлайн-алгоритм, которому вообще не требуется явная оценка отношения плотностей. Порог τ_t пересчитывается на каждом шаге t по фактически наблюдаемым ошибкам покрытия:</w:t>
      </w:r>
    </w:p>
    <w:p>
      <w:pPr>
        <w:spacing w:after="120" w:before="0" w:line="360" w:lineRule="auto"/>
        <w:ind/>
        <w:jc w:val="both"/>
      </w:pPr>
      <w:r>
        <w:rPr>
          <w:rFonts w:ascii="Times New Roman" w:cs="Times New Roman" w:eastAsia="Times New Roman" w:hAnsi="Times New Roman"/>
          <w:sz w:val="24"/>
          <w:szCs w:val="24"/>
        </w:rPr>
        <w:t xml:space="preserve">                τ_t = τ_{t−1} + γ(α − err_t),     (6)</w:t>
      </w:r>
    </w:p>
    <w:p>
      <w:pPr>
        <w:spacing w:after="120" w:before="0" w:line="360" w:lineRule="auto"/>
        <w:ind w:firstLine="567"/>
        <w:jc w:val="both"/>
      </w:pPr>
      <w:r>
        <w:rPr>
          <w:rFonts w:ascii="Times New Roman" w:cs="Times New Roman" w:eastAsia="Times New Roman" w:hAnsi="Times New Roman"/>
          <w:sz w:val="24"/>
          <w:szCs w:val="24"/>
        </w:rPr>
        <w:t xml:space="preserve">где γ &gt; 0 — шаг адаптации, а err_t = 1[y_t ∉ C_{t-1}(x_t)] — индикатор того, что на шаге t покрытие было нарушено.</w:t>
      </w:r>
    </w:p>
    <w:p>
      <w:pPr>
        <w:spacing w:after="120" w:before="0" w:line="360" w:lineRule="auto"/>
        <w:ind w:firstLine="567"/>
        <w:jc w:val="both"/>
      </w:pPr>
      <w:r>
        <w:rPr>
          <w:rFonts w:ascii="Times New Roman" w:cs="Times New Roman" w:eastAsia="Times New Roman" w:hAnsi="Times New Roman"/>
          <w:sz w:val="24"/>
          <w:szCs w:val="24"/>
        </w:rPr>
        <w:t xml:space="preserve">Теоретически гарантируется, что среднее покрытие за длительный период стремится к нужному значению: (1/T) Σ_{t=1}^{T} 1[y_t ∈ C_t(x_t)] → 1−α при T → ∞. Особенно хорошо это работает при плавном временном дрейфе.</w:t>
      </w:r>
    </w:p>
    <w:p>
      <w:pPr>
        <w:spacing w:after="120" w:before="0" w:line="360" w:lineRule="auto"/>
        <w:ind w:firstLine="567"/>
        <w:jc w:val="both"/>
      </w:pPr>
      <w:r>
        <w:rPr>
          <w:rFonts w:ascii="Times New Roman" w:cs="Times New Roman" w:eastAsia="Times New Roman" w:hAnsi="Times New Roman"/>
          <w:sz w:val="24"/>
          <w:szCs w:val="24"/>
        </w:rPr>
        <w:t xml:space="preserve">Плюсы: применим практически при любом характере дрейфа, не требует знания механизма сдвига, работает в режиме реального времени. Минусы: гарантии усреднены по времени и ничего не говорят про отдельные шаги, к тому же для обновления τ_t всё равно нужны истинные метки в процессе эксплуатации.</w:t>
      </w:r>
    </w:p>
    <w:p>
      <w:pPr>
        <w:pStyle w:val="Heading2"/>
        <w:spacing w:after="80" w:before="240"/>
      </w:pPr>
      <w:r>
        <w:rPr>
          <w:rFonts w:ascii="Times New Roman" w:cs="Times New Roman" w:eastAsia="Times New Roman" w:hAnsi="Times New Roman"/>
          <w:b/>
          <w:bCs/>
          <w:sz w:val="26"/>
          <w:szCs w:val="26"/>
        </w:rPr>
        <w:t xml:space="preserve">3.4. Конформное предсказание за пределами обменяемости</w:t>
      </w:r>
    </w:p>
    <w:p>
      <w:pPr>
        <w:spacing w:after="120" w:before="0" w:line="360" w:lineRule="auto"/>
        <w:ind w:firstLine="567"/>
        <w:jc w:val="both"/>
      </w:pPr>
      <w:r>
        <w:rPr>
          <w:rFonts w:ascii="Times New Roman" w:cs="Times New Roman" w:eastAsia="Times New Roman" w:hAnsi="Times New Roman"/>
          <w:sz w:val="24"/>
          <w:szCs w:val="24"/>
        </w:rPr>
        <w:t xml:space="preserve">Barber с соавторами [5] показали: если выполняется условие |P_test − P_train|_{TV} ≤ δ (расстояние по вариации), то можно гарантировать:</w:t>
      </w:r>
    </w:p>
    <w:p>
      <w:pPr>
        <w:spacing w:after="120" w:before="0" w:line="360" w:lineRule="auto"/>
        <w:ind/>
        <w:jc w:val="both"/>
      </w:pPr>
      <w:r>
        <w:rPr>
          <w:rFonts w:ascii="Times New Roman" w:cs="Times New Roman" w:eastAsia="Times New Roman" w:hAnsi="Times New Roman"/>
          <w:sz w:val="24"/>
          <w:szCs w:val="24"/>
        </w:rPr>
        <w:t xml:space="preserve">                P(Y_new ∈ C(x_new)) ≥ 1 − α − δ.     (7)</w:t>
      </w:r>
    </w:p>
    <w:p>
      <w:pPr>
        <w:spacing w:after="120" w:before="0" w:line="360" w:lineRule="auto"/>
        <w:ind w:firstLine="567"/>
        <w:jc w:val="both"/>
      </w:pPr>
      <w:r>
        <w:rPr>
          <w:rFonts w:ascii="Times New Roman" w:cs="Times New Roman" w:eastAsia="Times New Roman" w:hAnsi="Times New Roman"/>
          <w:sz w:val="24"/>
          <w:szCs w:val="24"/>
        </w:rPr>
        <w:t xml:space="preserve">Смысл простой: чем меньше сдвиг, тем ближе фактическое покрытие к номинальному. Для практики СИППР это даёт нижнюю границу покрытия, которую вполне можно использовать для мониторинга деградации системы — без необходимости знать точный тип сдвига.</w:t>
      </w:r>
    </w:p>
    <w:p>
      <w:pPr>
        <w:pStyle w:val="Heading1"/>
        <w:spacing w:after="120" w:before="360"/>
        <w:jc w:val="center"/>
      </w:pPr>
      <w:r>
        <w:rPr>
          <w:rFonts w:ascii="Times New Roman" w:cs="Times New Roman" w:eastAsia="Times New Roman" w:hAnsi="Times New Roman"/>
          <w:b/>
          <w:bCs/>
          <w:sz w:val="28"/>
          <w:szCs w:val="28"/>
        </w:rPr>
        <w:t xml:space="preserve">4. СРАВНИТЕЛЬНЫЙ АНАЛИЗ МЕТОДОВ</w:t>
      </w:r>
    </w:p>
    <w:p>
      <w:pPr>
        <w:spacing w:after="60" w:before="120"/>
        <w:jc w:val="center"/>
      </w:pPr>
      <w:r>
        <w:rPr>
          <w:rFonts w:ascii="Times New Roman" w:cs="Times New Roman" w:eastAsia="Times New Roman" w:hAnsi="Times New Roman"/>
          <w:b/>
          <w:bCs/>
          <w:sz w:val="22"/>
          <w:szCs w:val="22"/>
        </w:rPr>
        <w:t xml:space="preserve">Таблица 1. Сравнительная характеристика методов CP для СИППР при сдвиге распределения</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600"/>
        <w:gridCol w:w="1500"/>
        <w:gridCol w:w="2400"/>
      </w:tblGrid>
      <w:tr>
        <w:trPr>
          <w:tblHeader/>
        </w:trPr>
        <w:tc>
          <w:tcPr>
            <w:tcW w:type="dxa" w:w="2100"/>
            <w:shd w:fill="BDD7EE" w:val="clear"/>
            <w:vAlign w:val="center"/>
          </w:tcPr>
          <w:p>
            <w:pPr>
              <w:spacing w:after="40" w:before="40"/>
              <w:jc w:val="center"/>
            </w:pPr>
            <w:r>
              <w:rPr>
                <w:rFonts w:ascii="Times New Roman" w:cs="Times New Roman" w:eastAsia="Times New Roman" w:hAnsi="Times New Roman"/>
                <w:b/>
                <w:bCs/>
                <w:sz w:val="20"/>
                <w:szCs w:val="20"/>
              </w:rPr>
              <w:t xml:space="preserve">Характеристика</w:t>
            </w:r>
          </w:p>
        </w:tc>
        <w:tc>
          <w:tcPr>
            <w:tcW w:type="dxa" w:w="1600"/>
            <w:shd w:fill="BDD7EE" w:val="clear"/>
            <w:vAlign w:val="center"/>
          </w:tcPr>
          <w:p>
            <w:pPr>
              <w:spacing w:after="40" w:before="40"/>
              <w:jc w:val="center"/>
            </w:pPr>
            <w:r>
              <w:rPr>
                <w:rFonts w:ascii="Times New Roman" w:cs="Times New Roman" w:eastAsia="Times New Roman" w:hAnsi="Times New Roman"/>
                <w:b/>
                <w:bCs/>
                <w:sz w:val="20"/>
                <w:szCs w:val="20"/>
              </w:rPr>
              <w:t xml:space="preserve">Split CP</w:t>
            </w:r>
          </w:p>
        </w:tc>
        <w:tc>
          <w:tcPr>
            <w:tcW w:type="dxa" w:w="1600"/>
            <w:shd w:fill="BDD7EE" w:val="clear"/>
            <w:vAlign w:val="center"/>
          </w:tcPr>
          <w:p>
            <w:pPr>
              <w:spacing w:after="40" w:before="40"/>
              <w:jc w:val="center"/>
            </w:pPr>
            <w:r>
              <w:rPr>
                <w:rFonts w:ascii="Times New Roman" w:cs="Times New Roman" w:eastAsia="Times New Roman" w:hAnsi="Times New Roman"/>
                <w:b/>
                <w:bCs/>
                <w:sz w:val="20"/>
                <w:szCs w:val="20"/>
              </w:rPr>
              <w:t xml:space="preserve">Weighted CP</w:t>
            </w:r>
          </w:p>
        </w:tc>
        <w:tc>
          <w:tcPr>
            <w:tcW w:type="dxa" w:w="1500"/>
            <w:shd w:fill="BDD7EE" w:val="clear"/>
            <w:vAlign w:val="center"/>
          </w:tcPr>
          <w:p>
            <w:pPr>
              <w:spacing w:after="40" w:before="40"/>
              <w:jc w:val="center"/>
            </w:pPr>
            <w:r>
              <w:rPr>
                <w:rFonts w:ascii="Times New Roman" w:cs="Times New Roman" w:eastAsia="Times New Roman" w:hAnsi="Times New Roman"/>
                <w:b/>
                <w:bCs/>
                <w:sz w:val="20"/>
                <w:szCs w:val="20"/>
              </w:rPr>
              <w:t xml:space="preserve">Adaptive CP</w:t>
            </w:r>
          </w:p>
        </w:tc>
        <w:tc>
          <w:tcPr>
            <w:tcW w:type="dxa" w:w="2400"/>
            <w:shd w:fill="BDD7EE" w:val="clear"/>
            <w:vAlign w:val="center"/>
          </w:tcPr>
          <w:p>
            <w:pPr>
              <w:spacing w:after="40" w:before="40"/>
              <w:jc w:val="center"/>
            </w:pPr>
            <w:r>
              <w:rPr>
                <w:rFonts w:ascii="Times New Roman" w:cs="Times New Roman" w:eastAsia="Times New Roman" w:hAnsi="Times New Roman"/>
                <w:b/>
                <w:bCs/>
                <w:sz w:val="20"/>
                <w:szCs w:val="20"/>
              </w:rPr>
              <w:t xml:space="preserve">CP вне обменяемости</w:t>
            </w:r>
          </w:p>
        </w:tc>
      </w:tr>
      <w:tr>
        <w:tc>
          <w:tcPr>
            <w:tcW w:type="dxa" w:w="2100"/>
            <w:vAlign w:val="center"/>
          </w:tcPr>
          <w:p>
            <w:pPr>
              <w:spacing w:after="40" w:before="40"/>
              <w:jc w:val="center"/>
            </w:pPr>
            <w:r>
              <w:rPr>
                <w:rFonts w:ascii="Times New Roman" w:cs="Times New Roman" w:eastAsia="Times New Roman" w:hAnsi="Times New Roman"/>
                <w:sz w:val="20"/>
                <w:szCs w:val="20"/>
              </w:rPr>
              <w:t xml:space="preserve">Тип сдвига</w:t>
            </w:r>
          </w:p>
        </w:tc>
        <w:tc>
          <w:tcPr>
            <w:tcW w:type="dxa" w:w="1600"/>
            <w:vAlign w:val="center"/>
          </w:tcPr>
          <w:p>
            <w:pPr>
              <w:spacing w:after="40" w:before="40"/>
              <w:jc w:val="center"/>
            </w:pPr>
            <w:r>
              <w:rPr>
                <w:rFonts w:ascii="Times New Roman" w:cs="Times New Roman" w:eastAsia="Times New Roman" w:hAnsi="Times New Roman"/>
                <w:sz w:val="20"/>
                <w:szCs w:val="20"/>
              </w:rPr>
              <w:t xml:space="preserve">i.i.d. только</w:t>
            </w:r>
          </w:p>
        </w:tc>
        <w:tc>
          <w:tcPr>
            <w:tcW w:type="dxa" w:w="1600"/>
            <w:vAlign w:val="center"/>
          </w:tcPr>
          <w:p>
            <w:pPr>
              <w:spacing w:after="40" w:before="40"/>
              <w:jc w:val="center"/>
            </w:pPr>
            <w:r>
              <w:rPr>
                <w:rFonts w:ascii="Times New Roman" w:cs="Times New Roman" w:eastAsia="Times New Roman" w:hAnsi="Times New Roman"/>
                <w:sz w:val="20"/>
                <w:szCs w:val="20"/>
              </w:rPr>
              <w:t xml:space="preserve">Ковариатный</w:t>
            </w:r>
          </w:p>
        </w:tc>
        <w:tc>
          <w:tcPr>
            <w:tcW w:type="dxa" w:w="1500"/>
            <w:vAlign w:val="center"/>
          </w:tcPr>
          <w:p>
            <w:pPr>
              <w:spacing w:after="40" w:before="40"/>
              <w:jc w:val="center"/>
            </w:pPr>
            <w:r>
              <w:rPr>
                <w:rFonts w:ascii="Times New Roman" w:cs="Times New Roman" w:eastAsia="Times New Roman" w:hAnsi="Times New Roman"/>
                <w:sz w:val="20"/>
                <w:szCs w:val="20"/>
              </w:rPr>
              <w:t xml:space="preserve">Любой дрейф</w:t>
            </w:r>
          </w:p>
        </w:tc>
        <w:tc>
          <w:tcPr>
            <w:tcW w:type="dxa" w:w="2400"/>
            <w:vAlign w:val="center"/>
          </w:tcPr>
          <w:p>
            <w:pPr>
              <w:spacing w:after="40" w:before="40"/>
              <w:jc w:val="center"/>
            </w:pPr>
            <w:r>
              <w:rPr>
                <w:rFonts w:ascii="Times New Roman" w:cs="Times New Roman" w:eastAsia="Times New Roman" w:hAnsi="Times New Roman"/>
                <w:sz w:val="20"/>
                <w:szCs w:val="20"/>
              </w:rPr>
              <w:t xml:space="preserve">Малый произвольный</w:t>
            </w:r>
          </w:p>
        </w:tc>
      </w:tr>
      <w:tr>
        <w:tc>
          <w:tcPr>
            <w:tcW w:type="dxa" w:w="2100"/>
            <w:vAlign w:val="center"/>
          </w:tcPr>
          <w:p>
            <w:pPr>
              <w:spacing w:after="40" w:before="40"/>
              <w:jc w:val="center"/>
            </w:pPr>
            <w:r>
              <w:rPr>
                <w:rFonts w:ascii="Times New Roman" w:cs="Times New Roman" w:eastAsia="Times New Roman" w:hAnsi="Times New Roman"/>
                <w:sz w:val="20"/>
                <w:szCs w:val="20"/>
              </w:rPr>
              <w:t xml:space="preserve">Гарантии покрытия</w:t>
            </w:r>
          </w:p>
        </w:tc>
        <w:tc>
          <w:tcPr>
            <w:tcW w:type="dxa" w:w="1600"/>
            <w:vAlign w:val="center"/>
          </w:tcPr>
          <w:p>
            <w:pPr>
              <w:spacing w:after="40" w:before="40"/>
              <w:jc w:val="center"/>
            </w:pPr>
            <w:r>
              <w:rPr>
                <w:rFonts w:ascii="Times New Roman" w:cs="Times New Roman" w:eastAsia="Times New Roman" w:hAnsi="Times New Roman"/>
                <w:sz w:val="20"/>
                <w:szCs w:val="20"/>
              </w:rPr>
              <w:t xml:space="preserve">Точные</w:t>
            </w:r>
          </w:p>
        </w:tc>
        <w:tc>
          <w:tcPr>
            <w:tcW w:type="dxa" w:w="1600"/>
            <w:vAlign w:val="center"/>
          </w:tcPr>
          <w:p>
            <w:pPr>
              <w:spacing w:after="40" w:before="40"/>
              <w:jc w:val="center"/>
            </w:pPr>
            <w:r>
              <w:rPr>
                <w:rFonts w:ascii="Times New Roman" w:cs="Times New Roman" w:eastAsia="Times New Roman" w:hAnsi="Times New Roman"/>
                <w:sz w:val="20"/>
                <w:szCs w:val="20"/>
              </w:rPr>
              <w:t xml:space="preserve">Приближённые</w:t>
            </w:r>
          </w:p>
        </w:tc>
        <w:tc>
          <w:tcPr>
            <w:tcW w:type="dxa" w:w="1500"/>
            <w:vAlign w:val="center"/>
          </w:tcPr>
          <w:p>
            <w:pPr>
              <w:spacing w:after="40" w:before="40"/>
              <w:jc w:val="center"/>
            </w:pPr>
            <w:r>
              <w:rPr>
                <w:rFonts w:ascii="Times New Roman" w:cs="Times New Roman" w:eastAsia="Times New Roman" w:hAnsi="Times New Roman"/>
                <w:sz w:val="20"/>
                <w:szCs w:val="20"/>
              </w:rPr>
              <w:t xml:space="preserve">Долгосрочные</w:t>
            </w:r>
          </w:p>
        </w:tc>
        <w:tc>
          <w:tcPr>
            <w:tcW w:type="dxa" w:w="2400"/>
            <w:vAlign w:val="center"/>
          </w:tcPr>
          <w:p>
            <w:pPr>
              <w:spacing w:after="40" w:before="40"/>
              <w:jc w:val="center"/>
            </w:pPr>
            <w:r>
              <w:rPr>
                <w:rFonts w:ascii="Times New Roman" w:cs="Times New Roman" w:eastAsia="Times New Roman" w:hAnsi="Times New Roman"/>
                <w:sz w:val="20"/>
                <w:szCs w:val="20"/>
              </w:rPr>
              <w:t xml:space="preserve">Нижняя оценка (1-α-δ)</w:t>
            </w:r>
          </w:p>
        </w:tc>
      </w:tr>
      <w:tr>
        <w:tc>
          <w:tcPr>
            <w:tcW w:type="dxa" w:w="2100"/>
            <w:vAlign w:val="center"/>
          </w:tcPr>
          <w:p>
            <w:pPr>
              <w:spacing w:after="40" w:before="40"/>
              <w:jc w:val="center"/>
            </w:pPr>
            <w:r>
              <w:rPr>
                <w:rFonts w:ascii="Times New Roman" w:cs="Times New Roman" w:eastAsia="Times New Roman" w:hAnsi="Times New Roman"/>
                <w:sz w:val="20"/>
                <w:szCs w:val="20"/>
              </w:rPr>
              <w:t xml:space="preserve">Метки на тесте</w:t>
            </w:r>
          </w:p>
        </w:tc>
        <w:tc>
          <w:tcPr>
            <w:tcW w:type="dxa" w:w="1600"/>
            <w:vAlign w:val="center"/>
          </w:tcPr>
          <w:p>
            <w:pPr>
              <w:spacing w:after="40" w:before="40"/>
              <w:jc w:val="center"/>
            </w:pPr>
            <w:r>
              <w:rPr>
                <w:rFonts w:ascii="Times New Roman" w:cs="Times New Roman" w:eastAsia="Times New Roman" w:hAnsi="Times New Roman"/>
                <w:sz w:val="20"/>
                <w:szCs w:val="20"/>
              </w:rPr>
              <w:t xml:space="preserve">Нет</w:t>
            </w:r>
          </w:p>
        </w:tc>
        <w:tc>
          <w:tcPr>
            <w:tcW w:type="dxa" w:w="1600"/>
            <w:vAlign w:val="center"/>
          </w:tcPr>
          <w:p>
            <w:pPr>
              <w:spacing w:after="40" w:before="40"/>
              <w:jc w:val="center"/>
            </w:pPr>
            <w:r>
              <w:rPr>
                <w:rFonts w:ascii="Times New Roman" w:cs="Times New Roman" w:eastAsia="Times New Roman" w:hAnsi="Times New Roman"/>
                <w:sz w:val="20"/>
                <w:szCs w:val="20"/>
              </w:rPr>
              <w:t xml:space="preserve">Нет</w:t>
            </w:r>
          </w:p>
        </w:tc>
        <w:tc>
          <w:tcPr>
            <w:tcW w:type="dxa" w:w="1500"/>
            <w:vAlign w:val="center"/>
          </w:tcPr>
          <w:p>
            <w:pPr>
              <w:spacing w:after="40" w:before="40"/>
              <w:jc w:val="center"/>
            </w:pPr>
            <w:r>
              <w:rPr>
                <w:rFonts w:ascii="Times New Roman" w:cs="Times New Roman" w:eastAsia="Times New Roman" w:hAnsi="Times New Roman"/>
                <w:sz w:val="20"/>
                <w:szCs w:val="20"/>
              </w:rPr>
              <w:t xml:space="preserve">Да (онлайн)</w:t>
            </w:r>
          </w:p>
        </w:tc>
        <w:tc>
          <w:tcPr>
            <w:tcW w:type="dxa" w:w="2400"/>
            <w:vAlign w:val="center"/>
          </w:tcPr>
          <w:p>
            <w:pPr>
              <w:spacing w:after="40" w:before="40"/>
              <w:jc w:val="center"/>
            </w:pPr>
            <w:r>
              <w:rPr>
                <w:rFonts w:ascii="Times New Roman" w:cs="Times New Roman" w:eastAsia="Times New Roman" w:hAnsi="Times New Roman"/>
                <w:sz w:val="20"/>
                <w:szCs w:val="20"/>
              </w:rPr>
              <w:t xml:space="preserve">Нет</w:t>
            </w:r>
          </w:p>
        </w:tc>
      </w:tr>
      <w:tr>
        <w:tc>
          <w:tcPr>
            <w:tcW w:type="dxa" w:w="2100"/>
            <w:vAlign w:val="center"/>
          </w:tcPr>
          <w:p>
            <w:pPr>
              <w:spacing w:after="40" w:before="40"/>
              <w:jc w:val="center"/>
            </w:pPr>
            <w:r>
              <w:rPr>
                <w:rFonts w:ascii="Times New Roman" w:cs="Times New Roman" w:eastAsia="Times New Roman" w:hAnsi="Times New Roman"/>
                <w:sz w:val="20"/>
                <w:szCs w:val="20"/>
              </w:rPr>
              <w:t xml:space="preserve">Оценка сдвига</w:t>
            </w:r>
          </w:p>
        </w:tc>
        <w:tc>
          <w:tcPr>
            <w:tcW w:type="dxa" w:w="1600"/>
            <w:vAlign w:val="center"/>
          </w:tcPr>
          <w:p>
            <w:pPr>
              <w:spacing w:after="40" w:before="40"/>
              <w:jc w:val="center"/>
            </w:pPr>
            <w:r>
              <w:rPr>
                <w:rFonts w:ascii="Times New Roman" w:cs="Times New Roman" w:eastAsia="Times New Roman" w:hAnsi="Times New Roman"/>
                <w:sz w:val="20"/>
                <w:szCs w:val="20"/>
              </w:rPr>
              <w:t xml:space="preserve">Не нужна</w:t>
            </w:r>
          </w:p>
        </w:tc>
        <w:tc>
          <w:tcPr>
            <w:tcW w:type="dxa" w:w="1600"/>
            <w:vAlign w:val="center"/>
          </w:tcPr>
          <w:p>
            <w:pPr>
              <w:spacing w:after="40" w:before="40"/>
              <w:jc w:val="center"/>
            </w:pPr>
            <w:r>
              <w:rPr>
                <w:rFonts w:ascii="Times New Roman" w:cs="Times New Roman" w:eastAsia="Times New Roman" w:hAnsi="Times New Roman"/>
                <w:sz w:val="20"/>
                <w:szCs w:val="20"/>
              </w:rPr>
              <w:t xml:space="preserve">Нужна (w_i)</w:t>
            </w:r>
          </w:p>
        </w:tc>
        <w:tc>
          <w:tcPr>
            <w:tcW w:type="dxa" w:w="1500"/>
            <w:vAlign w:val="center"/>
          </w:tcPr>
          <w:p>
            <w:pPr>
              <w:spacing w:after="40" w:before="40"/>
              <w:jc w:val="center"/>
            </w:pPr>
            <w:r>
              <w:rPr>
                <w:rFonts w:ascii="Times New Roman" w:cs="Times New Roman" w:eastAsia="Times New Roman" w:hAnsi="Times New Roman"/>
                <w:sz w:val="20"/>
                <w:szCs w:val="20"/>
              </w:rPr>
              <w:t xml:space="preserve">Не нужна</w:t>
            </w:r>
          </w:p>
        </w:tc>
        <w:tc>
          <w:tcPr>
            <w:tcW w:type="dxa" w:w="2400"/>
            <w:vAlign w:val="center"/>
          </w:tcPr>
          <w:p>
            <w:pPr>
              <w:spacing w:after="40" w:before="40"/>
              <w:jc w:val="center"/>
            </w:pPr>
            <w:r>
              <w:rPr>
                <w:rFonts w:ascii="Times New Roman" w:cs="Times New Roman" w:eastAsia="Times New Roman" w:hAnsi="Times New Roman"/>
                <w:sz w:val="20"/>
                <w:szCs w:val="20"/>
              </w:rPr>
              <w:t xml:space="preserve">Нужна (δ)</w:t>
            </w:r>
          </w:p>
        </w:tc>
      </w:tr>
      <w:tr>
        <w:tc>
          <w:tcPr>
            <w:tcW w:type="dxa" w:w="2100"/>
            <w:vAlign w:val="center"/>
          </w:tcPr>
          <w:p>
            <w:pPr>
              <w:spacing w:after="40" w:before="40"/>
              <w:jc w:val="center"/>
            </w:pPr>
            <w:r>
              <w:rPr>
                <w:rFonts w:ascii="Times New Roman" w:cs="Times New Roman" w:eastAsia="Times New Roman" w:hAnsi="Times New Roman"/>
                <w:sz w:val="20"/>
                <w:szCs w:val="20"/>
              </w:rPr>
              <w:t xml:space="preserve">Вычисл. затраты</w:t>
            </w:r>
          </w:p>
        </w:tc>
        <w:tc>
          <w:tcPr>
            <w:tcW w:type="dxa" w:w="1600"/>
            <w:vAlign w:val="center"/>
          </w:tcPr>
          <w:p>
            <w:pPr>
              <w:spacing w:after="40" w:before="40"/>
              <w:jc w:val="center"/>
            </w:pPr>
            <w:r>
              <w:rPr>
                <w:rFonts w:ascii="Times New Roman" w:cs="Times New Roman" w:eastAsia="Times New Roman" w:hAnsi="Times New Roman"/>
                <w:sz w:val="20"/>
                <w:szCs w:val="20"/>
              </w:rPr>
              <w:t xml:space="preserve">Низкие</w:t>
            </w:r>
          </w:p>
        </w:tc>
        <w:tc>
          <w:tcPr>
            <w:tcW w:type="dxa" w:w="1600"/>
            <w:vAlign w:val="center"/>
          </w:tcPr>
          <w:p>
            <w:pPr>
              <w:spacing w:after="40" w:before="40"/>
              <w:jc w:val="center"/>
            </w:pPr>
            <w:r>
              <w:rPr>
                <w:rFonts w:ascii="Times New Roman" w:cs="Times New Roman" w:eastAsia="Times New Roman" w:hAnsi="Times New Roman"/>
                <w:sz w:val="20"/>
                <w:szCs w:val="20"/>
              </w:rPr>
              <w:t xml:space="preserve">Средние</w:t>
            </w:r>
          </w:p>
        </w:tc>
        <w:tc>
          <w:tcPr>
            <w:tcW w:type="dxa" w:w="1500"/>
            <w:vAlign w:val="center"/>
          </w:tcPr>
          <w:p>
            <w:pPr>
              <w:spacing w:after="40" w:before="40"/>
              <w:jc w:val="center"/>
            </w:pPr>
            <w:r>
              <w:rPr>
                <w:rFonts w:ascii="Times New Roman" w:cs="Times New Roman" w:eastAsia="Times New Roman" w:hAnsi="Times New Roman"/>
                <w:sz w:val="20"/>
                <w:szCs w:val="20"/>
              </w:rPr>
              <w:t xml:space="preserve">Низкие</w:t>
            </w:r>
          </w:p>
        </w:tc>
        <w:tc>
          <w:tcPr>
            <w:tcW w:type="dxa" w:w="2400"/>
            <w:vAlign w:val="center"/>
          </w:tcPr>
          <w:p>
            <w:pPr>
              <w:spacing w:after="40" w:before="40"/>
              <w:jc w:val="center"/>
            </w:pPr>
            <w:r>
              <w:rPr>
                <w:rFonts w:ascii="Times New Roman" w:cs="Times New Roman" w:eastAsia="Times New Roman" w:hAnsi="Times New Roman"/>
                <w:sz w:val="20"/>
                <w:szCs w:val="20"/>
              </w:rPr>
              <w:t xml:space="preserve">Средние</w:t>
            </w:r>
          </w:p>
        </w:tc>
      </w:tr>
      <w:tr>
        <w:tc>
          <w:tcPr>
            <w:tcW w:type="dxa" w:w="2100"/>
            <w:vAlign w:val="center"/>
          </w:tcPr>
          <w:p>
            <w:pPr>
              <w:spacing w:after="40" w:before="40"/>
              <w:jc w:val="center"/>
            </w:pPr>
            <w:r>
              <w:rPr>
                <w:rFonts w:ascii="Times New Roman" w:cs="Times New Roman" w:eastAsia="Times New Roman" w:hAnsi="Times New Roman"/>
                <w:sz w:val="20"/>
                <w:szCs w:val="20"/>
              </w:rPr>
              <w:t xml:space="preserve">Рекомендуется для DSS</w:t>
            </w:r>
          </w:p>
        </w:tc>
        <w:tc>
          <w:tcPr>
            <w:tcW w:type="dxa" w:w="1600"/>
            <w:vAlign w:val="center"/>
          </w:tcPr>
          <w:p>
            <w:pPr>
              <w:spacing w:after="40" w:before="40"/>
              <w:jc w:val="center"/>
            </w:pPr>
            <w:r>
              <w:rPr>
                <w:rFonts w:ascii="Times New Roman" w:cs="Times New Roman" w:eastAsia="Times New Roman" w:hAnsi="Times New Roman"/>
                <w:sz w:val="20"/>
                <w:szCs w:val="20"/>
              </w:rPr>
              <w:t xml:space="preserve">Стабильная среда</w:t>
            </w:r>
          </w:p>
        </w:tc>
        <w:tc>
          <w:tcPr>
            <w:tcW w:type="dxa" w:w="1600"/>
            <w:vAlign w:val="center"/>
          </w:tcPr>
          <w:p>
            <w:pPr>
              <w:spacing w:after="40" w:before="40"/>
              <w:jc w:val="center"/>
            </w:pPr>
            <w:r>
              <w:rPr>
                <w:rFonts w:ascii="Times New Roman" w:cs="Times New Roman" w:eastAsia="Times New Roman" w:hAnsi="Times New Roman"/>
                <w:sz w:val="20"/>
                <w:szCs w:val="20"/>
              </w:rPr>
              <w:t xml:space="preserve">Ков. сдвиг, нет меток</w:t>
            </w:r>
          </w:p>
        </w:tc>
        <w:tc>
          <w:tcPr>
            <w:tcW w:type="dxa" w:w="1500"/>
            <w:vAlign w:val="center"/>
          </w:tcPr>
          <w:p>
            <w:pPr>
              <w:spacing w:after="40" w:before="40"/>
              <w:jc w:val="center"/>
            </w:pPr>
            <w:r>
              <w:rPr>
                <w:rFonts w:ascii="Times New Roman" w:cs="Times New Roman" w:eastAsia="Times New Roman" w:hAnsi="Times New Roman"/>
                <w:sz w:val="20"/>
                <w:szCs w:val="20"/>
              </w:rPr>
              <w:t xml:space="preserve">Временной дрейф, есть метки</w:t>
            </w:r>
          </w:p>
        </w:tc>
        <w:tc>
          <w:tcPr>
            <w:tcW w:type="dxa" w:w="2400"/>
            <w:vAlign w:val="center"/>
          </w:tcPr>
          <w:p>
            <w:pPr>
              <w:spacing w:after="40" w:before="40"/>
              <w:jc w:val="center"/>
            </w:pPr>
            <w:r>
              <w:rPr>
                <w:rFonts w:ascii="Times New Roman" w:cs="Times New Roman" w:eastAsia="Times New Roman" w:hAnsi="Times New Roman"/>
                <w:sz w:val="20"/>
                <w:szCs w:val="20"/>
              </w:rPr>
              <w:t xml:space="preserve">Мониторинг, малый сдвиг</w:t>
            </w:r>
          </w:p>
        </w:tc>
      </w:tr>
      <w:tr>
        <w:tc>
          <w:tcPr>
            <w:tcW w:type="dxa" w:w="2100"/>
            <w:shd w:fill="E2EFDA" w:val="clear"/>
            <w:vAlign w:val="center"/>
          </w:tcPr>
          <w:p>
            <w:pPr>
              <w:spacing w:after="40" w:before="40"/>
              <w:jc w:val="center"/>
            </w:pPr>
            <w:r>
              <w:rPr>
                <w:rFonts w:ascii="Times New Roman" w:cs="Times New Roman" w:eastAsia="Times New Roman" w:hAnsi="Times New Roman"/>
                <w:sz w:val="20"/>
                <w:szCs w:val="20"/>
              </w:rPr>
              <w:t xml:space="preserve">Базовый метод (пример)</w:t>
            </w:r>
          </w:p>
        </w:tc>
        <w:tc>
          <w:tcPr>
            <w:tcW w:type="dxa" w:w="1600"/>
            <w:shd w:fill="E2EFDA" w:val="clear"/>
            <w:vAlign w:val="center"/>
          </w:tcPr>
          <w:p>
            <w:pPr>
              <w:spacing w:after="40" w:before="40"/>
              <w:jc w:val="center"/>
            </w:pPr>
            <w:r>
              <w:rPr>
                <w:rFonts w:ascii="Times New Roman" w:cs="Times New Roman" w:eastAsia="Times New Roman" w:hAnsi="Times New Roman"/>
                <w:sz w:val="20"/>
                <w:szCs w:val="20"/>
              </w:rPr>
              <w:t xml:space="preserve">XGBoost + Split CP</w:t>
            </w:r>
          </w:p>
        </w:tc>
        <w:tc>
          <w:tcPr>
            <w:tcW w:type="dxa" w:w="1600"/>
            <w:shd w:fill="E2EFDA" w:val="clear"/>
            <w:vAlign w:val="center"/>
          </w:tcPr>
          <w:p>
            <w:pPr>
              <w:spacing w:after="40" w:before="40"/>
              <w:jc w:val="center"/>
            </w:pPr>
            <w:r>
              <w:rPr>
                <w:rFonts w:ascii="Times New Roman" w:cs="Times New Roman" w:eastAsia="Times New Roman" w:hAnsi="Times New Roman"/>
                <w:sz w:val="20"/>
                <w:szCs w:val="20"/>
              </w:rPr>
              <w:t xml:space="preserve">XGBoost + IW-CP</w:t>
            </w:r>
          </w:p>
        </w:tc>
        <w:tc>
          <w:tcPr>
            <w:tcW w:type="dxa" w:w="1500"/>
            <w:shd w:fill="E2EFDA" w:val="clear"/>
            <w:vAlign w:val="center"/>
          </w:tcPr>
          <w:p>
            <w:pPr>
              <w:spacing w:after="40" w:before="40"/>
              <w:jc w:val="center"/>
            </w:pPr>
            <w:r>
              <w:rPr>
                <w:rFonts w:ascii="Times New Roman" w:cs="Times New Roman" w:eastAsia="Times New Roman" w:hAnsi="Times New Roman"/>
                <w:sz w:val="20"/>
                <w:szCs w:val="20"/>
              </w:rPr>
              <w:t xml:space="preserve">XGBoost + ACI (γ=0.05)</w:t>
            </w:r>
          </w:p>
        </w:tc>
        <w:tc>
          <w:tcPr>
            <w:tcW w:type="dxa" w:w="2400"/>
            <w:shd w:fill="E2EFDA" w:val="clear"/>
            <w:vAlign w:val="center"/>
          </w:tcPr>
          <w:p>
            <w:pPr>
              <w:spacing w:after="40" w:before="40"/>
              <w:jc w:val="center"/>
            </w:pPr>
            <w:r>
              <w:rPr>
                <w:rFonts w:ascii="Times New Roman" w:cs="Times New Roman" w:eastAsia="Times New Roman" w:hAnsi="Times New Roman"/>
                <w:sz w:val="20"/>
                <w:szCs w:val="20"/>
              </w:rPr>
              <w:t xml:space="preserve">XGBoost + TV-bound</w:t>
            </w:r>
          </w:p>
        </w:tc>
      </w:tr>
    </w:tbl>
    <w:p>
      <w:pPr>
        <w:spacing w:after="0" w:before="0"/>
      </w:pPr>
      <w:r>
        <w:rPr>
          <w:rFonts w:ascii="Times New Roman" w:cs="Times New Roman" w:eastAsia="Times New Roman" w:hAnsi="Times New Roman"/>
          <w:sz w:val="24"/>
          <w:szCs w:val="24"/>
        </w:rPr>
        <w:t xml:space="preserve"/>
      </w:r>
    </w:p>
    <w:p>
      <w:pPr>
        <w:spacing w:after="120" w:before="0" w:line="360" w:lineRule="auto"/>
        <w:ind w:firstLine="567"/>
        <w:jc w:val="both"/>
      </w:pPr>
      <w:r>
        <w:rPr>
          <w:rFonts w:ascii="Times New Roman" w:cs="Times New Roman" w:eastAsia="Times New Roman" w:hAnsi="Times New Roman"/>
          <w:sz w:val="24"/>
          <w:szCs w:val="24"/>
        </w:rPr>
        <w:t xml:space="preserve">Что даёт сопоставление в таблице 1 для практики проектирования СИППР? Несколько выводов напрашиваются сами собой.</w:t>
      </w:r>
    </w:p>
    <w:p>
      <w:pPr>
        <w:spacing w:after="120" w:before="0" w:line="360" w:lineRule="auto"/>
        <w:ind w:firstLine="567"/>
        <w:jc w:val="both"/>
      </w:pPr>
      <w:r>
        <w:rPr>
          <w:rFonts w:ascii="Times New Roman" w:cs="Times New Roman" w:eastAsia="Times New Roman" w:hAnsi="Times New Roman"/>
          <w:sz w:val="24"/>
          <w:szCs w:val="24"/>
        </w:rPr>
        <w:t xml:space="preserve">Split CP стоит держать в качестве обязательной базовой линии: реализуется он практически без затрат, а гарантии, которые он даёт, строги — правда, только пока сдвига нет. Любой эксперимент имеет смысл начинать именно с него.</w:t>
      </w:r>
    </w:p>
    <w:p>
      <w:pPr>
        <w:spacing w:after="120" w:before="0" w:line="360" w:lineRule="auto"/>
        <w:ind w:firstLine="567"/>
        <w:jc w:val="both"/>
      </w:pPr>
      <w:r>
        <w:rPr>
          <w:rFonts w:ascii="Times New Roman" w:cs="Times New Roman" w:eastAsia="Times New Roman" w:hAnsi="Times New Roman"/>
          <w:sz w:val="24"/>
          <w:szCs w:val="24"/>
        </w:rPr>
        <w:t xml:space="preserve">При ковариатном сдвиге — а это самый частый случай на практике — предпочтительнее Weighted CP, если, конечно, размерность признакового пространства позволяет достаточно надёжно оценить отношение плотностей. Если нет — лучше обратиться к Adaptive CP с онлайн-коррекцией порога.</w:t>
      </w:r>
    </w:p>
    <w:p>
      <w:pPr>
        <w:spacing w:after="120" w:before="0" w:line="360" w:lineRule="auto"/>
        <w:ind w:firstLine="567"/>
        <w:jc w:val="both"/>
      </w:pPr>
      <w:r>
        <w:rPr>
          <w:rFonts w:ascii="Times New Roman" w:cs="Times New Roman" w:eastAsia="Times New Roman" w:hAnsi="Times New Roman"/>
          <w:sz w:val="24"/>
          <w:szCs w:val="24"/>
        </w:rPr>
        <w:t xml:space="preserve">Для мониторинга деградации покрытия в уже работающих системах разумно опираться на нижнюю оценку по формуле (7): она позволяет заметить критический сдвиг, даже не имея разметки тестовых данных.</w:t>
      </w:r>
    </w:p>
    <w:p>
      <w:pPr>
        <w:pStyle w:val="Heading1"/>
        <w:spacing w:after="120" w:before="360"/>
        <w:jc w:val="center"/>
      </w:pPr>
      <w:r>
        <w:rPr>
          <w:rFonts w:ascii="Times New Roman" w:cs="Times New Roman" w:eastAsia="Times New Roman" w:hAnsi="Times New Roman"/>
          <w:b/>
          <w:bCs/>
          <w:sz w:val="28"/>
          <w:szCs w:val="28"/>
        </w:rPr>
        <w:t xml:space="preserve">5. ПРЕДЛАГАЕМАЯ СХЕМА ВЫБОРА МЕТОДА</w:t>
      </w:r>
    </w:p>
    <w:p>
      <w:pPr>
        <w:spacing w:after="120" w:before="0" w:line="360" w:lineRule="auto"/>
        <w:ind w:firstLine="567"/>
        <w:jc w:val="both"/>
      </w:pPr>
      <w:r>
        <w:rPr>
          <w:rFonts w:ascii="Times New Roman" w:cs="Times New Roman" w:eastAsia="Times New Roman" w:hAnsi="Times New Roman"/>
          <w:sz w:val="24"/>
          <w:szCs w:val="24"/>
        </w:rPr>
        <w:t xml:space="preserve">Опираясь на проведённый разбор, можно предложить следующую последовательность действий при выборе метода CP для СИППР в зависимости от условий эксплуатации:</w:t>
      </w:r>
    </w:p>
    <w:p>
      <w:pPr>
        <w:spacing w:after="80" w:before="0" w:line="340" w:lineRule="auto"/>
        <w:ind w:left="567"/>
        <w:jc w:val="both"/>
      </w:pPr>
      <w:r>
        <w:rPr>
          <w:rFonts w:ascii="Times New Roman" w:cs="Times New Roman" w:eastAsia="Times New Roman" w:hAnsi="Times New Roman"/>
          <w:sz w:val="24"/>
          <w:szCs w:val="24"/>
        </w:rPr>
        <w:t xml:space="preserve">– Шаг 1. Диагностика сдвига — применить тесты двухвыборочного сравнения (MMD, критерий Колмогорова–Смирнова) и посмотреть, есть ли значимое расхождение между P_train и P_test.</w:t>
      </w:r>
    </w:p>
    <w:p>
      <w:pPr>
        <w:spacing w:after="80" w:before="0" w:line="340" w:lineRule="auto"/>
        <w:ind w:left="567"/>
        <w:jc w:val="both"/>
      </w:pPr>
      <w:r>
        <w:rPr>
          <w:rFonts w:ascii="Times New Roman" w:cs="Times New Roman" w:eastAsia="Times New Roman" w:hAnsi="Times New Roman"/>
          <w:sz w:val="24"/>
          <w:szCs w:val="24"/>
        </w:rPr>
        <w:t xml:space="preserve">– Шаг 2. Если сдвиг не обнаружен — использовать Split CP, и на этом остановиться.</w:t>
      </w:r>
    </w:p>
    <w:p>
      <w:pPr>
        <w:spacing w:after="80" w:before="0" w:line="340" w:lineRule="auto"/>
        <w:ind w:left="567"/>
        <w:jc w:val="both"/>
      </w:pPr>
      <w:r>
        <w:rPr>
          <w:rFonts w:ascii="Times New Roman" w:cs="Times New Roman" w:eastAsia="Times New Roman" w:hAnsi="Times New Roman"/>
          <w:sz w:val="24"/>
          <w:szCs w:val="24"/>
        </w:rPr>
        <w:t xml:space="preserve">– Шаг 3. Если обнаружен ковариатный сдвиг при стабильном P(Y|X) — перейти на Weighted CP, оценивая w_i, например, логистической регрессией на объединённой выборке.</w:t>
      </w:r>
    </w:p>
    <w:p>
      <w:pPr>
        <w:spacing w:after="80" w:before="0" w:line="340" w:lineRule="auto"/>
        <w:ind w:left="567"/>
        <w:jc w:val="both"/>
      </w:pPr>
      <w:r>
        <w:rPr>
          <w:rFonts w:ascii="Times New Roman" w:cs="Times New Roman" w:eastAsia="Times New Roman" w:hAnsi="Times New Roman"/>
          <w:sz w:val="24"/>
          <w:szCs w:val="24"/>
        </w:rPr>
        <w:t xml:space="preserve">– Шаг 4. Если наблюдается временной дрейф и есть обратная связь по меткам — использовать Adaptive CP с шагом γ, откалиброванным на исторических данных.</w:t>
      </w:r>
    </w:p>
    <w:p>
      <w:pPr>
        <w:spacing w:after="80" w:before="0" w:line="340" w:lineRule="auto"/>
        <w:ind w:left="567"/>
        <w:jc w:val="both"/>
      </w:pPr>
      <w:r>
        <w:rPr>
          <w:rFonts w:ascii="Times New Roman" w:cs="Times New Roman" w:eastAsia="Times New Roman" w:hAnsi="Times New Roman"/>
          <w:sz w:val="24"/>
          <w:szCs w:val="24"/>
        </w:rPr>
        <w:t xml:space="preserve">– Шаг 5. Если тип сдвига неясен, а меток нет — применить нижнюю оценку покрытия (7) для мониторинга, параллельно запустив сбор данных, которые позволят точнее диагностировать характер сдвига.</w:t>
      </w:r>
    </w:p>
    <w:p>
      <w:pPr>
        <w:spacing w:after="120" w:before="0" w:line="360" w:lineRule="auto"/>
        <w:ind w:firstLine="567"/>
        <w:jc w:val="both"/>
      </w:pPr>
      <w:r>
        <w:rPr>
          <w:rFonts w:ascii="Times New Roman" w:cs="Times New Roman" w:eastAsia="Times New Roman" w:hAnsi="Times New Roman"/>
          <w:sz w:val="24"/>
          <w:szCs w:val="24"/>
        </w:rPr>
        <w:t xml:space="preserve">Схема носит сугубо практический характер: она не требует заранее знать истинный закон сдвига — тип сдвига определяется по данным мониторинга, а метод CP подбирается адаптивно, по мере того как накапливается информация о системе.</w:t>
      </w:r>
    </w:p>
    <w:p>
      <w:pPr>
        <w:pStyle w:val="Heading1"/>
        <w:spacing w:after="120" w:before="360"/>
        <w:jc w:val="center"/>
      </w:pPr>
      <w:r>
        <w:rPr>
          <w:rFonts w:ascii="Times New Roman" w:cs="Times New Roman" w:eastAsia="Times New Roman" w:hAnsi="Times New Roman"/>
          <w:b/>
          <w:bCs/>
          <w:sz w:val="28"/>
          <w:szCs w:val="28"/>
        </w:rPr>
        <w:t xml:space="preserve">6. ОБСУЖДЕНИЕ И ПЕРСПЕКТИВЫ</w:t>
      </w:r>
    </w:p>
    <w:p>
      <w:pPr>
        <w:spacing w:after="120" w:before="0" w:line="360" w:lineRule="auto"/>
        <w:ind w:firstLine="567"/>
        <w:jc w:val="both"/>
      </w:pPr>
      <w:r>
        <w:rPr>
          <w:rFonts w:ascii="Times New Roman" w:cs="Times New Roman" w:eastAsia="Times New Roman" w:hAnsi="Times New Roman"/>
          <w:sz w:val="24"/>
          <w:szCs w:val="24"/>
        </w:rPr>
        <w:t xml:space="preserve">У всех рассмотренных методов есть общая черта: они ставятся поверх любого базового классификатора, не требуя менять его архитектуру. Именно это делает их практически применимыми во всех уже действующих СИППР на основе градиентного бустинга (XGBoost, LightGBM) — а эти алгоритмы, как известно, доминируют на задачах с табличными данными [6].</w:t>
      </w:r>
    </w:p>
    <w:p>
      <w:pPr>
        <w:spacing w:after="120" w:before="0" w:line="360" w:lineRule="auto"/>
        <w:ind w:firstLine="567"/>
        <w:jc w:val="both"/>
      </w:pPr>
      <w:r>
        <w:rPr>
          <w:rFonts w:ascii="Times New Roman" w:cs="Times New Roman" w:eastAsia="Times New Roman" w:hAnsi="Times New Roman"/>
          <w:sz w:val="24"/>
          <w:szCs w:val="24"/>
        </w:rPr>
        <w:t xml:space="preserve">Открытым остаётся вопрос о том, как соотносится деградация покрытия CP с деградацией качества самих принимаемых решений. Судя по эмпирическим данным [7], здесь нет прямой пропорциональности — ухудшение покрытия и ухудшение решений могут расходиться, причём степень расхождения сильно зависит от структуры функции потерь. Это, собственно, и намечает вектор дальнейших исследований: разработку методов CP, оптимизированных сразу по метрике качества решений, а не только по статистическому покрытию.</w:t>
      </w:r>
    </w:p>
    <w:p>
      <w:pPr>
        <w:spacing w:after="120" w:before="0" w:line="360" w:lineRule="auto"/>
        <w:ind w:firstLine="567"/>
        <w:jc w:val="both"/>
      </w:pPr>
      <w:r>
        <w:rPr>
          <w:rFonts w:ascii="Times New Roman" w:cs="Times New Roman" w:eastAsia="Times New Roman" w:hAnsi="Times New Roman"/>
          <w:sz w:val="24"/>
          <w:szCs w:val="24"/>
        </w:rPr>
        <w:t xml:space="preserve">Отдельного внимания заслуживает и возможная интеграция CP с оценкой деградации производительности модели без меток [8] — это позволило бы автоматически переключать метод CP при обнаружении критического сдвига, не дожидаясь, пока появятся размеченные данные.</w:t>
      </w:r>
    </w:p>
    <w:p>
      <w:pPr>
        <w:pStyle w:val="Heading1"/>
        <w:spacing w:after="120" w:before="360"/>
        <w:jc w:val="center"/>
      </w:pPr>
      <w:r>
        <w:rPr>
          <w:rFonts w:ascii="Times New Roman" w:cs="Times New Roman" w:eastAsia="Times New Roman" w:hAnsi="Times New Roman"/>
          <w:b/>
          <w:bCs/>
          <w:sz w:val="28"/>
          <w:szCs w:val="28"/>
        </w:rPr>
        <w:t xml:space="preserve">ЗАКЛЮЧЕНИЕ</w:t>
      </w:r>
    </w:p>
    <w:p>
      <w:pPr>
        <w:spacing w:after="120" w:before="0" w:line="360" w:lineRule="auto"/>
        <w:ind w:firstLine="567"/>
        <w:jc w:val="both"/>
      </w:pPr>
      <w:r>
        <w:rPr>
          <w:rFonts w:ascii="Times New Roman" w:cs="Times New Roman" w:eastAsia="Times New Roman" w:hAnsi="Times New Roman"/>
          <w:sz w:val="24"/>
          <w:szCs w:val="24"/>
        </w:rPr>
        <w:t xml:space="preserve">В статье сопоставлены четыре варианта конформного предсказания — Split CP, Weighted CP, Adaptive CP и CP за пределами обменяемости — применительно к задачам интеллектуальной поддержки принятия решений в условиях сдвига распределения данных.</w:t>
      </w:r>
    </w:p>
    <w:p>
      <w:pPr>
        <w:spacing w:after="120" w:before="0" w:line="360" w:lineRule="auto"/>
        <w:ind w:firstLine="567"/>
        <w:jc w:val="both"/>
      </w:pPr>
      <w:r>
        <w:rPr>
          <w:rFonts w:ascii="Times New Roman" w:cs="Times New Roman" w:eastAsia="Times New Roman" w:hAnsi="Times New Roman"/>
          <w:sz w:val="24"/>
          <w:szCs w:val="24"/>
        </w:rPr>
        <w:t xml:space="preserve">Показано, что выбор конкретного метода зависит прежде всего от типа наблюдаемого сдвига и от того, есть ли обратная связь по меткам. Предложена практическая схема выбора метода по результатам мониторинга системы. Отдельно отмечено, что все рассмотренные методы можно применять поверх уже работающих классификаторов, не переобучая их.</w:t>
      </w:r>
    </w:p>
    <w:p>
      <w:pPr>
        <w:spacing w:after="120" w:before="0" w:line="360" w:lineRule="auto"/>
        <w:ind w:firstLine="567"/>
        <w:jc w:val="both"/>
      </w:pPr>
      <w:r>
        <w:rPr>
          <w:rFonts w:ascii="Times New Roman" w:cs="Times New Roman" w:eastAsia="Times New Roman" w:hAnsi="Times New Roman"/>
          <w:sz w:val="24"/>
          <w:szCs w:val="24"/>
        </w:rPr>
        <w:t xml:space="preserve">Дальнейшая работа планируется в направлении экспериментальной проверки предложенной схемы на бенчмарке TableShift [6] и разработки интегрированного механизма поддержки решений, объединяющего оценку неопределённости с адаптивной политикой принятия решений.</w:t>
      </w:r>
    </w:p>
    <w:p>
      <w:pPr>
        <w:spacing w:after="0" w:before="0"/>
      </w:pPr>
      <w:r>
        <w:rPr>
          <w:rFonts w:ascii="Times New Roman" w:cs="Times New Roman" w:eastAsia="Times New Roman" w:hAnsi="Times New Roman"/>
          <w:sz w:val="24"/>
          <w:szCs w:val="24"/>
        </w:rPr>
        <w:t xml:space="preserve"/>
      </w:r>
    </w:p>
    <w:p>
      <w:pPr>
        <w:pStyle w:val="Heading1"/>
        <w:spacing w:after="120" w:before="360"/>
        <w:jc w:val="center"/>
      </w:pPr>
      <w:r>
        <w:rPr>
          <w:rFonts w:ascii="Times New Roman" w:cs="Times New Roman" w:eastAsia="Times New Roman" w:hAnsi="Times New Roman"/>
          <w:b/>
          <w:bCs/>
          <w:sz w:val="28"/>
          <w:szCs w:val="28"/>
        </w:rPr>
        <w:t xml:space="preserve">СПИСОК ЛИТЕРАТУРЫ</w:t>
      </w:r>
    </w:p>
    <w:p>
      <w:pPr>
        <w:spacing w:after="80" w:before="0"/>
        <w:ind w:left="360" w:hanging="360"/>
        <w:jc w:val="both"/>
      </w:pPr>
      <w:r>
        <w:rPr>
          <w:rFonts w:ascii="Times New Roman" w:cs="Times New Roman" w:eastAsia="Times New Roman" w:hAnsi="Times New Roman"/>
          <w:sz w:val="22"/>
          <w:szCs w:val="22"/>
        </w:rPr>
        <w:t xml:space="preserve">1. Квон и др. Конформное избирательное предсказание с учётом стоимости при сдвиге // Scientific Reports. 2026.</w:t>
      </w:r>
    </w:p>
    <w:p>
      <w:pPr>
        <w:spacing w:after="80" w:before="0"/>
        <w:ind w:left="360" w:hanging="360"/>
        <w:jc w:val="both"/>
      </w:pPr>
      <w:r>
        <w:rPr>
          <w:rFonts w:ascii="Times New Roman" w:cs="Times New Roman" w:eastAsia="Times New Roman" w:hAnsi="Times New Roman"/>
          <w:sz w:val="22"/>
          <w:szCs w:val="22"/>
        </w:rPr>
        <w:t xml:space="preserve">2. Vovk V., Gammerman A., Shafer G. Algorithmic Learning in a Random World. Springer, 2005. 324 p.</w:t>
      </w:r>
    </w:p>
    <w:p>
      <w:pPr>
        <w:spacing w:after="80" w:before="0"/>
        <w:ind w:left="360" w:hanging="360"/>
        <w:jc w:val="both"/>
      </w:pPr>
      <w:r>
        <w:rPr>
          <w:rFonts w:ascii="Times New Roman" w:cs="Times New Roman" w:eastAsia="Times New Roman" w:hAnsi="Times New Roman"/>
          <w:sz w:val="22"/>
          <w:szCs w:val="22"/>
        </w:rPr>
        <w:t xml:space="preserve">3. Tibshirani R.J. et al. Conformal Prediction Under Covariate Shift // Advances in Neural Information Processing Systems. 2019. Vol. 32.</w:t>
      </w:r>
    </w:p>
    <w:p>
      <w:pPr>
        <w:spacing w:after="80" w:before="0"/>
        <w:ind w:left="360" w:hanging="360"/>
        <w:jc w:val="both"/>
      </w:pPr>
      <w:r>
        <w:rPr>
          <w:rFonts w:ascii="Times New Roman" w:cs="Times New Roman" w:eastAsia="Times New Roman" w:hAnsi="Times New Roman"/>
          <w:sz w:val="22"/>
          <w:szCs w:val="22"/>
        </w:rPr>
        <w:t xml:space="preserve">4. Gibbs I., Candès E. Adaptive Conformal Inference under Distribution Shift // Advances in Neural Information Processing Systems. 2021. Vol. 34.</w:t>
      </w:r>
    </w:p>
    <w:p>
      <w:pPr>
        <w:spacing w:after="80" w:before="0"/>
        <w:ind w:left="360" w:hanging="360"/>
        <w:jc w:val="both"/>
      </w:pPr>
      <w:r>
        <w:rPr>
          <w:rFonts w:ascii="Times New Roman" w:cs="Times New Roman" w:eastAsia="Times New Roman" w:hAnsi="Times New Roman"/>
          <w:sz w:val="22"/>
          <w:szCs w:val="22"/>
        </w:rPr>
        <w:t xml:space="preserve">5. Barber R.F. et al. Conformal Prediction Beyond Exchangeability // The Annals of Statistics. 2023. Vol. 51. No. 2. P. 816–845.</w:t>
      </w:r>
    </w:p>
    <w:p>
      <w:pPr>
        <w:spacing w:after="80" w:before="0"/>
        <w:ind w:left="360" w:hanging="360"/>
        <w:jc w:val="both"/>
      </w:pPr>
      <w:r>
        <w:rPr>
          <w:rFonts w:ascii="Times New Roman" w:cs="Times New Roman" w:eastAsia="Times New Roman" w:hAnsi="Times New Roman"/>
          <w:sz w:val="22"/>
          <w:szCs w:val="22"/>
        </w:rPr>
        <w:t xml:space="preserve">6. Gardner J. et al. Benchmarking Distribution Shift in Tabular Data with TableShift // NeurIPS. 2023. Vol. 36.</w:t>
      </w:r>
    </w:p>
    <w:p>
      <w:pPr>
        <w:spacing w:after="80" w:before="0"/>
        <w:ind w:left="360" w:hanging="360"/>
        <w:jc w:val="both"/>
      </w:pPr>
      <w:r>
        <w:rPr>
          <w:rFonts w:ascii="Times New Roman" w:cs="Times New Roman" w:eastAsia="Times New Roman" w:hAnsi="Times New Roman"/>
          <w:sz w:val="22"/>
          <w:szCs w:val="22"/>
        </w:rPr>
        <w:t xml:space="preserve">7. Byun Y. et al. Decision-Focused Evaluation of Worst-Case Distribution Shift // arXiv:2407.03557. 2024.</w:t>
      </w:r>
    </w:p>
    <w:p>
      <w:pPr>
        <w:spacing w:after="80" w:before="0"/>
        <w:ind w:left="360" w:hanging="360"/>
        <w:jc w:val="both"/>
      </w:pPr>
      <w:r>
        <w:rPr>
          <w:rFonts w:ascii="Times New Roman" w:cs="Times New Roman" w:eastAsia="Times New Roman" w:hAnsi="Times New Roman"/>
          <w:sz w:val="22"/>
          <w:szCs w:val="22"/>
        </w:rPr>
        <w:t xml:space="preserve">8. Бялек и др. PAPE: Оценка производительности при сдвиге без меток // NeurIPS. 2025.</w:t>
      </w:r>
    </w:p>
    <w:p>
      <w:pPr>
        <w:spacing w:after="80" w:before="0"/>
        <w:ind w:left="360" w:hanging="360"/>
        <w:jc w:val="both"/>
      </w:pPr>
      <w:r>
        <w:rPr>
          <w:rFonts w:ascii="Times New Roman" w:cs="Times New Roman" w:eastAsia="Times New Roman" w:hAnsi="Times New Roman"/>
          <w:sz w:val="22"/>
          <w:szCs w:val="22"/>
        </w:rPr>
        <w:t xml:space="preserve">9. Ovadia Y. et al. Can You Trust Your Model's Uncertainty? // NeurIPS. 2019. Vol. 32.</w:t>
      </w:r>
    </w:p>
    <w:p>
      <w:pPr>
        <w:spacing w:after="80" w:before="0"/>
        <w:ind w:left="360" w:hanging="360"/>
        <w:jc w:val="both"/>
      </w:pPr>
      <w:r>
        <w:rPr>
          <w:rFonts w:ascii="Times New Roman" w:cs="Times New Roman" w:eastAsia="Times New Roman" w:hAnsi="Times New Roman"/>
          <w:sz w:val="22"/>
          <w:szCs w:val="22"/>
        </w:rPr>
        <w:t xml:space="preserve">10. Angelopoulos A.N., Bates S. A Gentle Introduction to Conformal Prediction // Foundations and Trends in Machine Learning. 2023. Vol. 16. P. 494–591.</w:t>
      </w:r>
    </w:p>
    <w:p>
      <w:pPr>
        <w:spacing w:after="0" w:before="0"/>
      </w:pPr>
      <w:r>
        <w:rPr>
          <w:rFonts w:ascii="Times New Roman" w:cs="Times New Roman" w:eastAsia="Times New Roman" w:hAnsi="Times New Roman"/>
          <w:sz w:val="24"/>
          <w:szCs w:val="24"/>
        </w:rPr>
        <w:t xml:space="preserve"/>
      </w:r>
    </w:p>
    <w:p>
      <w:pPr>
        <w:spacing w:after="60" w:before="240"/>
      </w:pPr>
      <w:r>
        <w:rPr>
          <w:rFonts w:ascii="Times New Roman" w:cs="Times New Roman" w:eastAsia="Times New Roman" w:hAnsi="Times New Roman"/>
          <w:b/>
          <w:bCs/>
          <w:sz w:val="22"/>
          <w:szCs w:val="22"/>
        </w:rPr>
        <w:t xml:space="preserve">Сведения об авторе:</w:t>
      </w:r>
    </w:p>
    <w:p>
      <w:pPr>
        <w:spacing w:after="120" w:before="0" w:line="360" w:lineRule="auto"/>
        <w:ind/>
        <w:jc w:val="both"/>
      </w:pPr>
      <w:r>
        <w:rPr>
          <w:rFonts w:ascii="Times New Roman" w:cs="Times New Roman" w:eastAsia="Times New Roman" w:hAnsi="Times New Roman"/>
          <w:b/>
          <w:bCs/>
          <w:sz w:val="22"/>
          <w:szCs w:val="22"/>
        </w:rPr>
        <w:t xml:space="preserve">Рефси Амин</w:t>
      </w:r>
      <w:r>
        <w:rPr>
          <w:rFonts w:ascii="Times New Roman" w:cs="Times New Roman" w:eastAsia="Times New Roman" w:hAnsi="Times New Roman"/>
          <w:sz w:val="22"/>
          <w:szCs w:val="22"/>
        </w:rPr>
        <w:t xml:space="preserve"> — аспирант, Самарский государственный технический университет (СамГТУ), г. Самара, Россия. Область научных интересов: методы машинного обучения, конформное предсказание, неопределённость прогнозов, системы поддержки принятия решений при сдвиге распределения данных. E-mail: refsiamine.p@gmail.com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2026-09-13T16:43:01.461Z</dcterms:created>
  <dcterms:modified xsi:type="dcterms:W3CDTF">2026-09-13T16:43:01.461Z</dcterms:modified>
</cp:coreProperties>
</file>

<file path=docProps/custom.xml><?xml version="1.0" encoding="utf-8"?>
<Properties xmlns="http://schemas.openxmlformats.org/officeDocument/2006/custom-properties" xmlns:vt="http://schemas.openxmlformats.org/officeDocument/2006/docPropsVTypes"/>
</file>