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22"/>
          <w:szCs w:val="22"/>
        </w:rPr>
        <w:t xml:space="preserve">УДК 004.85</w:t>
      </w:r>
    </w:p>
    <w:p>
      <w:pPr>
        <w:spacing w:after="0" w:before="0"/>
      </w:pPr>
      <w:r>
        <w:rPr>
          <w:rFonts w:ascii="Times New Roman" w:cs="Times New Roman" w:eastAsia="Times New Roman" w:hAnsi="Times New Roman"/>
          <w:sz w:val="24"/>
          <w:szCs w:val="24"/>
        </w:rPr>
        <w:t xml:space="preserve"/>
      </w:r>
    </w:p>
    <w:p>
      <w:pPr>
        <w:spacing w:after="120" w:before="120"/>
        <w:jc w:val="center"/>
      </w:pPr>
      <w:r>
        <w:rPr>
          <w:rFonts w:ascii="Times New Roman" w:cs="Times New Roman" w:eastAsia="Times New Roman" w:hAnsi="Times New Roman"/>
          <w:b/>
          <w:bCs/>
          <w:sz w:val="26"/>
          <w:szCs w:val="26"/>
        </w:rPr>
        <w:t xml:space="preserve">МЕТОДЫ ОЦЕНКИ НЕОПРЕДЕЛЁННОСТИ ПРОГНОЗОВ В ЗАДАЧАХ
ИНТЕЛЛЕКТУАЛЬНОЙ ПОДДЕРЖКИ ПРИНЯТИЯ РЕШЕНИЙ
ПРИ СДВИГЕ РАСПРЕДЕЛЕНИЯ ДАННЫХ</w:t>
      </w:r>
    </w:p>
    <w:p>
      <w:pPr>
        <w:spacing w:after="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4"/>
          <w:szCs w:val="24"/>
        </w:rPr>
        <w:t xml:space="preserve">Рефси Амин</w:t>
      </w:r>
    </w:p>
    <w:p>
      <w:pPr>
        <w:spacing w:after="120" w:before="0"/>
        <w:jc w:val="center"/>
      </w:pPr>
      <w:r>
        <w:rPr>
          <w:rFonts w:ascii="Times New Roman" w:cs="Times New Roman" w:eastAsia="Times New Roman" w:hAnsi="Times New Roman"/>
          <w:sz w:val="24"/>
          <w:szCs w:val="24"/>
        </w:rPr>
        <w:t xml:space="preserve">аспирант кафедры автоматизации и управления</w:t>
      </w:r>
    </w:p>
    <w:p>
      <w:pPr>
        <w:spacing w:after="120" w:before="0"/>
        <w:jc w:val="center"/>
      </w:pPr>
      <w:r>
        <w:rPr>
          <w:rFonts w:ascii="Times New Roman" w:cs="Times New Roman" w:eastAsia="Times New Roman" w:hAnsi="Times New Roman"/>
          <w:sz w:val="24"/>
          <w:szCs w:val="24"/>
        </w:rPr>
        <w:t xml:space="preserve">Самарский государственный технический университет (СамГТУ)</w:t>
      </w:r>
    </w:p>
    <w:p>
      <w:pPr>
        <w:spacing w:after="120" w:before="0"/>
        <w:jc w:val="center"/>
      </w:pPr>
      <w:r>
        <w:rPr>
          <w:rFonts w:ascii="Times New Roman" w:cs="Times New Roman" w:eastAsia="Times New Roman" w:hAnsi="Times New Roman"/>
          <w:sz w:val="24"/>
          <w:szCs w:val="24"/>
        </w:rPr>
        <w:t xml:space="preserve">г. Самара, Россия</w:t>
      </w:r>
    </w:p>
    <w:p>
      <w:pPr>
        <w:spacing w:after="120" w:before="0"/>
        <w:jc w:val="center"/>
      </w:pPr>
      <w:r>
        <w:rPr>
          <w:rFonts w:ascii="Times New Roman" w:cs="Times New Roman" w:eastAsia="Times New Roman" w:hAnsi="Times New Roman"/>
          <w:sz w:val="24"/>
          <w:szCs w:val="24"/>
        </w:rPr>
        <w:t xml:space="preserve">refsiamine.p@gmail.com</w:t>
      </w:r>
    </w:p>
    <w:p>
      <w:pPr>
        <w:spacing w:after="0" w:before="0"/>
      </w:pPr>
      <w:r>
        <w:rPr>
          <w:rFonts w:ascii="Times New Roman" w:cs="Times New Roman" w:eastAsia="Times New Roman" w:hAnsi="Times New Roman"/>
          <w:sz w:val="24"/>
          <w:szCs w:val="24"/>
        </w:rPr>
        <w:t xml:space="preserve"/>
      </w:r>
    </w:p>
    <w:p>
      <w:pPr>
        <w:spacing w:after="120" w:before="0" w:line="320"/>
        <w:jc w:val="both"/>
      </w:pPr>
      <w:r>
        <w:rPr>
          <w:rFonts w:ascii="Times New Roman" w:cs="Times New Roman" w:eastAsia="Times New Roman" w:hAnsi="Times New Roman"/>
          <w:b/>
          <w:bCs/>
          <w:sz w:val="22"/>
          <w:szCs w:val="22"/>
        </w:rPr>
        <w:t xml:space="preserve">Аннотация: </w:t>
      </w:r>
      <w:r>
        <w:rPr>
          <w:rFonts w:ascii="Times New Roman" w:cs="Times New Roman" w:eastAsia="Times New Roman" w:hAnsi="Times New Roman"/>
          <w:sz w:val="22"/>
          <w:szCs w:val="22"/>
        </w:rPr>
        <w:t xml:space="preserve">Надёжность прогнозов, получаемых с помощью моделей машинного обучения, заметно снижается, когда данные, поступающие в систему после её развёртывания, статистически отличаются от тех, на которых модель обучалась. Для систем интеллектуальной поддержки принятия решений это создаёт серьёзный риск: рекомендации формируются на основе оценок, чья точность фактически уже нарушена, хотя внешне модель продолжает работать в штатном режиме. В работе разбирается, почему привычные способы измерения уверенности модели перестают быть достаточными в подобных условиях, и предлагается схема, объединяющая калибровку вероятностей и конформное предсказание в общий механизм адаптивной поддержки решений. Формулируются три гипотезы, которые предполагается проверить на табличных данных с реальными сдвигами распределения.</w:t>
      </w:r>
    </w:p>
    <w:p>
      <w:pPr>
        <w:spacing w:after="0" w:before="0"/>
      </w:pPr>
      <w:r>
        <w:rPr>
          <w:rFonts w:ascii="Times New Roman" w:cs="Times New Roman" w:eastAsia="Times New Roman" w:hAnsi="Times New Roman"/>
          <w:sz w:val="24"/>
          <w:szCs w:val="24"/>
        </w:rPr>
        <w:t xml:space="preserve"/>
      </w:r>
    </w:p>
    <w:p>
      <w:pPr>
        <w:spacing w:after="240" w:before="0" w:line="320"/>
        <w:jc w:val="both"/>
      </w:pPr>
      <w:r>
        <w:rPr>
          <w:rFonts w:ascii="Times New Roman" w:cs="Times New Roman" w:eastAsia="Times New Roman" w:hAnsi="Times New Roman"/>
          <w:b/>
          <w:bCs/>
          <w:sz w:val="22"/>
          <w:szCs w:val="22"/>
        </w:rPr>
        <w:t xml:space="preserve">Ключевые слова: </w:t>
      </w:r>
      <w:r>
        <w:rPr>
          <w:rFonts w:ascii="Times New Roman" w:cs="Times New Roman" w:eastAsia="Times New Roman" w:hAnsi="Times New Roman"/>
          <w:sz w:val="22"/>
          <w:szCs w:val="22"/>
        </w:rPr>
        <w:t xml:space="preserve">сдвиг распределения данных; неопределённость прогнозов; конформное предсказание; калибровка вероятностей; интеллектуальная поддержка принятия решений; машинное обучение; надёжность.</w:t>
      </w:r>
    </w:p>
    <w:p>
      <w:pPr>
        <w:spacing w:after="120" w:before="0" w:line="320"/>
        <w:jc w:val="both"/>
      </w:pPr>
      <w:r>
        <w:rPr>
          <w:rFonts w:ascii="Times New Roman" w:cs="Times New Roman" w:eastAsia="Times New Roman" w:hAnsi="Times New Roman"/>
          <w:b/>
          <w:bCs/>
          <w:i/>
          <w:iCs/>
          <w:sz w:val="22"/>
          <w:szCs w:val="22"/>
        </w:rPr>
        <w:t xml:space="preserve">Abstract: </w:t>
      </w:r>
      <w:r>
        <w:rPr>
          <w:rFonts w:ascii="Times New Roman" w:cs="Times New Roman" w:eastAsia="Times New Roman" w:hAnsi="Times New Roman"/>
          <w:i/>
          <w:iCs/>
          <w:sz w:val="22"/>
          <w:szCs w:val="22"/>
        </w:rPr>
        <w:t xml:space="preserve">When the data a machine learning model encounters after deployment differ statistically from its training data, the reliability of its predictions tends to drop noticeably. For decision support systems this is a real problem: recommendations end up being based on estimates whose accuracy has already degraded, while the system itself shows no outward sign of trouble. This paper examines why the usual ways of measuring model confidence stop being adequate under such conditions and outlines a scheme that combines probability calibration with conformal prediction into one adaptive decision-support mechanism. Three hypotheses are formulated for later testing on tabular data with genuine distribution shifts.</w:t>
      </w:r>
    </w:p>
    <w:p>
      <w:pPr>
        <w:spacing w:after="360" w:before="0" w:line="320"/>
        <w:jc w:val="both"/>
      </w:pPr>
      <w:r>
        <w:rPr>
          <w:rFonts w:ascii="Times New Roman" w:cs="Times New Roman" w:eastAsia="Times New Roman" w:hAnsi="Times New Roman"/>
          <w:b/>
          <w:bCs/>
          <w:i/>
          <w:iCs/>
          <w:sz w:val="22"/>
          <w:szCs w:val="22"/>
        </w:rPr>
        <w:t xml:space="preserve">Keywords: </w:t>
      </w:r>
      <w:r>
        <w:rPr>
          <w:rFonts w:ascii="Times New Roman" w:cs="Times New Roman" w:eastAsia="Times New Roman" w:hAnsi="Times New Roman"/>
          <w:i/>
          <w:iCs/>
          <w:sz w:val="22"/>
          <w:szCs w:val="22"/>
        </w:rPr>
        <w:t xml:space="preserve">distribution shift; prediction uncertainty; conformal prediction; probability calibration; intelligent decision support; machine learning; reliability.</w:t>
      </w:r>
    </w:p>
    <w:p>
      <w:pPr>
        <w:pStyle w:val="Heading1"/>
        <w:spacing w:after="120" w:before="360"/>
        <w:jc w:val="center"/>
      </w:pPr>
      <w:r>
        <w:t xml:space="preserve">1. ВВЕДЕНИЕ</w:t>
      </w:r>
    </w:p>
    <w:p>
      <w:pPr>
        <w:spacing w:after="120" w:before="0" w:line="360" w:lineRule="auto"/>
        <w:ind w:firstLine="567"/>
        <w:jc w:val="both"/>
      </w:pPr>
      <w:r>
        <w:rPr>
          <w:rFonts w:ascii="Times New Roman" w:cs="Times New Roman" w:eastAsia="Times New Roman" w:hAnsi="Times New Roman"/>
          <w:sz w:val="24"/>
          <w:szCs w:val="24"/>
        </w:rPr>
        <w:t xml:space="preserve">Модели машинного обучения всё чаще берут на себя часть работы по подготовке решений в здравоохранении, финансовом секторе, промышленности и управлении инфраструктурой [1]. Проблема в том, что такие модели обучаются один раз на исторических данных, а работать им приходится в условиях, которые со временем меняются. Разрыв между обучающим и рабочим распределением данных — то, что в литературе принято называть сдвигом распределения (distribution shift), — постепенно подтачивает качество прогнозов, причём происходит это незаметно для самой системы.</w:t>
      </w:r>
    </w:p>
    <w:p>
      <w:pPr>
        <w:spacing w:after="120" w:before="0" w:line="360" w:lineRule="auto"/>
        <w:ind w:firstLine="567"/>
        <w:jc w:val="both"/>
      </w:pPr>
      <w:r>
        <w:rPr>
          <w:rFonts w:ascii="Times New Roman" w:cs="Times New Roman" w:eastAsia="Times New Roman" w:hAnsi="Times New Roman"/>
          <w:sz w:val="24"/>
          <w:szCs w:val="24"/>
        </w:rPr>
        <w:t xml:space="preserve">Есть исследования, которые прямо это подтверждают: Ovadia с коллегами [2] показали, что при смещении распределения модель продолжает выдавать прогнозы с прежней, зачастую высокой, декларируемой уверенностью, тогда как реальная точность падает. Получается своего рода расхождение между тем, что модель «думает» о себе, и тем, что происходит на самом деле — а это уже прямая угроза для систем поддержки решений, поскольку они опираются именно на заявленную уверенность модели.</w:t>
      </w:r>
    </w:p>
    <w:p>
      <w:pPr>
        <w:spacing w:after="120" w:before="0" w:line="360" w:lineRule="auto"/>
        <w:ind w:firstLine="567"/>
        <w:jc w:val="both"/>
      </w:pPr>
      <w:r>
        <w:rPr>
          <w:rFonts w:ascii="Times New Roman" w:cs="Times New Roman" w:eastAsia="Times New Roman" w:hAnsi="Times New Roman"/>
          <w:sz w:val="24"/>
          <w:szCs w:val="24"/>
        </w:rPr>
        <w:t xml:space="preserve">Ситуацию усложняет и то, что в подавляющем большинстве реальных внедрений истинные метки для новых данных попросту недоступны в момент принятия решения — их либо нет вовсе, либо они появляются с задержкой в недели или месяцы. Система, соответственно, не может напрямую убедиться в собственной деградации и продолжает работать так, будто распределение данных осталось прежним.</w:t>
      </w:r>
    </w:p>
    <w:p>
      <w:pPr>
        <w:spacing w:after="120" w:before="0" w:line="360" w:lineRule="auto"/>
        <w:ind w:firstLine="567"/>
        <w:jc w:val="both"/>
      </w:pPr>
      <w:r>
        <w:rPr>
          <w:rFonts w:ascii="Times New Roman" w:cs="Times New Roman" w:eastAsia="Times New Roman" w:hAnsi="Times New Roman"/>
          <w:sz w:val="24"/>
          <w:szCs w:val="24"/>
        </w:rPr>
        <w:t xml:space="preserve">Задача этой статьи — показать, почему стандартных мер неопределённости оказывается недостаточно именно в условиях сдвига, и предложить в общих чертах, как можно было бы объединить существующие методы оценки неопределённости в единую схему, пригодную для практического использования в системах поддержки решений.</w:t>
      </w:r>
    </w:p>
    <w:p>
      <w:pPr>
        <w:pStyle w:val="Heading1"/>
        <w:spacing w:after="120" w:before="360"/>
        <w:jc w:val="center"/>
      </w:pPr>
      <w:r>
        <w:t xml:space="preserve">2. ПОСТАНОВКА ПРОБЛЕМЫ</w:t>
      </w:r>
    </w:p>
    <w:p>
      <w:pPr>
        <w:pStyle w:val="Heading2"/>
        <w:spacing w:after="80" w:before="240"/>
      </w:pPr>
      <w:r>
        <w:t xml:space="preserve">2.1. Формализация задачи</w:t>
      </w:r>
    </w:p>
    <w:p>
      <w:pPr>
        <w:spacing w:after="120" w:before="0" w:line="360" w:lineRule="auto"/>
        <w:ind w:firstLine="567"/>
        <w:jc w:val="both"/>
      </w:pPr>
      <w:r>
        <w:rPr>
          <w:rFonts w:ascii="Times New Roman" w:cs="Times New Roman" w:eastAsia="Times New Roman" w:hAnsi="Times New Roman"/>
          <w:sz w:val="24"/>
          <w:szCs w:val="24"/>
        </w:rPr>
        <w:t xml:space="preserve">Пусть модель f : X → Y обучена на выборке D_train ~ P_train(X, Y). После развёртывания модель начинает получать данные из распределения P_test(X, Y), которое, вообще говоря, не совпадает с P_train(X, Y). При этом:</w:t>
      </w:r>
    </w:p>
    <w:p>
      <w:pPr>
        <w:spacing w:after="80" w:before="0" w:line="340" w:lineRule="auto"/>
        <w:ind w:left="567" w:hanging="340"/>
        <w:jc w:val="both"/>
      </w:pPr>
      <w:r>
        <w:rPr>
          <w:rFonts w:ascii="Times New Roman" w:cs="Times New Roman" w:eastAsia="Times New Roman" w:hAnsi="Times New Roman"/>
          <w:sz w:val="24"/>
          <w:szCs w:val="24"/>
        </w:rPr>
        <w:t xml:space="preserve">– P_train и P_test могут различаться и по предельному распределению признаков P(X) — это ковариатный сдвиг, — и по условному распределению P(Y | X), что уже ближе к концептуальному дрейфу, и по распределению самих меток P(Y);</w:t>
      </w:r>
    </w:p>
    <w:p>
      <w:pPr>
        <w:spacing w:after="80" w:before="0" w:line="340" w:lineRule="auto"/>
        <w:ind w:left="567" w:hanging="340"/>
        <w:jc w:val="both"/>
      </w:pPr>
      <w:r>
        <w:rPr>
          <w:rFonts w:ascii="Times New Roman" w:cs="Times New Roman" w:eastAsia="Times New Roman" w:hAnsi="Times New Roman"/>
          <w:sz w:val="24"/>
          <w:szCs w:val="24"/>
        </w:rPr>
        <w:t xml:space="preserve">– истинные значения Y в период эксплуатации системы, как правило, недоступны или запаздывают;</w:t>
      </w:r>
    </w:p>
    <w:p>
      <w:pPr>
        <w:spacing w:after="80" w:before="0" w:line="340" w:lineRule="auto"/>
        <w:ind w:left="567" w:hanging="340"/>
        <w:jc w:val="both"/>
      </w:pPr>
      <w:r>
        <w:rPr>
          <w:rFonts w:ascii="Times New Roman" w:cs="Times New Roman" w:eastAsia="Times New Roman" w:hAnsi="Times New Roman"/>
          <w:sz w:val="24"/>
          <w:szCs w:val="24"/>
        </w:rPr>
        <w:t xml:space="preserve">– система должна выбрать действие a ∈ A, опираясь на прогноз f(x), при том что степень доверия к этому прогнозу заранее неизвестна.</w:t>
      </w:r>
    </w:p>
    <w:p>
      <w:pPr>
        <w:spacing w:after="120" w:before="0" w:line="360" w:lineRule="auto"/>
        <w:ind w:firstLine="567"/>
        <w:jc w:val="both"/>
      </w:pPr>
      <w:r>
        <w:rPr>
          <w:rFonts w:ascii="Times New Roman" w:cs="Times New Roman" w:eastAsia="Times New Roman" w:hAnsi="Times New Roman"/>
          <w:sz w:val="24"/>
          <w:szCs w:val="24"/>
        </w:rPr>
        <w:t xml:space="preserve">Отсюда и вытекает задача: нужен метод, который по выходу модели f(x) и косвенным признакам возможного сдвига распределения позволял бы выбирать решение a* ∈ A с контролируемым уровнем ожидаемых потерь L(a, Y), даже когда P_test отличается от P_train.</w:t>
      </w:r>
    </w:p>
    <w:p>
      <w:pPr>
        <w:pStyle w:val="Heading2"/>
        <w:spacing w:after="80" w:before="240"/>
      </w:pPr>
      <w:r>
        <w:t xml:space="preserve">2.2. Почему стандартных мер уверенности недостаточно</w:t>
      </w:r>
    </w:p>
    <w:p>
      <w:pPr>
        <w:spacing w:after="120" w:before="0" w:line="360" w:lineRule="auto"/>
        <w:ind w:firstLine="567"/>
        <w:jc w:val="both"/>
      </w:pPr>
      <w:r>
        <w:rPr>
          <w:rFonts w:ascii="Times New Roman" w:cs="Times New Roman" w:eastAsia="Times New Roman" w:hAnsi="Times New Roman"/>
          <w:sz w:val="24"/>
          <w:szCs w:val="24"/>
        </w:rPr>
        <w:t xml:space="preserve">Обычно в качестве меры уверенности модели берут саму вероятностную оценку f(x) = P(Y = 1 | X = x). Дальше всё просто: если P(Y = 1 | X = x) превышает некоторый порог θ, система рекомендует действие a₁, иначе — a₀.</w:t>
      </w:r>
    </w:p>
    <w:p>
      <w:pPr>
        <w:spacing w:after="120" w:before="0" w:line="360" w:lineRule="auto"/>
        <w:ind w:firstLine="567"/>
        <w:jc w:val="both"/>
      </w:pPr>
      <w:r>
        <w:rPr>
          <w:rFonts w:ascii="Times New Roman" w:cs="Times New Roman" w:eastAsia="Times New Roman" w:hAnsi="Times New Roman"/>
          <w:sz w:val="24"/>
          <w:szCs w:val="24"/>
        </w:rPr>
        <w:t xml:space="preserve">Загвоздка в том, что при сдвиге распределения эти вероятностные оценки перестают быть калиброванными [2]: то, что модель заявляет как свою уверенность, начинает расходиться с реальной частотой правильных ответов. А значит, пороговое правило, настроенное на обучающей выборке, на смещённых данных уже не даёт тех гарантий, ради которых оно вводилось.</w:t>
      </w:r>
    </w:p>
    <w:p>
      <w:pPr>
        <w:spacing w:after="120" w:before="0" w:line="360" w:lineRule="auto"/>
        <w:ind w:firstLine="567"/>
        <w:jc w:val="both"/>
      </w:pPr>
      <w:r>
        <w:rPr>
          <w:rFonts w:ascii="Times New Roman" w:cs="Times New Roman" w:eastAsia="Times New Roman" w:hAnsi="Times New Roman"/>
          <w:sz w:val="24"/>
          <w:szCs w:val="24"/>
        </w:rPr>
        <w:t xml:space="preserve">Насколько велика эта проблема на практике, хорошо видно из работы Gardner с соавторами [3] — они собрали бенчмарк из 15 задач классификации на табличных данных с реальными, не искусственно созданными сдвигами. Средняя просадка AUC-ROC при переходе от внутреннего распределения к внешнему составила 6–15 процентных пунктов, а ожидаемая калибровочная ошибка (ECE) выросла в 2–4 раза. Иными словами, деградация надёжности — не редкое исключение, а системная закономерность.</w:t>
      </w:r>
    </w:p>
    <w:p>
      <w:pPr>
        <w:pStyle w:val="Heading1"/>
        <w:spacing w:after="120" w:before="360"/>
        <w:jc w:val="center"/>
      </w:pPr>
      <w:r>
        <w:t xml:space="preserve">3. МЕТОДЫ ОЦЕНКИ НЕОПРЕДЕЛЁННОСТИ И ИХ ОГРАНИЧЕНИЯ ПРИ СДВИГЕ РАСПРЕДЕЛЕНИЯ</w:t>
      </w:r>
    </w:p>
    <w:p>
      <w:pPr>
        <w:pStyle w:val="Heading2"/>
        <w:spacing w:after="80" w:before="240"/>
      </w:pPr>
      <w:r>
        <w:t xml:space="preserve">3.1. Калибровка вероятностей</w:t>
      </w:r>
    </w:p>
    <w:p>
      <w:pPr>
        <w:spacing w:after="120" w:before="0" w:line="360" w:lineRule="auto"/>
        <w:ind w:firstLine="567"/>
        <w:jc w:val="both"/>
      </w:pPr>
      <w:r>
        <w:rPr>
          <w:rFonts w:ascii="Times New Roman" w:cs="Times New Roman" w:eastAsia="Times New Roman" w:hAnsi="Times New Roman"/>
          <w:sz w:val="24"/>
          <w:szCs w:val="24"/>
        </w:rPr>
        <w:t xml:space="preserve">Калибровка — это постобработка, цель которой привести вероятностные оценки модели в соответствие с реальными частотами. Среди распространённых техник — масштабирование Платта, изотоническая регрессия и температурное масштабирование [4].</w:t>
      </w:r>
    </w:p>
    <w:p>
      <w:pPr>
        <w:spacing w:after="120" w:before="0" w:line="360" w:lineRule="auto"/>
        <w:ind w:firstLine="567"/>
        <w:jc w:val="both"/>
      </w:pPr>
      <w:r>
        <w:rPr>
          <w:rFonts w:ascii="Times New Roman" w:cs="Times New Roman" w:eastAsia="Times New Roman" w:hAnsi="Times New Roman"/>
          <w:sz w:val="24"/>
          <w:szCs w:val="24"/>
        </w:rPr>
        <w:t xml:space="preserve">Слабое место здесь одно, но существенное: все эти процедуры откалиброваны в предположении, что калибровочная и тестовая выборки взяты из одного распределения. При сдвиге это предположение перестаёт выполняться, и модель, откалиброванная на обучающих данных, теряет свою калибровку именно тогда, когда она нужнее всего. Alexandari с коллегами [5] предложили методы адаптивной калибровки конкретно для сдвига меток, но для произвольного типа сдвига универсального решения пока нет.</w:t>
      </w:r>
    </w:p>
    <w:p>
      <w:pPr>
        <w:pStyle w:val="Heading2"/>
        <w:spacing w:after="80" w:before="240"/>
      </w:pPr>
      <w:r>
        <w:t xml:space="preserve">3.2. Конформное предсказание</w:t>
      </w:r>
    </w:p>
    <w:p>
      <w:pPr>
        <w:spacing w:after="120" w:before="0" w:line="360" w:lineRule="auto"/>
        <w:ind w:firstLine="567"/>
        <w:jc w:val="both"/>
      </w:pPr>
      <w:r>
        <w:rPr>
          <w:rFonts w:ascii="Times New Roman" w:cs="Times New Roman" w:eastAsia="Times New Roman" w:hAnsi="Times New Roman"/>
          <w:sz w:val="24"/>
          <w:szCs w:val="24"/>
        </w:rPr>
        <w:t xml:space="preserve">Конформное предсказание (conformal prediction, CP) устроено иначе: вместо точечного прогноза оно строит множество допустимых ответов C(x) с гарантией покрытия P(Y ∈ C(x)) ≥ 1 − α, причём без каких-либо предположений о форме распределения [6]. Чем шире это множество, тем выше неопределённость — сама структура метода делает степень сомнения видимой.</w:t>
      </w:r>
    </w:p>
    <w:p>
      <w:pPr>
        <w:spacing w:after="120" w:before="0" w:line="360" w:lineRule="auto"/>
        <w:ind w:firstLine="567"/>
        <w:jc w:val="both"/>
      </w:pPr>
      <w:r>
        <w:rPr>
          <w:rFonts w:ascii="Times New Roman" w:cs="Times New Roman" w:eastAsia="Times New Roman" w:hAnsi="Times New Roman"/>
          <w:sz w:val="24"/>
          <w:szCs w:val="24"/>
        </w:rPr>
        <w:t xml:space="preserve">Правда, у CP есть своё базовое допущение — обменяемость (exchangeability) данных, практически равносильная условию i.i.d. При сдвиге распределения оно нарушается. За последние годы, впрочем, появилось несколько расширений метода на нестационарные условия:</w:t>
      </w:r>
    </w:p>
    <w:p>
      <w:pPr>
        <w:spacing w:after="80" w:before="0" w:line="340" w:lineRule="auto"/>
        <w:ind w:left="567" w:hanging="340"/>
        <w:jc w:val="both"/>
      </w:pPr>
      <w:r>
        <w:rPr>
          <w:rFonts w:ascii="Times New Roman" w:cs="Times New Roman" w:eastAsia="Times New Roman" w:hAnsi="Times New Roman"/>
          <w:sz w:val="24"/>
          <w:szCs w:val="24"/>
        </w:rPr>
        <w:t xml:space="preserve">– Tibshirani с соавторами [7] предложили взвешенный вариант CP (Weighted CP), где компенсация ковариатного сдвига достигается за счёт взвешивания важности наблюдений;</w:t>
      </w:r>
    </w:p>
    <w:p>
      <w:pPr>
        <w:spacing w:after="80" w:before="0" w:line="340" w:lineRule="auto"/>
        <w:ind w:left="567" w:hanging="340"/>
        <w:jc w:val="both"/>
      </w:pPr>
      <w:r>
        <w:rPr>
          <w:rFonts w:ascii="Times New Roman" w:cs="Times New Roman" w:eastAsia="Times New Roman" w:hAnsi="Times New Roman"/>
          <w:sz w:val="24"/>
          <w:szCs w:val="24"/>
        </w:rPr>
        <w:t xml:space="preserve">– Gibbs и Candès [8] разработали адаптивный онлайн-алгоритм, который постепенно подстраивает порог покрытия по мере накопления данных о временном дрейфе;</w:t>
      </w:r>
    </w:p>
    <w:p>
      <w:pPr>
        <w:spacing w:after="80" w:before="0" w:line="340" w:lineRule="auto"/>
        <w:ind w:left="567" w:hanging="340"/>
        <w:jc w:val="both"/>
      </w:pPr>
      <w:r>
        <w:rPr>
          <w:rFonts w:ascii="Times New Roman" w:cs="Times New Roman" w:eastAsia="Times New Roman" w:hAnsi="Times New Roman"/>
          <w:sz w:val="24"/>
          <w:szCs w:val="24"/>
        </w:rPr>
        <w:t xml:space="preserve">– Barber с коллегами [9] пошли дальше теоретически и показали, как можно частично сохранить гарантии покрытия, вообще отказавшись от предположения об обменяемости.</w:t>
      </w:r>
    </w:p>
    <w:p>
      <w:pPr>
        <w:spacing w:after="120" w:before="0" w:line="360" w:lineRule="auto"/>
        <w:ind w:firstLine="567"/>
        <w:jc w:val="both"/>
      </w:pPr>
      <w:r>
        <w:rPr>
          <w:rFonts w:ascii="Times New Roman" w:cs="Times New Roman" w:eastAsia="Times New Roman" w:hAnsi="Times New Roman"/>
          <w:sz w:val="24"/>
          <w:szCs w:val="24"/>
        </w:rPr>
        <w:t xml:space="preserve">Получается, что конформное предсказание в принципе способно расширяться под условия сдвига, но каждое из существующих расширений требует либо знания конкретного типа сдвига, либо доступа хотя бы к небольшому объёму размеченных данных из целевого распределения — а именно этого на практике чаще всего и не хватает.</w:t>
      </w:r>
    </w:p>
    <w:p>
      <w:pPr>
        <w:pStyle w:val="Heading2"/>
        <w:spacing w:after="80" w:before="240"/>
      </w:pPr>
      <w:r>
        <w:t xml:space="preserve">3.3. Сравнительный анализ методов</w:t>
      </w:r>
    </w:p>
    <w:p>
      <w:pPr>
        <w:spacing w:after="60" w:before="120"/>
        <w:jc w:val="center"/>
      </w:pPr>
      <w:r>
        <w:rPr>
          <w:rFonts w:ascii="Times New Roman" w:cs="Times New Roman" w:eastAsia="Times New Roman" w:hAnsi="Times New Roman"/>
          <w:b/>
          <w:bCs/>
          <w:sz w:val="22"/>
          <w:szCs w:val="22"/>
        </w:rPr>
        <w:t xml:space="preserve">Таблица 1. Сравнение методов оценки неопределённости при сдвиге распределения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760"/>
      </w:tblGrid>
      <w:tr>
        <w:trPr>
          <w:tblHeader/>
        </w:trPr>
        <w:tc>
          <w:tcPr>
            <w:tcW w:type="dxa" w:w="2200"/>
            <w:shd w:fill="DAEEF3" w:val="clear"/>
          </w:tcPr>
          <w:p>
            <w:pPr>
              <w:jc w:val="center"/>
            </w:pPr>
            <w:r>
              <w:rPr>
                <w:rFonts w:ascii="Times New Roman" w:cs="Times New Roman" w:eastAsia="Times New Roman" w:hAnsi="Times New Roman"/>
                <w:b/>
                <w:bCs/>
                <w:sz w:val="20"/>
                <w:szCs w:val="20"/>
              </w:rPr>
              <w:t xml:space="preserve">Метод</w:t>
            </w:r>
          </w:p>
        </w:tc>
        <w:tc>
          <w:tcPr>
            <w:tcW w:type="dxa" w:w="1800"/>
            <w:shd w:fill="DAEEF3" w:val="clear"/>
          </w:tcPr>
          <w:p>
            <w:pPr>
              <w:jc w:val="center"/>
            </w:pPr>
            <w:r>
              <w:rPr>
                <w:rFonts w:ascii="Times New Roman" w:cs="Times New Roman" w:eastAsia="Times New Roman" w:hAnsi="Times New Roman"/>
                <w:b/>
                <w:bCs/>
                <w:sz w:val="20"/>
                <w:szCs w:val="20"/>
              </w:rPr>
              <w:t xml:space="preserve">Гарантии покрытия</w:t>
            </w:r>
          </w:p>
        </w:tc>
        <w:tc>
          <w:tcPr>
            <w:tcW w:type="dxa" w:w="1800"/>
            <w:shd w:fill="DAEEF3" w:val="clear"/>
          </w:tcPr>
          <w:p>
            <w:pPr>
              <w:jc w:val="center"/>
            </w:pPr>
            <w:r>
              <w:rPr>
                <w:rFonts w:ascii="Times New Roman" w:cs="Times New Roman" w:eastAsia="Times New Roman" w:hAnsi="Times New Roman"/>
                <w:b/>
                <w:bCs/>
                <w:sz w:val="20"/>
                <w:szCs w:val="20"/>
              </w:rPr>
              <w:t xml:space="preserve">Работоспособность при сдвиге</w:t>
            </w:r>
          </w:p>
        </w:tc>
        <w:tc>
          <w:tcPr>
            <w:tcW w:type="dxa" w:w="1800"/>
            <w:shd w:fill="DAEEF3" w:val="clear"/>
          </w:tcPr>
          <w:p>
            <w:pPr>
              <w:jc w:val="center"/>
            </w:pPr>
            <w:r>
              <w:rPr>
                <w:rFonts w:ascii="Times New Roman" w:cs="Times New Roman" w:eastAsia="Times New Roman" w:hAnsi="Times New Roman"/>
                <w:b/>
                <w:bCs/>
                <w:sz w:val="20"/>
                <w:szCs w:val="20"/>
              </w:rPr>
              <w:t xml:space="preserve">Требуются метки на тесте</w:t>
            </w:r>
          </w:p>
        </w:tc>
        <w:tc>
          <w:tcPr>
            <w:tcW w:type="dxa" w:w="1760"/>
            <w:shd w:fill="DAEEF3" w:val="clear"/>
          </w:tcPr>
          <w:p>
            <w:pPr>
              <w:jc w:val="center"/>
            </w:pPr>
            <w:r>
              <w:rPr>
                <w:rFonts w:ascii="Times New Roman" w:cs="Times New Roman" w:eastAsia="Times New Roman" w:hAnsi="Times New Roman"/>
                <w:b/>
                <w:bCs/>
                <w:sz w:val="20"/>
                <w:szCs w:val="20"/>
              </w:rPr>
              <w:t xml:space="preserve">Применимость к DSS</w:t>
            </w:r>
          </w:p>
        </w:tc>
      </w:tr>
      <w:tr>
        <w:tc>
          <w:tcPr>
            <w:tcW w:type="dxa" w:w="2200"/>
          </w:tcPr>
          <w:p>
            <w:pPr>
              <w:jc w:val="center"/>
            </w:pPr>
            <w:r>
              <w:rPr>
                <w:rFonts w:ascii="Times New Roman" w:cs="Times New Roman" w:eastAsia="Times New Roman" w:hAnsi="Times New Roman"/>
                <w:b w:val="false"/>
                <w:bCs w:val="false"/>
                <w:sz w:val="20"/>
                <w:szCs w:val="20"/>
              </w:rPr>
              <w:t xml:space="preserve">Temperature Scaling</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800"/>
          </w:tcPr>
          <w:p>
            <w:pPr>
              <w:jc w:val="center"/>
            </w:pPr>
            <w:r>
              <w:rPr>
                <w:rFonts w:ascii="Times New Roman" w:cs="Times New Roman" w:eastAsia="Times New Roman" w:hAnsi="Times New Roman"/>
                <w:b w:val="false"/>
                <w:bCs w:val="false"/>
                <w:sz w:val="20"/>
                <w:szCs w:val="20"/>
              </w:rPr>
              <w:t xml:space="preserve">Ограниченная</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760"/>
          </w:tcPr>
          <w:p>
            <w:pPr>
              <w:jc w:val="center"/>
            </w:pPr>
            <w:r>
              <w:rPr>
                <w:rFonts w:ascii="Times New Roman" w:cs="Times New Roman" w:eastAsia="Times New Roman" w:hAnsi="Times New Roman"/>
                <w:b w:val="false"/>
                <w:bCs w:val="false"/>
                <w:sz w:val="20"/>
                <w:szCs w:val="20"/>
              </w:rPr>
              <w:t xml:space="preserve">Частичная</w:t>
            </w:r>
          </w:p>
        </w:tc>
      </w:tr>
      <w:tr>
        <w:tc>
          <w:tcPr>
            <w:tcW w:type="dxa" w:w="2200"/>
          </w:tcPr>
          <w:p>
            <w:pPr>
              <w:jc w:val="center"/>
            </w:pPr>
            <w:r>
              <w:rPr>
                <w:rFonts w:ascii="Times New Roman" w:cs="Times New Roman" w:eastAsia="Times New Roman" w:hAnsi="Times New Roman"/>
                <w:b w:val="false"/>
                <w:bCs w:val="false"/>
                <w:sz w:val="20"/>
                <w:szCs w:val="20"/>
              </w:rPr>
              <w:t xml:space="preserve">Стандартный CP</w:t>
            </w:r>
          </w:p>
        </w:tc>
        <w:tc>
          <w:tcPr>
            <w:tcW w:type="dxa" w:w="1800"/>
          </w:tcPr>
          <w:p>
            <w:pPr>
              <w:jc w:val="center"/>
            </w:pPr>
            <w:r>
              <w:rPr>
                <w:rFonts w:ascii="Times New Roman" w:cs="Times New Roman" w:eastAsia="Times New Roman" w:hAnsi="Times New Roman"/>
                <w:b w:val="false"/>
                <w:bCs w:val="false"/>
                <w:sz w:val="20"/>
                <w:szCs w:val="20"/>
              </w:rPr>
              <w:t xml:space="preserve">Да (i.i.d.)</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760"/>
          </w:tcPr>
          <w:p>
            <w:pPr>
              <w:jc w:val="center"/>
            </w:pPr>
            <w:r>
              <w:rPr>
                <w:rFonts w:ascii="Times New Roman" w:cs="Times New Roman" w:eastAsia="Times New Roman" w:hAnsi="Times New Roman"/>
                <w:b w:val="false"/>
                <w:bCs w:val="false"/>
                <w:sz w:val="20"/>
                <w:szCs w:val="20"/>
              </w:rPr>
              <w:t xml:space="preserve">Частичная</w:t>
            </w:r>
          </w:p>
        </w:tc>
      </w:tr>
      <w:tr>
        <w:tc>
          <w:tcPr>
            <w:tcW w:type="dxa" w:w="2200"/>
          </w:tcPr>
          <w:p>
            <w:pPr>
              <w:jc w:val="center"/>
            </w:pPr>
            <w:r>
              <w:rPr>
                <w:rFonts w:ascii="Times New Roman" w:cs="Times New Roman" w:eastAsia="Times New Roman" w:hAnsi="Times New Roman"/>
                <w:b w:val="false"/>
                <w:bCs w:val="false"/>
                <w:sz w:val="20"/>
                <w:szCs w:val="20"/>
              </w:rPr>
              <w:t xml:space="preserve">Weighted CP [7]</w:t>
            </w:r>
          </w:p>
        </w:tc>
        <w:tc>
          <w:tcPr>
            <w:tcW w:type="dxa" w:w="1800"/>
          </w:tcPr>
          <w:p>
            <w:pPr>
              <w:jc w:val="center"/>
            </w:pPr>
            <w:r>
              <w:rPr>
                <w:rFonts w:ascii="Times New Roman" w:cs="Times New Roman" w:eastAsia="Times New Roman" w:hAnsi="Times New Roman"/>
                <w:b w:val="false"/>
                <w:bCs w:val="false"/>
                <w:sz w:val="20"/>
                <w:szCs w:val="20"/>
              </w:rPr>
              <w:t xml:space="preserve">Частичная</w:t>
            </w:r>
          </w:p>
        </w:tc>
        <w:tc>
          <w:tcPr>
            <w:tcW w:type="dxa" w:w="1800"/>
          </w:tcPr>
          <w:p>
            <w:pPr>
              <w:jc w:val="center"/>
            </w:pPr>
            <w:r>
              <w:rPr>
                <w:rFonts w:ascii="Times New Roman" w:cs="Times New Roman" w:eastAsia="Times New Roman" w:hAnsi="Times New Roman"/>
                <w:b w:val="false"/>
                <w:bCs w:val="false"/>
                <w:sz w:val="20"/>
                <w:szCs w:val="20"/>
              </w:rPr>
              <w:t xml:space="preserve">Да (ков. сдвиг)</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760"/>
          </w:tcPr>
          <w:p>
            <w:pPr>
              <w:jc w:val="center"/>
            </w:pPr>
            <w:r>
              <w:rPr>
                <w:rFonts w:ascii="Times New Roman" w:cs="Times New Roman" w:eastAsia="Times New Roman" w:hAnsi="Times New Roman"/>
                <w:b w:val="false"/>
                <w:bCs w:val="false"/>
                <w:sz w:val="20"/>
                <w:szCs w:val="20"/>
              </w:rPr>
              <w:t xml:space="preserve">Высокая</w:t>
            </w:r>
          </w:p>
        </w:tc>
      </w:tr>
      <w:tr>
        <w:tc>
          <w:tcPr>
            <w:tcW w:type="dxa" w:w="2200"/>
          </w:tcPr>
          <w:p>
            <w:pPr>
              <w:jc w:val="center"/>
            </w:pPr>
            <w:r>
              <w:rPr>
                <w:rFonts w:ascii="Times New Roman" w:cs="Times New Roman" w:eastAsia="Times New Roman" w:hAnsi="Times New Roman"/>
                <w:b w:val="false"/>
                <w:bCs w:val="false"/>
                <w:sz w:val="20"/>
                <w:szCs w:val="20"/>
              </w:rPr>
              <w:t xml:space="preserve">Adaptive CP [8]</w:t>
            </w:r>
          </w:p>
        </w:tc>
        <w:tc>
          <w:tcPr>
            <w:tcW w:type="dxa" w:w="1800"/>
          </w:tcPr>
          <w:p>
            <w:pPr>
              <w:jc w:val="center"/>
            </w:pPr>
            <w:r>
              <w:rPr>
                <w:rFonts w:ascii="Times New Roman" w:cs="Times New Roman" w:eastAsia="Times New Roman" w:hAnsi="Times New Roman"/>
                <w:b w:val="false"/>
                <w:bCs w:val="false"/>
                <w:sz w:val="20"/>
                <w:szCs w:val="20"/>
              </w:rPr>
              <w:t xml:space="preserve">Частичная</w:t>
            </w:r>
          </w:p>
        </w:tc>
        <w:tc>
          <w:tcPr>
            <w:tcW w:type="dxa" w:w="1800"/>
          </w:tcPr>
          <w:p>
            <w:pPr>
              <w:jc w:val="center"/>
            </w:pPr>
            <w:r>
              <w:rPr>
                <w:rFonts w:ascii="Times New Roman" w:cs="Times New Roman" w:eastAsia="Times New Roman" w:hAnsi="Times New Roman"/>
                <w:b w:val="false"/>
                <w:bCs w:val="false"/>
                <w:sz w:val="20"/>
                <w:szCs w:val="20"/>
              </w:rPr>
              <w:t xml:space="preserve">Да (темп. дрейф)</w:t>
            </w:r>
          </w:p>
        </w:tc>
        <w:tc>
          <w:tcPr>
            <w:tcW w:type="dxa" w:w="1800"/>
          </w:tcPr>
          <w:p>
            <w:pPr>
              <w:jc w:val="center"/>
            </w:pPr>
            <w:r>
              <w:rPr>
                <w:rFonts w:ascii="Times New Roman" w:cs="Times New Roman" w:eastAsia="Times New Roman" w:hAnsi="Times New Roman"/>
                <w:b w:val="false"/>
                <w:bCs w:val="false"/>
                <w:sz w:val="20"/>
                <w:szCs w:val="20"/>
              </w:rPr>
              <w:t xml:space="preserve">Нет</w:t>
            </w:r>
          </w:p>
        </w:tc>
        <w:tc>
          <w:tcPr>
            <w:tcW w:type="dxa" w:w="1760"/>
          </w:tcPr>
          <w:p>
            <w:pPr>
              <w:jc w:val="center"/>
            </w:pPr>
            <w:r>
              <w:rPr>
                <w:rFonts w:ascii="Times New Roman" w:cs="Times New Roman" w:eastAsia="Times New Roman" w:hAnsi="Times New Roman"/>
                <w:b w:val="false"/>
                <w:bCs w:val="false"/>
                <w:sz w:val="20"/>
                <w:szCs w:val="20"/>
              </w:rPr>
              <w:t xml:space="preserve">Высокая</w:t>
            </w:r>
          </w:p>
        </w:tc>
      </w:tr>
      <w:tr>
        <w:tc>
          <w:tcPr>
            <w:tcW w:type="dxa" w:w="2200"/>
            <w:shd w:fill="EBF5EB" w:val="clear"/>
          </w:tcPr>
          <w:p>
            <w:pPr>
              <w:jc w:val="center"/>
            </w:pPr>
            <w:r>
              <w:rPr>
                <w:rFonts w:ascii="Times New Roman" w:cs="Times New Roman" w:eastAsia="Times New Roman" w:hAnsi="Times New Roman"/>
                <w:b/>
                <w:bCs/>
                <w:sz w:val="20"/>
                <w:szCs w:val="20"/>
              </w:rPr>
              <w:t xml:space="preserve">Предлагаемый подход</w:t>
            </w:r>
          </w:p>
        </w:tc>
        <w:tc>
          <w:tcPr>
            <w:tcW w:type="dxa" w:w="1800"/>
            <w:shd w:fill="EBF5EB" w:val="clear"/>
          </w:tcPr>
          <w:p>
            <w:pPr>
              <w:jc w:val="center"/>
            </w:pPr>
            <w:r>
              <w:rPr>
                <w:rFonts w:ascii="Times New Roman" w:cs="Times New Roman" w:eastAsia="Times New Roman" w:hAnsi="Times New Roman"/>
                <w:b/>
                <w:bCs/>
                <w:sz w:val="20"/>
                <w:szCs w:val="20"/>
              </w:rPr>
              <w:t xml:space="preserve">Да</w:t>
            </w:r>
          </w:p>
        </w:tc>
        <w:tc>
          <w:tcPr>
            <w:tcW w:type="dxa" w:w="1800"/>
            <w:shd w:fill="EBF5EB" w:val="clear"/>
          </w:tcPr>
          <w:p>
            <w:pPr>
              <w:jc w:val="center"/>
            </w:pPr>
            <w:r>
              <w:rPr>
                <w:rFonts w:ascii="Times New Roman" w:cs="Times New Roman" w:eastAsia="Times New Roman" w:hAnsi="Times New Roman"/>
                <w:b/>
                <w:bCs/>
                <w:sz w:val="20"/>
                <w:szCs w:val="20"/>
              </w:rPr>
              <w:t xml:space="preserve">Да (любой тип)</w:t>
            </w:r>
          </w:p>
        </w:tc>
        <w:tc>
          <w:tcPr>
            <w:tcW w:type="dxa" w:w="1800"/>
            <w:shd w:fill="EBF5EB" w:val="clear"/>
          </w:tcPr>
          <w:p>
            <w:pPr>
              <w:jc w:val="center"/>
            </w:pPr>
            <w:r>
              <w:rPr>
                <w:rFonts w:ascii="Times New Roman" w:cs="Times New Roman" w:eastAsia="Times New Roman" w:hAnsi="Times New Roman"/>
                <w:b/>
                <w:bCs/>
                <w:sz w:val="20"/>
                <w:szCs w:val="20"/>
              </w:rPr>
              <w:t xml:space="preserve">Нет</w:t>
            </w:r>
          </w:p>
        </w:tc>
        <w:tc>
          <w:tcPr>
            <w:tcW w:type="dxa" w:w="1760"/>
            <w:shd w:fill="EBF5EB" w:val="clear"/>
          </w:tcPr>
          <w:p>
            <w:pPr>
              <w:jc w:val="center"/>
            </w:pPr>
            <w:r>
              <w:rPr>
                <w:rFonts w:ascii="Times New Roman" w:cs="Times New Roman" w:eastAsia="Times New Roman" w:hAnsi="Times New Roman"/>
                <w:b/>
                <w:bCs/>
                <w:sz w:val="20"/>
                <w:szCs w:val="20"/>
              </w:rPr>
              <w:t xml:space="preserve">Высокая</w:t>
            </w:r>
          </w:p>
        </w:tc>
      </w:tr>
    </w:tbl>
    <w:p>
      <w:pPr>
        <w:spacing w:after="0" w:before="0"/>
      </w:pPr>
      <w:r>
        <w:rPr>
          <w:rFonts w:ascii="Times New Roman" w:cs="Times New Roman" w:eastAsia="Times New Roman" w:hAnsi="Times New Roman"/>
          <w:sz w:val="24"/>
          <w:szCs w:val="24"/>
        </w:rPr>
        <w:t xml:space="preserve"/>
      </w:r>
    </w:p>
    <w:p>
      <w:pPr>
        <w:pStyle w:val="Heading1"/>
        <w:spacing w:after="120" w:before="360"/>
        <w:jc w:val="center"/>
      </w:pPr>
      <w:r>
        <w:t xml:space="preserve">4. КОНЦЕПТУАЛЬНАЯ СХЕМА ПРЕДЛАГАЕМОГО ПОДХОДА</w:t>
      </w:r>
    </w:p>
    <w:p>
      <w:pPr>
        <w:pStyle w:val="Heading2"/>
        <w:spacing w:after="80" w:before="240"/>
      </w:pPr>
      <w:r>
        <w:t xml:space="preserve">4.1. Общая архитектура</w:t>
      </w:r>
    </w:p>
    <w:p>
      <w:pPr>
        <w:spacing w:after="120" w:before="0" w:line="360" w:lineRule="auto"/>
        <w:ind w:firstLine="567"/>
        <w:jc w:val="both"/>
      </w:pPr>
      <w:r>
        <w:rPr>
          <w:rFonts w:ascii="Times New Roman" w:cs="Times New Roman" w:eastAsia="Times New Roman" w:hAnsi="Times New Roman"/>
          <w:sz w:val="24"/>
          <w:szCs w:val="24"/>
        </w:rPr>
        <w:t xml:space="preserve">Схема, которую мы предлагаем, строится на трёх компонентах, работающих совместно:</w:t>
      </w:r>
    </w:p>
    <w:p>
      <w:pPr>
        <w:spacing w:after="80" w:before="0" w:line="340" w:lineRule="auto"/>
        <w:ind w:left="567" w:hanging="340"/>
        <w:jc w:val="both"/>
      </w:pPr>
      <w:r>
        <w:rPr>
          <w:rFonts w:ascii="Times New Roman" w:cs="Times New Roman" w:eastAsia="Times New Roman" w:hAnsi="Times New Roman"/>
          <w:sz w:val="24"/>
          <w:szCs w:val="24"/>
        </w:rPr>
        <w:t xml:space="preserve">– оценка вероятной деградации точности модели по косвенным признакам сдвига, без обращения к истинным меткам;</w:t>
      </w:r>
    </w:p>
    <w:p>
      <w:pPr>
        <w:spacing w:after="80" w:before="0" w:line="340" w:lineRule="auto"/>
        <w:ind w:left="567" w:hanging="340"/>
        <w:jc w:val="both"/>
      </w:pPr>
      <w:r>
        <w:rPr>
          <w:rFonts w:ascii="Times New Roman" w:cs="Times New Roman" w:eastAsia="Times New Roman" w:hAnsi="Times New Roman"/>
          <w:sz w:val="24"/>
          <w:szCs w:val="24"/>
        </w:rPr>
        <w:t xml:space="preserve">– адаптивная калибровка неопределённости — корректировка вероятностных оценок с учётом оценённой величины сдвига через взвешенное конформное предсказание;</w:t>
      </w:r>
    </w:p>
    <w:p>
      <w:pPr>
        <w:spacing w:after="80" w:before="0" w:line="340" w:lineRule="auto"/>
        <w:ind w:left="567" w:hanging="340"/>
        <w:jc w:val="both"/>
      </w:pPr>
      <w:r>
        <w:rPr>
          <w:rFonts w:ascii="Times New Roman" w:cs="Times New Roman" w:eastAsia="Times New Roman" w:hAnsi="Times New Roman"/>
          <w:sz w:val="24"/>
          <w:szCs w:val="24"/>
        </w:rPr>
        <w:t xml:space="preserve">– адаптивная политика принятия решений: выбор между действием, отказом от прогноза и передачей случая эксперту в зависимости от скорректированной оценки неопределённости и структуры затрат на ошибки.</w:t>
      </w:r>
    </w:p>
    <w:p>
      <w:pPr>
        <w:spacing w:after="120" w:before="0" w:line="360" w:lineRule="auto"/>
        <w:ind w:firstLine="567"/>
        <w:jc w:val="both"/>
      </w:pPr>
      <w:r>
        <w:rPr>
          <w:rFonts w:ascii="Times New Roman" w:cs="Times New Roman" w:eastAsia="Times New Roman" w:hAnsi="Times New Roman"/>
          <w:sz w:val="24"/>
          <w:szCs w:val="24"/>
        </w:rPr>
        <w:t xml:space="preserve">Главное отличие такого подхода от существующих методов не в отдельных компонентах — они, по большей части, известны, — а в том, что все три оптимизируются совместно и ориентированы на итоговое качество решений, а не на точность прогноза саму по себе.</w:t>
      </w:r>
    </w:p>
    <w:p>
      <w:pPr>
        <w:pStyle w:val="Heading2"/>
        <w:spacing w:after="80" w:before="240"/>
      </w:pPr>
      <w:r>
        <w:t xml:space="preserve">4.2. Гипотезы исследования</w:t>
      </w:r>
    </w:p>
    <w:p>
      <w:pPr>
        <w:spacing w:after="120" w:before="0" w:line="360" w:lineRule="auto"/>
        <w:ind w:firstLine="567"/>
        <w:jc w:val="both"/>
      </w:pPr>
      <w:r>
        <w:rPr>
          <w:rFonts w:ascii="Times New Roman" w:cs="Times New Roman" w:eastAsia="Times New Roman" w:hAnsi="Times New Roman"/>
          <w:sz w:val="24"/>
          <w:szCs w:val="24"/>
        </w:rPr>
        <w:t xml:space="preserve">Из анализа литературы и постановки задачи вытекают три гипотезы, которые предполагается проверить в дальнейшей работе.</w:t>
      </w:r>
    </w:p>
    <w:p>
      <w:pPr>
        <w:spacing w:after="120" w:before="0" w:line="360" w:lineRule="auto"/>
        <w:ind w:firstLine="567"/>
        <w:jc w:val="both"/>
      </w:pPr>
      <w:r>
        <w:rPr>
          <w:rFonts w:ascii="Times New Roman" w:cs="Times New Roman" w:eastAsia="Times New Roman" w:hAnsi="Times New Roman"/>
          <w:b/>
          <w:bCs/>
          <w:sz w:val="24"/>
          <w:szCs w:val="24"/>
        </w:rPr>
        <w:t xml:space="preserve">H1. О расхождении метрик.</w:t>
      </w:r>
    </w:p>
    <w:p>
      <w:pPr>
        <w:spacing w:after="120" w:before="0" w:line="360" w:lineRule="auto"/>
        <w:ind w:firstLine="567"/>
        <w:jc w:val="both"/>
      </w:pPr>
      <w:r>
        <w:rPr>
          <w:rFonts w:ascii="Times New Roman" w:cs="Times New Roman" w:eastAsia="Times New Roman" w:hAnsi="Times New Roman"/>
          <w:sz w:val="24"/>
          <w:szCs w:val="24"/>
        </w:rPr>
        <w:t xml:space="preserve">Деградация точности прогнозирования и деградация качества принимаемых решений — не одно и то же. Возможны ситуации, когда падение точности заметно превышает падение качества решений, и обратные случаи; характер этого расхождения, судя по всему, зависит от типа сдвига и от того, насколько асимметрична стоимость ошибок.</w:t>
      </w:r>
    </w:p>
    <w:p>
      <w:pPr>
        <w:spacing w:after="120" w:before="0" w:line="360" w:lineRule="auto"/>
        <w:ind w:firstLine="567"/>
        <w:jc w:val="both"/>
      </w:pPr>
      <w:r>
        <w:rPr>
          <w:rFonts w:ascii="Times New Roman" w:cs="Times New Roman" w:eastAsia="Times New Roman" w:hAnsi="Times New Roman"/>
          <w:b/>
          <w:bCs/>
          <w:sz w:val="24"/>
          <w:szCs w:val="24"/>
        </w:rPr>
        <w:t xml:space="preserve">H2. О сбое стандартных механизмов уверенности.</w:t>
      </w:r>
    </w:p>
    <w:p>
      <w:pPr>
        <w:spacing w:after="120" w:before="0" w:line="360" w:lineRule="auto"/>
        <w:ind w:firstLine="567"/>
        <w:jc w:val="both"/>
      </w:pPr>
      <w:r>
        <w:rPr>
          <w:rFonts w:ascii="Times New Roman" w:cs="Times New Roman" w:eastAsia="Times New Roman" w:hAnsi="Times New Roman"/>
          <w:sz w:val="24"/>
          <w:szCs w:val="24"/>
        </w:rPr>
        <w:t xml:space="preserve">Пороговые правила, опирающиеся на некалиброванную уверенность модели, при сдвиге распределения перестают защищать качество решений — просто потому, что сама уверенность оказывается разкалиброванной, а значит, растут и ожидаемые потери от принятых решений.</w:t>
      </w:r>
    </w:p>
    <w:p>
      <w:pPr>
        <w:spacing w:after="120" w:before="0" w:line="360" w:lineRule="auto"/>
        <w:ind w:firstLine="567"/>
        <w:jc w:val="both"/>
      </w:pPr>
      <w:r>
        <w:rPr>
          <w:rFonts w:ascii="Times New Roman" w:cs="Times New Roman" w:eastAsia="Times New Roman" w:hAnsi="Times New Roman"/>
          <w:b/>
          <w:bCs/>
          <w:sz w:val="24"/>
          <w:szCs w:val="24"/>
        </w:rPr>
        <w:t xml:space="preserve">H3. Об эффективности адаптивной политики.</w:t>
      </w:r>
    </w:p>
    <w:p>
      <w:pPr>
        <w:spacing w:after="120" w:before="0" w:line="360" w:lineRule="auto"/>
        <w:ind w:firstLine="567"/>
        <w:jc w:val="both"/>
      </w:pPr>
      <w:r>
        <w:rPr>
          <w:rFonts w:ascii="Times New Roman" w:cs="Times New Roman" w:eastAsia="Times New Roman" w:hAnsi="Times New Roman"/>
          <w:sz w:val="24"/>
          <w:szCs w:val="24"/>
        </w:rPr>
        <w:t xml:space="preserve">Если встроить оценку деградации производительности в адаптивную политику принятия решений — динамически подстраивая пороги уверенности, — ожидаемые потери от решений должны оказаться статистически значимо ниже, чем при использовании фиксированных порогов.</w:t>
      </w:r>
    </w:p>
    <w:p>
      <w:pPr>
        <w:pStyle w:val="Heading2"/>
        <w:spacing w:after="80" w:before="240"/>
      </w:pPr>
      <w:r>
        <w:t xml:space="preserve">4.3. Экспериментальная база</w:t>
      </w:r>
    </w:p>
    <w:p>
      <w:pPr>
        <w:spacing w:after="120" w:before="0" w:line="360" w:lineRule="auto"/>
        <w:ind w:firstLine="567"/>
        <w:jc w:val="both"/>
      </w:pPr>
      <w:r>
        <w:rPr>
          <w:rFonts w:ascii="Times New Roman" w:cs="Times New Roman" w:eastAsia="Times New Roman" w:hAnsi="Times New Roman"/>
          <w:sz w:val="24"/>
          <w:szCs w:val="24"/>
        </w:rPr>
        <w:t xml:space="preserve">Гипотезы предполагается проверять на бенчмарке TableShift [3] — наборе из 15 задач бинарной классификации на табличных данных с реальными сдвигами распределения в финансах, образовании, государственном управлении и здравоохранении. У этого бенчмарка есть готовые разбивки на внутреннее и внешнее распределение, что заметно упрощает воспроизводимую постановку экспериментов.</w:t>
      </w:r>
    </w:p>
    <w:p>
      <w:pPr>
        <w:spacing w:after="120" w:before="0" w:line="360" w:lineRule="auto"/>
        <w:ind w:firstLine="567"/>
        <w:jc w:val="both"/>
      </w:pPr>
      <w:r>
        <w:rPr>
          <w:rFonts w:ascii="Times New Roman" w:cs="Times New Roman" w:eastAsia="Times New Roman" w:hAnsi="Times New Roman"/>
          <w:sz w:val="24"/>
          <w:szCs w:val="24"/>
        </w:rPr>
        <w:t xml:space="preserve">В качестве базовых моделей разумно взять XGBoost и LightGBM — по результатам [3] именно они показывают устойчивую конкурентоспособность на табличных данных при сдвиге. Сравнение планируется проводить относительно пяти линий: модель без механизма отказа, отказ по уверенности, откалиброванный отказ (температурное масштабирование), адаптация через взвешивание важности, и оракул с доступом к истинным меткам как верхняя граница.</w:t>
      </w:r>
    </w:p>
    <w:p>
      <w:pPr>
        <w:pStyle w:val="Heading1"/>
        <w:spacing w:after="120" w:before="360"/>
        <w:jc w:val="center"/>
      </w:pPr>
      <w:r>
        <w:t xml:space="preserve">5. ОБСУЖДЕНИЕ И ОЖИДАЕМЫЕ РЕЗУЛЬТАТЫ</w:t>
      </w:r>
    </w:p>
    <w:p>
      <w:pPr>
        <w:spacing w:after="120" w:before="0" w:line="360" w:lineRule="auto"/>
        <w:ind w:firstLine="567"/>
        <w:jc w:val="both"/>
      </w:pPr>
      <w:r>
        <w:rPr>
          <w:rFonts w:ascii="Times New Roman" w:cs="Times New Roman" w:eastAsia="Times New Roman" w:hAnsi="Times New Roman"/>
          <w:sz w:val="24"/>
          <w:szCs w:val="24"/>
        </w:rPr>
        <w:t xml:space="preserve">От реализации предложенного подхода ожидается несколько результатов:</w:t>
      </w:r>
    </w:p>
    <w:p>
      <w:pPr>
        <w:spacing w:after="80" w:before="0" w:line="340" w:lineRule="auto"/>
        <w:ind w:left="567" w:hanging="340"/>
        <w:jc w:val="both"/>
      </w:pPr>
      <w:r>
        <w:rPr>
          <w:rFonts w:ascii="Times New Roman" w:cs="Times New Roman" w:eastAsia="Times New Roman" w:hAnsi="Times New Roman"/>
          <w:sz w:val="24"/>
          <w:szCs w:val="24"/>
        </w:rPr>
        <w:t xml:space="preserve">– эмпирическая проверка гипотезы о расхождении метрик (H1) — не менее чем на пяти доменах TableShift с разными типами сдвига;</w:t>
      </w:r>
    </w:p>
    <w:p>
      <w:pPr>
        <w:spacing w:after="80" w:before="0" w:line="340" w:lineRule="auto"/>
        <w:ind w:left="567" w:hanging="340"/>
        <w:jc w:val="both"/>
      </w:pPr>
      <w:r>
        <w:rPr>
          <w:rFonts w:ascii="Times New Roman" w:cs="Times New Roman" w:eastAsia="Times New Roman" w:hAnsi="Times New Roman"/>
          <w:sz w:val="24"/>
          <w:szCs w:val="24"/>
        </w:rPr>
        <w:t xml:space="preserve">– количественное описание условий, при которых стандартные механизмы уверенности перестают обеспечивать приемлемое качество решений (H2), в зависимости от интенсивности и типа сдвига;</w:t>
      </w:r>
    </w:p>
    <w:p>
      <w:pPr>
        <w:spacing w:after="80" w:before="0" w:line="340" w:lineRule="auto"/>
        <w:ind w:left="567" w:hanging="340"/>
        <w:jc w:val="both"/>
      </w:pPr>
      <w:r>
        <w:rPr>
          <w:rFonts w:ascii="Times New Roman" w:cs="Times New Roman" w:eastAsia="Times New Roman" w:hAnsi="Times New Roman"/>
          <w:sz w:val="24"/>
          <w:szCs w:val="24"/>
        </w:rPr>
        <w:t xml:space="preserve">– сама методология адаптивной политики принятия решений, проверенная сравнительно с базовыми линиями (H3), с использованием взвешенной функции потерь.</w:t>
      </w:r>
    </w:p>
    <w:p>
      <w:pPr>
        <w:spacing w:after="120" w:before="0" w:line="360" w:lineRule="auto"/>
        <w:ind w:firstLine="567"/>
        <w:jc w:val="both"/>
      </w:pPr>
      <w:r>
        <w:rPr>
          <w:rFonts w:ascii="Times New Roman" w:cs="Times New Roman" w:eastAsia="Times New Roman" w:hAnsi="Times New Roman"/>
          <w:sz w:val="24"/>
          <w:szCs w:val="24"/>
        </w:rPr>
        <w:t xml:space="preserve">Полученные результаты могут пригодиться при проектировании систем мониторинга качества ML-моделей в промышленной эксплуатации, а в перспективе — и при разработке отраслевых требований к надёжности систем искусственного интеллекта в критически важных областях.</w:t>
      </w:r>
    </w:p>
    <w:p>
      <w:pPr>
        <w:spacing w:after="120" w:before="0" w:line="360" w:lineRule="auto"/>
        <w:ind w:firstLine="567"/>
        <w:jc w:val="both"/>
      </w:pPr>
      <w:r>
        <w:rPr>
          <w:rFonts w:ascii="Times New Roman" w:cs="Times New Roman" w:eastAsia="Times New Roman" w:hAnsi="Times New Roman"/>
          <w:sz w:val="24"/>
          <w:szCs w:val="24"/>
        </w:rPr>
        <w:t xml:space="preserve">Стоит сразу оговорить и ограничения: качество оценки деградации напрямую зависит от того, насколько сдвиг вообще заметен по наблюдаемым признакам; анализ пока ограничен задачами бинарной классификации на табличных данных; вопрос вычислительных затрат предложенных процедур требует отдельного рассмотрения.</w:t>
      </w:r>
    </w:p>
    <w:p>
      <w:pPr>
        <w:pStyle w:val="Heading1"/>
        <w:spacing w:after="120" w:before="360"/>
        <w:jc w:val="center"/>
      </w:pPr>
      <w:r>
        <w:t xml:space="preserve">ЗАКЛЮЧЕНИЕ</w:t>
      </w:r>
    </w:p>
    <w:p>
      <w:pPr>
        <w:spacing w:after="120" w:before="0" w:line="360" w:lineRule="auto"/>
        <w:ind w:firstLine="567"/>
        <w:jc w:val="both"/>
      </w:pPr>
      <w:r>
        <w:rPr>
          <w:rFonts w:ascii="Times New Roman" w:cs="Times New Roman" w:eastAsia="Times New Roman" w:hAnsi="Times New Roman"/>
          <w:sz w:val="24"/>
          <w:szCs w:val="24"/>
        </w:rPr>
        <w:t xml:space="preserve">В статье обоснована проблема: стандартных методов оценки неопределённости оказывается недостаточно для систем интеллектуальной поддержки принятия решений, работающих в условиях сдвига распределения данных. Существующие подходы к калибровке вероятностей и конформному предсказанию либо не дают нужных гарантий при произвольном сдвиге, либо требуют размеченных данных из целевого распределения, которых на практике обычно нет.</w:t>
      </w:r>
    </w:p>
    <w:p>
      <w:pPr>
        <w:spacing w:after="120" w:before="0" w:line="360" w:lineRule="auto"/>
        <w:ind w:firstLine="567"/>
        <w:jc w:val="both"/>
      </w:pPr>
      <w:r>
        <w:rPr>
          <w:rFonts w:ascii="Times New Roman" w:cs="Times New Roman" w:eastAsia="Times New Roman" w:hAnsi="Times New Roman"/>
          <w:sz w:val="24"/>
          <w:szCs w:val="24"/>
        </w:rPr>
        <w:t xml:space="preserve">Предложена трёхкомпонентная схема, объединяющая оценку деградации производительности, адаптивную калибровку неопределённости и политику принятия решений. Сформулированы три проверяемые гипотезы, намечен протокол экспериментов на базе TableShift.</w:t>
      </w:r>
    </w:p>
    <w:p>
      <w:pPr>
        <w:spacing w:after="120" w:before="0" w:line="360" w:lineRule="auto"/>
        <w:ind w:firstLine="567"/>
        <w:jc w:val="both"/>
      </w:pPr>
      <w:r>
        <w:rPr>
          <w:rFonts w:ascii="Times New Roman" w:cs="Times New Roman" w:eastAsia="Times New Roman" w:hAnsi="Times New Roman"/>
          <w:sz w:val="24"/>
          <w:szCs w:val="24"/>
        </w:rPr>
        <w:t xml:space="preserve">Дальнейшая работа будет связана с разработкой конкретных алгоритмов, реализацией экспериментов и сопоставлением предложенного подхода с существующими методами-аналогами.</w:t>
      </w:r>
    </w:p>
    <w:p>
      <w:pPr>
        <w:spacing w:after="0" w:before="0"/>
      </w:pPr>
      <w:r>
        <w:rPr>
          <w:rFonts w:ascii="Times New Roman" w:cs="Times New Roman" w:eastAsia="Times New Roman" w:hAnsi="Times New Roman"/>
          <w:sz w:val="24"/>
          <w:szCs w:val="24"/>
        </w:rPr>
        <w:t xml:space="preserve"/>
      </w:r>
    </w:p>
    <w:p>
      <w:pPr>
        <w:pStyle w:val="Heading1"/>
        <w:spacing w:after="120" w:before="360"/>
        <w:jc w:val="center"/>
      </w:pPr>
      <w:r>
        <w:t xml:space="preserve">СПИСОК ЛИТЕРАТУРЫ</w:t>
      </w:r>
    </w:p>
    <w:p>
      <w:pPr>
        <w:spacing w:after="80" w:before="0"/>
        <w:ind w:left="360" w:hanging="360"/>
        <w:jc w:val="both"/>
      </w:pPr>
      <w:r>
        <w:rPr>
          <w:rFonts w:ascii="Times New Roman" w:cs="Times New Roman" w:eastAsia="Times New Roman" w:hAnsi="Times New Roman"/>
          <w:sz w:val="22"/>
          <w:szCs w:val="22"/>
        </w:rPr>
        <w:t xml:space="preserve">1. Сенонер Т. и др. Система интеллектуальной поддержки принятия решений с оценкой производительности при ковариатном сдвиге // Decision Support Systems. 2026.</w:t>
      </w:r>
    </w:p>
    <w:p>
      <w:pPr>
        <w:spacing w:after="80" w:before="0"/>
        <w:ind w:left="360" w:hanging="360"/>
        <w:jc w:val="both"/>
      </w:pPr>
      <w:r>
        <w:rPr>
          <w:rFonts w:ascii="Times New Roman" w:cs="Times New Roman" w:eastAsia="Times New Roman" w:hAnsi="Times New Roman"/>
          <w:sz w:val="22"/>
          <w:szCs w:val="22"/>
        </w:rPr>
        <w:t xml:space="preserve">2. Ovadia Y. et al. Can You Trust Your Model's Uncertainty? Evaluating Predictive Uncertainty Under Dataset Shift // Advances in Neural Information Processing Systems. 2019. Vol. 32.</w:t>
      </w:r>
    </w:p>
    <w:p>
      <w:pPr>
        <w:spacing w:after="80" w:before="0"/>
        <w:ind w:left="360" w:hanging="360"/>
        <w:jc w:val="both"/>
      </w:pPr>
      <w:r>
        <w:rPr>
          <w:rFonts w:ascii="Times New Roman" w:cs="Times New Roman" w:eastAsia="Times New Roman" w:hAnsi="Times New Roman"/>
          <w:sz w:val="22"/>
          <w:szCs w:val="22"/>
        </w:rPr>
        <w:t xml:space="preserve">3. Gardner J. et al. Benchmarking Distribution Shift in Tabular Data with TableShift // Advances in Neural Information Processing Systems. 2023. Vol. 36.</w:t>
      </w:r>
    </w:p>
    <w:p>
      <w:pPr>
        <w:spacing w:after="80" w:before="0"/>
        <w:ind w:left="360" w:hanging="360"/>
        <w:jc w:val="both"/>
      </w:pPr>
      <w:r>
        <w:rPr>
          <w:rFonts w:ascii="Times New Roman" w:cs="Times New Roman" w:eastAsia="Times New Roman" w:hAnsi="Times New Roman"/>
          <w:sz w:val="22"/>
          <w:szCs w:val="22"/>
        </w:rPr>
        <w:t xml:space="preserve">4. Guo C. et al. On Calibration of Modern Neural Networks // Proceedings of the 34th International Conference on Machine Learning. 2017. P. 1321–1330.</w:t>
      </w:r>
    </w:p>
    <w:p>
      <w:pPr>
        <w:spacing w:after="80" w:before="0"/>
        <w:ind w:left="360" w:hanging="360"/>
        <w:jc w:val="both"/>
      </w:pPr>
      <w:r>
        <w:rPr>
          <w:rFonts w:ascii="Times New Roman" w:cs="Times New Roman" w:eastAsia="Times New Roman" w:hAnsi="Times New Roman"/>
          <w:sz w:val="22"/>
          <w:szCs w:val="22"/>
        </w:rPr>
        <w:t xml:space="preserve">5. Alexandari A. et al. Maximum Likelihood with Bias-Corrected Calibration is Hard-To-Beat at Label Shift Adaptation // Proceedings of ICML. 2020.</w:t>
      </w:r>
    </w:p>
    <w:p>
      <w:pPr>
        <w:spacing w:after="80" w:before="0"/>
        <w:ind w:left="360" w:hanging="360"/>
        <w:jc w:val="both"/>
      </w:pPr>
      <w:r>
        <w:rPr>
          <w:rFonts w:ascii="Times New Roman" w:cs="Times New Roman" w:eastAsia="Times New Roman" w:hAnsi="Times New Roman"/>
          <w:sz w:val="22"/>
          <w:szCs w:val="22"/>
        </w:rPr>
        <w:t xml:space="preserve">6. Vovk V., Gammerman A., Shafer G. Algorithmic Learning in a Random World. Springer, 2005. 324 p.</w:t>
      </w:r>
    </w:p>
    <w:p>
      <w:pPr>
        <w:spacing w:after="80" w:before="0"/>
        <w:ind w:left="360" w:hanging="360"/>
        <w:jc w:val="both"/>
      </w:pPr>
      <w:r>
        <w:rPr>
          <w:rFonts w:ascii="Times New Roman" w:cs="Times New Roman" w:eastAsia="Times New Roman" w:hAnsi="Times New Roman"/>
          <w:sz w:val="22"/>
          <w:szCs w:val="22"/>
        </w:rPr>
        <w:t xml:space="preserve">7. Tibshirani R.J. et al. Conformal Prediction Under Covariate Shift // Advances in Neural Information Processing Systems. 2019. Vol. 32.</w:t>
      </w:r>
    </w:p>
    <w:p>
      <w:pPr>
        <w:spacing w:after="80" w:before="0"/>
        <w:ind w:left="360" w:hanging="360"/>
        <w:jc w:val="both"/>
      </w:pPr>
      <w:r>
        <w:rPr>
          <w:rFonts w:ascii="Times New Roman" w:cs="Times New Roman" w:eastAsia="Times New Roman" w:hAnsi="Times New Roman"/>
          <w:sz w:val="22"/>
          <w:szCs w:val="22"/>
        </w:rPr>
        <w:t xml:space="preserve">8. Gibbs I., Candès E. Adaptive Conformal Inference under Distribution Shift // Advances in Neural Information Processing Systems. 2021. Vol. 34.</w:t>
      </w:r>
    </w:p>
    <w:p>
      <w:pPr>
        <w:spacing w:after="80" w:before="0"/>
        <w:ind w:left="360" w:hanging="360"/>
        <w:jc w:val="both"/>
      </w:pPr>
      <w:r>
        <w:rPr>
          <w:rFonts w:ascii="Times New Roman" w:cs="Times New Roman" w:eastAsia="Times New Roman" w:hAnsi="Times New Roman"/>
          <w:sz w:val="22"/>
          <w:szCs w:val="22"/>
        </w:rPr>
        <w:t xml:space="preserve">9. Barber R.F. et al. Conformal Prediction Beyond Exchangeability // The Annals of Statistics. 2023. Vol. 51. No. 2. P. 816–845.</w:t>
      </w:r>
    </w:p>
    <w:p>
      <w:pPr>
        <w:spacing w:after="80" w:before="0"/>
        <w:ind w:left="360" w:hanging="360"/>
        <w:jc w:val="both"/>
      </w:pPr>
      <w:r>
        <w:rPr>
          <w:rFonts w:ascii="Times New Roman" w:cs="Times New Roman" w:eastAsia="Times New Roman" w:hAnsi="Times New Roman"/>
          <w:sz w:val="22"/>
          <w:szCs w:val="22"/>
        </w:rPr>
        <w:t xml:space="preserve">10. Подкопаев А., Рамдас А. Distribution-Free Uncertainty Quantification for Classification under Label Shift // Proceedings of UAI. 2021.</w:t>
      </w:r>
    </w:p>
    <w:p>
      <w:pPr>
        <w:spacing w:after="80" w:before="0"/>
        <w:ind w:left="360" w:hanging="360"/>
        <w:jc w:val="both"/>
      </w:pPr>
      <w:r>
        <w:rPr>
          <w:rFonts w:ascii="Times New Roman" w:cs="Times New Roman" w:eastAsia="Times New Roman" w:hAnsi="Times New Roman"/>
          <w:sz w:val="22"/>
          <w:szCs w:val="22"/>
        </w:rPr>
        <w:t xml:space="preserve">11. Патиньо К. и др. Utility-Directed Conformal Prediction: A Decision-Aware Framework // Proceedings of ICLR. 2025.</w:t>
      </w:r>
    </w:p>
    <w:p>
      <w:pPr>
        <w:spacing w:after="80" w:before="0"/>
        <w:ind w:left="360" w:hanging="360"/>
        <w:jc w:val="both"/>
      </w:pPr>
      <w:r>
        <w:rPr>
          <w:rFonts w:ascii="Times New Roman" w:cs="Times New Roman" w:eastAsia="Times New Roman" w:hAnsi="Times New Roman"/>
          <w:sz w:val="22"/>
          <w:szCs w:val="22"/>
        </w:rPr>
        <w:t xml:space="preserve">12. Быун Й. и др. Decision-Focused Evaluation of Worst-Case Distribution Shift // arXiv:2407.03557. 2024.</w:t>
      </w:r>
    </w:p>
    <w:p>
      <w:pPr>
        <w:spacing w:after="80" w:before="0"/>
        <w:ind w:left="360" w:hanging="360"/>
        <w:jc w:val="both"/>
      </w:pPr>
      <w:r>
        <w:rPr>
          <w:rFonts w:ascii="Times New Roman" w:cs="Times New Roman" w:eastAsia="Times New Roman" w:hAnsi="Times New Roman"/>
          <w:sz w:val="22"/>
          <w:szCs w:val="22"/>
        </w:rPr>
        <w:t xml:space="preserve">13. Бялек и др. PAPE: оценка производительности при сдвиге без меток // Advances in Neural Information Processing Systems. 2025.</w:t>
      </w:r>
    </w:p>
    <w:p>
      <w:pPr>
        <w:spacing w:after="80" w:before="0"/>
        <w:ind w:left="360" w:hanging="360"/>
        <w:jc w:val="both"/>
      </w:pPr>
      <w:r>
        <w:rPr>
          <w:rFonts w:ascii="Times New Roman" w:cs="Times New Roman" w:eastAsia="Times New Roman" w:hAnsi="Times New Roman"/>
          <w:sz w:val="22"/>
          <w:szCs w:val="22"/>
        </w:rPr>
        <w:t xml:space="preserve">14. Квон и др. Конформное избирательное предсказание с учётом стоимости отложения для клинической сортировки при сдвиге распределения // Scientific Reports. 2026.</w:t>
      </w:r>
    </w:p>
    <w:p>
      <w:pPr>
        <w:spacing w:after="80" w:before="0"/>
        <w:ind w:left="360" w:hanging="360"/>
        <w:jc w:val="both"/>
      </w:pPr>
      <w:r>
        <w:rPr>
          <w:rFonts w:ascii="Times New Roman" w:cs="Times New Roman" w:eastAsia="Times New Roman" w:hAnsi="Times New Roman"/>
          <w:sz w:val="22"/>
          <w:szCs w:val="22"/>
        </w:rPr>
        <w:t xml:space="preserve">15. Sugiyama M., Kawanabe M. Machine Learning in Non-Stationary Environments. MIT Press, 2012. 258 p.</w:t>
      </w:r>
    </w:p>
    <w:p>
      <w:pPr>
        <w:spacing w:after="0" w:before="0"/>
      </w:pPr>
      <w:r>
        <w:rPr>
          <w:rFonts w:ascii="Times New Roman" w:cs="Times New Roman" w:eastAsia="Times New Roman" w:hAnsi="Times New Roman"/>
          <w:sz w:val="24"/>
          <w:szCs w:val="24"/>
        </w:rPr>
        <w:t xml:space="preserve"/>
      </w:r>
    </w:p>
    <w:p>
      <w:pPr>
        <w:spacing w:after="60" w:before="240"/>
      </w:pPr>
      <w:r>
        <w:rPr>
          <w:rFonts w:ascii="Times New Roman" w:cs="Times New Roman" w:eastAsia="Times New Roman" w:hAnsi="Times New Roman"/>
          <w:b/>
          <w:bCs/>
          <w:sz w:val="22"/>
          <w:szCs w:val="22"/>
        </w:rPr>
        <w:t xml:space="preserve">Сведения об авторе:</w:t>
      </w:r>
    </w:p>
    <w:p>
      <w:pPr>
        <w:spacing w:after="80" w:before="0" w:line="320"/>
        <w:jc w:val="both"/>
      </w:pPr>
      <w:r>
        <w:rPr>
          <w:rFonts w:ascii="Times New Roman" w:cs="Times New Roman" w:eastAsia="Times New Roman" w:hAnsi="Times New Roman"/>
          <w:b/>
          <w:bCs/>
          <w:sz w:val="22"/>
          <w:szCs w:val="22"/>
        </w:rPr>
        <w:t xml:space="preserve">Рефси Амин</w:t>
      </w:r>
      <w:r>
        <w:rPr>
          <w:rFonts w:ascii="Times New Roman" w:cs="Times New Roman" w:eastAsia="Times New Roman" w:hAnsi="Times New Roman"/>
          <w:sz w:val="22"/>
          <w:szCs w:val="22"/>
        </w:rPr>
        <w:t xml:space="preserve"> — аспирант кафедры автоматизации и управления, Самарский государственный технический университет (СамГТУ), г. Самара, Россия. Область научных интересов: машинное обучение, неопределённость прогнозов, поддержка принятия решений, сдвиг распределения данных.</w:t>
      </w:r>
    </w:p>
    <w:p>
      <w:pPr>
        <w:spacing w:after="80" w:before="0"/>
      </w:pPr>
      <w:r>
        <w:rPr>
          <w:rFonts w:ascii="Times New Roman" w:cs="Times New Roman" w:eastAsia="Times New Roman" w:hAnsi="Times New Roman"/>
          <w:sz w:val="22"/>
          <w:szCs w:val="22"/>
        </w:rPr>
        <w:t xml:space="preserve">E-mail: </w:t>
      </w:r>
      <w:r>
        <w:rPr>
          <w:rFonts w:ascii="Times New Roman" w:cs="Times New Roman" w:eastAsia="Times New Roman" w:hAnsi="Times New Roman"/>
          <w:sz w:val="22"/>
          <w:szCs w:val="22"/>
        </w:rPr>
        <w:t xml:space="preserve">refsiamine.p@gmail.com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jc w:val="center"/>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80" w:before="24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2026-09-13T16:41:26.862Z</dcterms:created>
  <dcterms:modified xsi:type="dcterms:W3CDTF">2026-09-13T16:41:26.872Z</dcterms:modified>
</cp:coreProperties>
</file>

<file path=docProps/custom.xml><?xml version="1.0" encoding="utf-8"?>
<Properties xmlns="http://schemas.openxmlformats.org/officeDocument/2006/custom-properties" xmlns:vt="http://schemas.openxmlformats.org/officeDocument/2006/docPropsVTypes"/>
</file>