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4F46E5"/>
          <w:sz w:val="96"/>
          <w:szCs w:val="96"/>
        </w:rPr>
        <w:t xml:space="preserve">TijaraFlow</w:t>
      </w:r>
    </w:p>
    <w:p>
      <w:pPr>
        <w:spacing w:after="200"/>
        <w:jc w:val="center"/>
      </w:pPr>
      <w:r>
        <w:rPr>
          <w:color w:val="111827"/>
          <w:sz w:val="48"/>
          <w:szCs w:val="48"/>
        </w:rPr>
        <w:t xml:space="preserve">Documentation technique</w:t>
      </w:r>
    </w:p>
    <w:p>
      <w:pPr>
        <w:spacing w:after="120"/>
        <w:jc w:val="center"/>
      </w:pPr>
      <w:r>
        <w:rPr>
          <w:i/>
          <w:iCs/>
          <w:color w:val="6B7280"/>
          <w:sz w:val="26"/>
          <w:szCs w:val="26"/>
        </w:rPr>
        <w:t xml:space="preserve">Guide administrateurs &amp; développeurs</w:t>
      </w:r>
    </w:p>
    <w:p>
      <w:pPr>
        <w:spacing w:before="1800"/>
        <w:jc w:val="center"/>
      </w:pPr>
      <w:r>
        <w:rPr>
          <w:color w:val="6B7280"/>
          <w:sz w:val="24"/>
          <w:szCs w:val="24"/>
        </w:rPr>
        <w:t xml:space="preserve">Version 1.0</w:t>
      </w:r>
    </w:p>
    <w:p>
      <w:pPr>
        <w:jc w:val="center"/>
      </w:pPr>
      <w:r>
        <w:rPr>
          <w:color w:val="6B7280"/>
          <w:sz w:val="24"/>
          <w:szCs w:val="24"/>
        </w:rPr>
        <w:t xml:space="preserve">Édition 2026 · Architecture, exploitation, extension</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Ce document s’adresse aux administrateurs et développeurs qui déploient, exploitent ou étendent TijaraFlow. Il décrit l’architecture, le modèle de données, les mécanismes de sécurité, les intégrations, le déploiement et les procédures d’exploitation.</w:t>
      </w:r>
    </w:p>
    <w:p>
      <w:pPr>
        <w:pStyle w:val="Heading2"/>
      </w:pPr>
      <w:r>
        <w:t xml:space="preserve">1.1 Périmètre</w:t>
      </w:r>
    </w:p>
    <w:p>
      <w:pPr>
        <w:pStyle w:val="ListParagraph"/>
        <w:numPr>
          <w:ilvl w:val="0"/>
          <w:numId w:val="2"/>
        </w:numPr>
        <w:spacing w:after="40"/>
      </w:pPr>
      <w:r>
        <w:t xml:space="preserve">Architecture applicative et choix techniques.</w:t>
      </w:r>
    </w:p>
    <w:p>
      <w:pPr>
        <w:pStyle w:val="ListParagraph"/>
        <w:numPr>
          <w:ilvl w:val="0"/>
          <w:numId w:val="2"/>
        </w:numPr>
        <w:spacing w:after="40"/>
      </w:pPr>
      <w:r>
        <w:t xml:space="preserve">Modèle de données PostgreSQL et fonctions serveur.</w:t>
      </w:r>
    </w:p>
    <w:p>
      <w:pPr>
        <w:pStyle w:val="ListParagraph"/>
        <w:numPr>
          <w:ilvl w:val="0"/>
          <w:numId w:val="2"/>
        </w:numPr>
        <w:spacing w:after="40"/>
      </w:pPr>
      <w:r>
        <w:t xml:space="preserve">Authentification, autorisation et multi-tenancy.</w:t>
      </w:r>
    </w:p>
    <w:p>
      <w:pPr>
        <w:pStyle w:val="ListParagraph"/>
        <w:numPr>
          <w:ilvl w:val="0"/>
          <w:numId w:val="2"/>
        </w:numPr>
        <w:spacing w:after="40"/>
      </w:pPr>
      <w:r>
        <w:t xml:space="preserve">Synchronisation des boutiques, facturation Stripe, e-mails, tâches planifiées.</w:t>
      </w:r>
    </w:p>
    <w:p>
      <w:pPr>
        <w:pStyle w:val="ListParagraph"/>
        <w:numPr>
          <w:ilvl w:val="0"/>
          <w:numId w:val="2"/>
        </w:numPr>
        <w:spacing w:after="40"/>
      </w:pPr>
      <w:r>
        <w:t xml:space="preserve">Déploiement, observabilité et runbook d’incident.</w:t>
      </w:r>
    </w:p>
    <w:p>
      <w:pPr>
        <w:pStyle w:val="ListParagraph"/>
        <w:numPr>
          <w:ilvl w:val="0"/>
          <w:numId w:val="2"/>
        </w:numPr>
        <w:spacing w:after="40"/>
      </w:pPr>
      <w:r>
        <w:t xml:space="preserve">Procédures d’extension (nouvel adaptateur, nouveau forfait, nouvel endpoint).</w:t>
      </w:r>
    </w:p>
    <w:p>
      <w:pPr>
        <w:pStyle w:val="Heading2"/>
      </w:pPr>
      <w:r>
        <w:t xml:space="preserve">1.2 Conventions</w:t>
      </w:r>
    </w:p>
    <w:p>
      <w:pPr>
        <w:spacing w:after="120"/>
      </w:pPr>
      <w:r>
        <w:t xml:space="preserve">Les chemins de fichiers sont relatifs à la racine du dépôt. Les blocs de code sont indicatifs. Les noms de variables d’environnement sont sensibles à la casse.</w:t>
      </w:r>
    </w:p>
    <w:p>
      <w:pPr>
        <w:pStyle w:val="Heading1"/>
      </w:pPr>
      <w:r>
        <w:t xml:space="preserve">2. Vue d’ensemble de l’architecture</w:t>
      </w:r>
    </w:p>
    <w:p>
      <w:pPr>
        <w:spacing w:after="120"/>
      </w:pPr>
      <w:r>
        <w:t xml:space="preserve">TijaraFlow est une application Next.js 16 (App Router) déployée sur Vercel, adossée à Supabase (PostgreSQL + Auth) pour les données et l’authentification, à Stripe pour les abonnements, et à Resend pour les e-mails. Les boutiques e-commerce communiquent via des webhooks traités par une couche d’adaptateurs.</w:t>
      </w:r>
    </w:p>
    <w:p>
      <w:pPr>
        <w:pStyle w:val="Heading2"/>
      </w:pPr>
      <w:r>
        <w:t xml:space="preserve">2.1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Composant</w:t>
            </w:r>
          </w:p>
        </w:tc>
        <w:tc>
          <w:tcPr>
            <w:tcW w:type="dxa" w:w="6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Rôle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Next.js 16 (App Router)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Front-end (RSC) + back-end (Route Handlers, Server Actions).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Supabase Postgres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Base de données, RLS, fonctions SQL.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Supabase Auth (SSR)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Authentification par cookies, sessions côté serveur.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Stripe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Abonnements (Checkout + webhooks).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Resend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Envoi des e-mails transactionnels.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Vercel</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Hébergement, déploiement continu, cron jobs.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Adaptateurs sync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WooCommerce, Shopify (webhooks entrants).</w:t>
            </w:r>
          </w:p>
        </w:tc>
      </w:tr>
    </w:tbl>
    <w:p>
      <w:pPr>
        <w:spacing w:after="140"/>
      </w:pPr>
    </w:p>
    <w:p>
      <w:pPr>
        <w:pStyle w:val="Heading2"/>
      </w:pPr>
      <w:r>
        <w:t xml:space="preserve">2.2 Flux principal</w:t>
      </w:r>
    </w:p>
    <w:p>
      <w:pPr>
        <w:pStyle w:val="ListParagraph"/>
        <w:numPr>
          <w:ilvl w:val="0"/>
          <w:numId w:val="3"/>
        </w:numPr>
        <w:spacing w:after="40"/>
      </w:pPr>
      <w:r>
        <w:t xml:space="preserve">Une boutique émet un webhook vers /api/webhooks/{plateforme}.</w:t>
      </w:r>
    </w:p>
    <w:p>
      <w:pPr>
        <w:pStyle w:val="ListParagraph"/>
        <w:numPr>
          <w:ilvl w:val="0"/>
          <w:numId w:val="3"/>
        </w:numPr>
        <w:spacing w:after="40"/>
      </w:pPr>
      <w:r>
        <w:t xml:space="preserve">Le handler authentifie le tenant (clé API), applique le rate limiting, vérifie la signature.</w:t>
      </w:r>
    </w:p>
    <w:p>
      <w:pPr>
        <w:pStyle w:val="ListParagraph"/>
        <w:numPr>
          <w:ilvl w:val="0"/>
          <w:numId w:val="3"/>
        </w:numPr>
        <w:spacing w:after="40"/>
      </w:pPr>
      <w:r>
        <w:t xml:space="preserve">L’adaptateur normalise le payload en un modèle commun.</w:t>
      </w:r>
    </w:p>
    <w:p>
      <w:pPr>
        <w:pStyle w:val="ListParagraph"/>
        <w:numPr>
          <w:ilvl w:val="0"/>
          <w:numId w:val="3"/>
        </w:numPr>
        <w:spacing w:after="40"/>
      </w:pPr>
      <w:r>
        <w:t xml:space="preserve">Le cœur (lib/sync/core) applique la mutation (produit, commande, client, stock).</w:t>
      </w:r>
    </w:p>
    <w:p>
      <w:pPr>
        <w:pStyle w:val="ListParagraph"/>
        <w:numPr>
          <w:ilvl w:val="0"/>
          <w:numId w:val="3"/>
        </w:numPr>
        <w:spacing w:after="40"/>
      </w:pPr>
      <w:r>
        <w:t xml:space="preserve">L’événement est journalisé (sync_events) ; les automatisations éligibles se déclenchent.</w:t>
      </w:r>
    </w:p>
    <w:p>
      <w:pPr>
        <w:pStyle w:val="Heading1"/>
      </w:pPr>
      <w:r>
        <w:t xml:space="preserve">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Domaine</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Technologie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Next.js 16, React 19, TypeScript strict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Styles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Tailwind CSS v4, shadcn/ui (Radix)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Données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PostgreSQL (Supabase), RLS activée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Auth</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Supabase Auth via @supabase/ssr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Paiements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Stripe (mode abonnement)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E-mails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Resend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Graphiques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Recharts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Hébergement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Vercel (cron, env, déploiement Git)</w:t>
            </w:r>
          </w:p>
        </w:tc>
      </w:tr>
    </w:tbl>
    <w:p>
      <w:pPr>
        <w:spacing w:after="140"/>
      </w:pPr>
    </w:p>
    <w:p>
      <w:pPr>
        <w:pStyle w:val="Heading1"/>
      </w:pPr>
      <w:r>
        <w:t xml:space="preserve">4. Structure du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A3AF" w:sz="12"/>
              <w:bottom w:val="none"/>
              <w:right w:val="none"/>
            </w:tcBorders>
            <w:shd w:fill="F3F4F6" w:val="clear"/>
            <w:tcMar>
              <w:top w:type="dxa" w:w="120"/>
              <w:left w:type="dxa" w:w="160"/>
              <w:bottom w:type="dxa" w:w="120"/>
              <w:right w:type="dxa" w:w="120"/>
            </w:tcMar>
          </w:tcPr>
          <w:p>
            <w:pPr>
              <w:spacing w:after="20"/>
            </w:pPr>
            <w:r>
              <w:rPr>
                <w:rFonts w:ascii="Courier New" w:cs="Courier New" w:eastAsia="Courier New" w:hAnsi="Courier New"/>
                <w:color w:val="1F2937"/>
                <w:sz w:val="18"/>
                <w:szCs w:val="18"/>
              </w:rPr>
              <w:t xml:space="preserve">app/                      Routes (App Router)</w:t>
            </w:r>
          </w:p>
          <w:p>
            <w:pPr>
              <w:spacing w:after="20"/>
            </w:pPr>
            <w:r>
              <w:rPr>
                <w:rFonts w:ascii="Courier New" w:cs="Courier New" w:eastAsia="Courier New" w:hAnsi="Courier New"/>
                <w:color w:val="1F2937"/>
                <w:sz w:val="18"/>
                <w:szCs w:val="18"/>
              </w:rPr>
              <w:t xml:space="preserve">  (marketing) /, /tarifs, /fonctionnalites, /contact</w:t>
            </w:r>
          </w:p>
          <w:p>
            <w:pPr>
              <w:spacing w:after="20"/>
            </w:pPr>
            <w:r>
              <w:rPr>
                <w:rFonts w:ascii="Courier New" w:cs="Courier New" w:eastAsia="Courier New" w:hAnsi="Courier New"/>
                <w:color w:val="1F2937"/>
                <w:sz w:val="18"/>
                <w:szCs w:val="18"/>
              </w:rPr>
              <w:t xml:space="preserve">  login, register, reset, reset/update</w:t>
            </w:r>
          </w:p>
          <w:p>
            <w:pPr>
              <w:spacing w:after="20"/>
            </w:pPr>
            <w:r>
              <w:rPr>
                <w:rFonts w:ascii="Courier New" w:cs="Courier New" w:eastAsia="Courier New" w:hAnsi="Courier New"/>
                <w:color w:val="1F2937"/>
                <w:sz w:val="18"/>
                <w:szCs w:val="18"/>
              </w:rPr>
              <w:t xml:space="preserve">  dashboard/              Espace connecté (stocks, orders, ...)</w:t>
            </w:r>
          </w:p>
          <w:p>
            <w:pPr>
              <w:spacing w:after="20"/>
            </w:pPr>
            <w:r>
              <w:rPr>
                <w:rFonts w:ascii="Courier New" w:cs="Courier New" w:eastAsia="Courier New" w:hAnsi="Courier New"/>
                <w:color w:val="1F2937"/>
                <w:sz w:val="18"/>
                <w:szCs w:val="18"/>
              </w:rPr>
              <w:t xml:space="preserve">  api/v1/                 API publique (products, orders, ...)</w:t>
            </w:r>
          </w:p>
          <w:p>
            <w:pPr>
              <w:spacing w:after="20"/>
            </w:pPr>
            <w:r>
              <w:rPr>
                <w:rFonts w:ascii="Courier New" w:cs="Courier New" w:eastAsia="Courier New" w:hAnsi="Courier New"/>
                <w:color w:val="1F2937"/>
                <w:sz w:val="18"/>
                <w:szCs w:val="18"/>
              </w:rPr>
              <w:t xml:space="preserve">  api/webhooks/           woocommerce, shopify, stripe</w:t>
            </w:r>
          </w:p>
          <w:p>
            <w:pPr>
              <w:spacing w:after="20"/>
            </w:pPr>
            <w:r>
              <w:rPr>
                <w:rFonts w:ascii="Courier New" w:cs="Courier New" w:eastAsia="Courier New" w:hAnsi="Courier New"/>
                <w:color w:val="1F2937"/>
                <w:sz w:val="18"/>
                <w:szCs w:val="18"/>
              </w:rPr>
              <w:t xml:space="preserve">  api/billing/checkout    Création de session Checkout</w:t>
            </w:r>
          </w:p>
          <w:p>
            <w:pPr>
              <w:spacing w:after="20"/>
            </w:pPr>
            <w:r>
              <w:rPr>
                <w:rFonts w:ascii="Courier New" w:cs="Courier New" w:eastAsia="Courier New" w:hAnsi="Courier New"/>
                <w:color w:val="1F2937"/>
                <w:sz w:val="18"/>
                <w:szCs w:val="18"/>
              </w:rPr>
              <w:t xml:space="preserve">  api/cron/               daily, weekly</w:t>
            </w:r>
          </w:p>
          <w:p>
            <w:pPr>
              <w:spacing w:after="20"/>
            </w:pPr>
            <w:r>
              <w:rPr>
                <w:rFonts w:ascii="Courier New" w:cs="Courier New" w:eastAsia="Courier New" w:hAnsi="Courier New"/>
                <w:color w:val="1F2937"/>
                <w:sz w:val="18"/>
                <w:szCs w:val="18"/>
              </w:rPr>
              <w:t xml:space="preserve">  api/export/[entity]     Exports CSV</w:t>
            </w:r>
          </w:p>
          <w:p>
            <w:pPr>
              <w:spacing w:after="20"/>
            </w:pPr>
            <w:r>
              <w:rPr>
                <w:rFonts w:ascii="Courier New" w:cs="Courier New" w:eastAsia="Courier New" w:hAnsi="Courier New"/>
                <w:color w:val="1F2937"/>
                <w:sz w:val="18"/>
                <w:szCs w:val="18"/>
              </w:rPr>
              <w:t xml:space="preserve">  api/health              Sonde de santé</w:t>
            </w:r>
          </w:p>
          <w:p>
            <w:pPr>
              <w:spacing w:after="20"/>
            </w:pPr>
            <w:r>
              <w:rPr>
                <w:rFonts w:ascii="Courier New" w:cs="Courier New" w:eastAsia="Courier New" w:hAnsi="Courier New"/>
                <w:color w:val="1F2937"/>
                <w:sz w:val="18"/>
                <w:szCs w:val="18"/>
              </w:rPr>
              <w:t xml:space="preserve">lib/</w:t>
            </w:r>
          </w:p>
          <w:p>
            <w:pPr>
              <w:spacing w:after="20"/>
            </w:pPr>
            <w:r>
              <w:rPr>
                <w:rFonts w:ascii="Courier New" w:cs="Courier New" w:eastAsia="Courier New" w:hAnsi="Courier New"/>
                <w:color w:val="1F2937"/>
                <w:sz w:val="18"/>
                <w:szCs w:val="18"/>
              </w:rPr>
              <w:t xml:space="preserve">  supabase/               clients server/client + database.types</w:t>
            </w:r>
          </w:p>
          <w:p>
            <w:pPr>
              <w:spacing w:after="20"/>
            </w:pPr>
            <w:r>
              <w:rPr>
                <w:rFonts w:ascii="Courier New" w:cs="Courier New" w:eastAsia="Courier New" w:hAnsi="Courier New"/>
                <w:color w:val="1F2937"/>
                <w:sz w:val="18"/>
                <w:szCs w:val="18"/>
              </w:rPr>
              <w:t xml:space="preserve">  sync/                   types, core, webhook-handler, adapters/</w:t>
            </w:r>
          </w:p>
          <w:p>
            <w:pPr>
              <w:spacing w:after="20"/>
            </w:pPr>
            <w:r>
              <w:rPr>
                <w:rFonts w:ascii="Courier New" w:cs="Courier New" w:eastAsia="Courier New" w:hAnsi="Courier New"/>
                <w:color w:val="1F2937"/>
                <w:sz w:val="18"/>
                <w:szCs w:val="18"/>
              </w:rPr>
              <w:t xml:space="preserve">  entitlements.ts         plans, limites, gating</w:t>
            </w:r>
          </w:p>
          <w:p>
            <w:pPr>
              <w:spacing w:after="20"/>
            </w:pPr>
            <w:r>
              <w:rPr>
                <w:rFonts w:ascii="Courier New" w:cs="Courier New" w:eastAsia="Courier New" w:hAnsi="Courier New"/>
                <w:color w:val="1F2937"/>
                <w:sz w:val="18"/>
                <w:szCs w:val="18"/>
              </w:rPr>
              <w:t xml:space="preserve">  plans.ts                définition des forfaits</w:t>
            </w:r>
          </w:p>
          <w:p>
            <w:pPr>
              <w:spacing w:after="20"/>
            </w:pPr>
            <w:r>
              <w:rPr>
                <w:rFonts w:ascii="Courier New" w:cs="Courier New" w:eastAsia="Courier New" w:hAnsi="Courier New"/>
                <w:color w:val="1F2937"/>
                <w:sz w:val="18"/>
                <w:szCs w:val="18"/>
              </w:rPr>
              <w:t xml:space="preserve">  email/                  resend, send</w:t>
            </w:r>
          </w:p>
          <w:p>
            <w:pPr>
              <w:spacing w:after="20"/>
            </w:pPr>
            <w:r>
              <w:rPr>
                <w:rFonts w:ascii="Courier New" w:cs="Courier New" w:eastAsia="Courier New" w:hAnsi="Courier New"/>
                <w:color w:val="1F2937"/>
                <w:sz w:val="18"/>
                <w:szCs w:val="18"/>
              </w:rPr>
              <w:t xml:space="preserve">  rate-limit.ts           anti-abus</w:t>
            </w:r>
          </w:p>
          <w:p>
            <w:pPr>
              <w:spacing w:after="20"/>
            </w:pPr>
            <w:r>
              <w:rPr>
                <w:rFonts w:ascii="Courier New" w:cs="Courier New" w:eastAsia="Courier New" w:hAnsi="Courier New"/>
                <w:color w:val="1F2937"/>
                <w:sz w:val="18"/>
                <w:szCs w:val="18"/>
              </w:rPr>
              <w:t xml:space="preserve">  observability.ts        journal d’erreurs</w:t>
            </w:r>
          </w:p>
          <w:p>
            <w:pPr>
              <w:spacing w:after="20"/>
            </w:pPr>
            <w:r>
              <w:rPr>
                <w:rFonts w:ascii="Courier New" w:cs="Courier New" w:eastAsia="Courier New" w:hAnsi="Courier New"/>
                <w:color w:val="1F2937"/>
                <w:sz w:val="18"/>
                <w:szCs w:val="18"/>
              </w:rPr>
              <w:t xml:space="preserve">components/               ui (primitives), shared, app, dashboard</w:t>
            </w:r>
          </w:p>
          <w:p>
            <w:pPr>
              <w:spacing w:after="0"/>
            </w:pPr>
            <w:r>
              <w:rPr>
                <w:rFonts w:ascii="Courier New" w:cs="Courier New" w:eastAsia="Courier New" w:hAnsi="Courier New"/>
                <w:color w:val="1F2937"/>
                <w:sz w:val="18"/>
                <w:szCs w:val="18"/>
              </w:rPr>
              <w:t xml:space="preserve">middleware.ts             garde d’authentification + routes publiques</w:t>
            </w:r>
          </w:p>
        </w:tc>
      </w:tr>
    </w:tbl>
    <w:p>
      <w:pPr>
        <w:spacing w:after="120"/>
      </w:pPr>
    </w:p>
    <w:p>
      <w:pPr>
        <w:pStyle w:val="Heading1"/>
      </w:pPr>
      <w:r>
        <w:t xml:space="preserve">5. Environnements et configuration</w:t>
      </w:r>
    </w:p>
    <w:p>
      <w:pPr>
        <w:spacing w:after="120"/>
      </w:pPr>
      <w:r>
        <w:t xml:space="preserve">Les variables d’environnement sont définies dans Vercel (Production) et, en local, dans .env.local. Ne jamais committer de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760"/>
        <w:gridCol w:w="1200"/>
      </w:tblGrid>
      <w:tr>
        <w:trPr>
          <w:tblHeader/>
        </w:trPr>
        <w:tc>
          <w:tcPr>
            <w:tcW w:type="dxa" w:w="3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Variable</w:t>
            </w:r>
          </w:p>
        </w:tc>
        <w:tc>
          <w:tcPr>
            <w:tcW w:type="dxa" w:w="4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Rôle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Secret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NEXT_PUBLIC_SUPABASE_URL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URL du projet Supabase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Non</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NEXT_PUBLIC_SUPABASE_ANON_KEY</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Clé publique Supabase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Non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SUPABASE_SERVICE_ROLE_KEY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Clé service (bypass RLS, serveur uniquement)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STRIPE_SECRET_KEY</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Clé secrète Stripe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STRIPE_WEBHOOK_SECRET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Secret de signature du webhook Stripe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STRIPE_PRICE_PRO</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ID de prix du forfait Pro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Non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STRIPE_PRICE_BUSINESS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ID de prix du forfait Business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Non</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RESEND_API_KEY</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Clé API Resend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RESEND_FROM_EMAIL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Expéditeur des e-mails (défaut onboarding@resend.dev)</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Non</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CRON_SECRET</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Jeton d’autorisation des crons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NEXT_PUBLIC_APP_URL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URL publique de l’app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Règle de sécurité</w:t>
            </w:r>
          </w:p>
          <w:p>
            <w:r>
              <w:t xml:space="preserve">La clé SUPABASE_SERVICE_ROLE_KEY contourne la RLS. Elle ne doit être utilisée que côté serveur (route handlers, crons, webhooks) et jamais exposée au navigateur.</w:t>
            </w:r>
          </w:p>
        </w:tc>
      </w:tr>
    </w:tbl>
    <w:p>
      <w:pPr>
        <w:spacing w:after="120"/>
      </w:pPr>
    </w:p>
    <w:p>
      <w:pPr>
        <w:pStyle w:val="Heading1"/>
      </w:pPr>
      <w:r>
        <w:t xml:space="preserve">6. Modèle de données</w:t>
      </w:r>
    </w:p>
    <w:p>
      <w:pPr>
        <w:spacing w:after="120"/>
      </w:pPr>
      <w:r>
        <w:t xml:space="preserve">Toutes les tables métier portent une colonne user_id et sont protégées par RLS : chaque utilisateur n’accède qu’à ses propres lignes. Les écritures système (synchro, webhooks, crons) passent par la clé service.</w:t>
      </w:r>
    </w:p>
    <w:p>
      <w:pPr>
        <w:pStyle w:val="Heading2"/>
      </w:pPr>
      <w:r>
        <w:t xml:space="preserve">6.1 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Table</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Contenu</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products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Catalogue : name, sku, price, cost, stock_quantity, low_stock_threshold, external_id/source, woo_id.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customers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Clients : full_name, email, phone, adresse.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orders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Commandes : status, total_amount, customer_id, external_id/source.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order_items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Lignes de commande : product_id, quantity, unit_price.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invoices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Factures : invoice_number, status, amount, due_date, paid_at.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api_keys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Clés API : key_prefix, key_hash (sha256), last_used_at.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user_settings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Réglages : notify_email, auto_invoice, stock_alerts, overdue_reminders, weekly_report, wc_webhook_secret.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user_subscriptions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Abonnement : plan, status, stripe_customer_id, stripe_subscription_id, current_period_end.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stock_movements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Registre de stock : delta, reason, balance_after, reference.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sync_events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Journal de synchro : source, action, status, detail.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error_logs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Journal d’erreurs : source, context, message, details.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rate_limits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Compteurs anti-abus : bucket, count, window_start.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demo_requests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Demandes de démo (formulaire landing).</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contact_messages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Messages de contact (page Contact).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RLS</w:t>
            </w:r>
          </w:p>
          <w:p>
            <w:r>
              <w:t xml:space="preserve">Les tables exposées à l’utilisateur ont des politiques « select/insert own » basées sur auth.uid() = user_id. sync_events et stock_movements sont en lecture seule côté utilisateur ; les insertions se font via la clé service ou des fonctions SECURITY DEFINER.</w:t>
            </w:r>
          </w:p>
        </w:tc>
      </w:tr>
    </w:tbl>
    <w:p>
      <w:pPr>
        <w:spacing w:after="120"/>
      </w:pPr>
    </w:p>
    <w:p>
      <w:pPr>
        <w:pStyle w:val="Heading1"/>
      </w:pPr>
      <w:r>
        <w:t xml:space="preserve">7. Fonctions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Fonction</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Signature et rôle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decrement_stock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(p_product_id, p_quantity, p_reason=‘sale’, p_reference) : décrémente le stock et journalise un mouvement.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increment_stock</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(p_product_id, p_quantity, p_reason=‘restock’, p_reference) : incrémente et journalise.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generate_invoice_number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 → texte : numéro de facture séquentiel.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check_rate_limit</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(p_bucket, p_limit, p_window_seconds) → booléen : fenêtre fixe atomique, fail-open.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forecast_stock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(p_user_id, p_history_days=30, p_lead_time_days=7, p_cover_days=30) → table : vélocité, couverture, réappro.</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reports_overview</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(p_user_id, p_days=30) → jsonb : CA, top produits, valeur stock, clients.</w:t>
            </w:r>
          </w:p>
        </w:tc>
      </w:tr>
    </w:tbl>
    <w:p>
      <w:pPr>
        <w:spacing w:after="140"/>
      </w:pPr>
    </w:p>
    <w:p>
      <w:pPr>
        <w:spacing w:after="120"/>
      </w:pPr>
      <w:r>
        <w:t xml:space="preserve">Les fonctions de stock et de rapports sont SECURITY DEFINER et filtrent explicitement par user_id.</w:t>
      </w:r>
    </w:p>
    <w:p>
      <w:pPr>
        <w:pStyle w:val="Heading1"/>
      </w:pPr>
      <w:r>
        <w:t xml:space="preserve">8. Authentification et autorisation</w:t>
      </w:r>
    </w:p>
    <w:p>
      <w:pPr>
        <w:pStyle w:val="Heading2"/>
      </w:pPr>
      <w:r>
        <w:t xml:space="preserve">8.1 Sessions</w:t>
      </w:r>
    </w:p>
    <w:p>
      <w:pPr>
        <w:spacing w:after="120"/>
      </w:pPr>
      <w:r>
        <w:t xml:space="preserve">L’authentification utilise Supabase Auth via @supabase/ssr. Le client serveur lit/écrit les cookies de session ; le middleware rafraîchit la session et protège les routes.</w:t>
      </w:r>
    </w:p>
    <w:p>
      <w:pPr>
        <w:pStyle w:val="Heading2"/>
      </w:pPr>
      <w:r>
        <w:t xml:space="preserve">8.2 Middleware et routes publiques</w:t>
      </w:r>
    </w:p>
    <w:p>
      <w:pPr>
        <w:spacing w:after="120"/>
      </w:pPr>
      <w:r>
        <w:t xml:space="preserve">middleware.ts redirige tout utilisateur non authentifié vers /login, sauf pour les routes publiques : /, /tarifs, /fonctionnalites, /contact, /login, /register, /reset, /auth, /payment, /api/webhooks, /api/v1, /api/health, /api/demo-request, /api/contact.</w:t>
      </w:r>
    </w:p>
    <w:p>
      <w:pPr>
        <w:pStyle w:val="Heading2"/>
      </w:pPr>
      <w:r>
        <w:t xml:space="preserve">8.3 Réinitialisation de mot de passe</w:t>
      </w:r>
    </w:p>
    <w:p>
      <w:pPr>
        <w:pStyle w:val="ListParagraph"/>
        <w:numPr>
          <w:ilvl w:val="0"/>
          <w:numId w:val="3"/>
        </w:numPr>
        <w:spacing w:after="40"/>
      </w:pPr>
      <w:r>
        <w:t xml:space="preserve">/reset appelle resetPasswordForEmail avec redirectTo = /auth/callback?next=/reset/update.</w:t>
      </w:r>
    </w:p>
    <w:p>
      <w:pPr>
        <w:pStyle w:val="ListParagraph"/>
        <w:numPr>
          <w:ilvl w:val="0"/>
          <w:numId w:val="3"/>
        </w:numPr>
        <w:spacing w:after="40"/>
      </w:pPr>
      <w:r>
        <w:t xml:space="preserve">/auth/callback échange le code et redirige vers la cible interne.</w:t>
      </w:r>
    </w:p>
    <w:p>
      <w:pPr>
        <w:pStyle w:val="ListParagraph"/>
        <w:numPr>
          <w:ilvl w:val="0"/>
          <w:numId w:val="3"/>
        </w:numPr>
        <w:spacing w:after="40"/>
      </w:pPr>
      <w:r>
        <w:t xml:space="preserve">/reset/update appelle updateUser({ password }).</w:t>
      </w:r>
    </w:p>
    <w:p>
      <w:pPr>
        <w:pStyle w:val="Heading2"/>
      </w:pPr>
      <w:r>
        <w:t xml:space="preserve">8.4 Multi-tenancy</w:t>
      </w:r>
    </w:p>
    <w:p>
      <w:pPr>
        <w:spacing w:after="120"/>
      </w:pPr>
      <w:r>
        <w:t xml:space="preserve">L’isolation repose sur user_id + RLS. Les opérations système utilisent la clé service et filtrent manuellement par user_id.</w:t>
      </w:r>
    </w:p>
    <w:p>
      <w:pPr>
        <w:pStyle w:val="Heading1"/>
      </w:pPr>
      <w:r>
        <w:t xml:space="preserve">9. Forfaits et entitlements</w:t>
      </w:r>
    </w:p>
    <w:p>
      <w:pPr>
        <w:spacing w:after="120"/>
      </w:pPr>
      <w:r>
        <w:t xml:space="preserve">lib/plans.ts définit trois forfaits (Starter, Pro, Business) avec leurs limites (products, orders, stores) et leurs fonctionnalités (automations, ai, api). lib/entitlements.ts applique ces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Helper</w:t>
            </w:r>
          </w:p>
        </w:tc>
        <w:tc>
          <w:tcPr>
            <w:tcW w:type="dxa" w:w="5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Rôle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getUserPlan(supabase, userId)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Renvoie le plan effectif (abonnement actif sinon Starter).</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canCreate(supabase, userId, resource, qty)</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Vérifie la limite produits/commandes avant création.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canUseStore(supabase, userId, source)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Vérifie la limite de boutiques (multi-store).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hasAutomations / usersWithAutomations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Gate l’exécution des automatisations (Pro+).</w:t>
            </w:r>
          </w:p>
        </w:tc>
      </w:tr>
    </w:tbl>
    <w:p>
      <w:pPr>
        <w:spacing w:after="140"/>
      </w:pPr>
    </w:p>
    <w:p>
      <w:pPr>
        <w:pStyle w:val="Heading2"/>
      </w:pPr>
      <w:r>
        <w:t xml:space="preserve">9.1 Points d’application</w:t>
      </w:r>
    </w:p>
    <w:p>
      <w:pPr>
        <w:pStyle w:val="ListParagraph"/>
        <w:numPr>
          <w:ilvl w:val="0"/>
          <w:numId w:val="2"/>
        </w:numPr>
        <w:spacing w:after="40"/>
      </w:pPr>
      <w:r>
        <w:t xml:space="preserve">Création produit/commande (actions dashboard + API v1).</w:t>
      </w:r>
    </w:p>
    <w:p>
      <w:pPr>
        <w:pStyle w:val="ListParagraph"/>
        <w:numPr>
          <w:ilvl w:val="0"/>
          <w:numId w:val="2"/>
        </w:numPr>
        <w:spacing w:after="40"/>
      </w:pPr>
      <w:r>
        <w:t xml:space="preserve">Accès API publique (réservé au forfait Business) dans withApiAuth.</w:t>
      </w:r>
    </w:p>
    <w:p>
      <w:pPr>
        <w:pStyle w:val="ListParagraph"/>
        <w:numPr>
          <w:ilvl w:val="0"/>
          <w:numId w:val="2"/>
        </w:numPr>
        <w:spacing w:after="40"/>
      </w:pPr>
      <w:r>
        <w:t xml:space="preserve">Connexion d’une nouvelle boutique dans le handler de webhook.</w:t>
      </w:r>
    </w:p>
    <w:p>
      <w:pPr>
        <w:pStyle w:val="ListParagraph"/>
        <w:numPr>
          <w:ilvl w:val="0"/>
          <w:numId w:val="2"/>
        </w:numPr>
        <w:spacing w:after="40"/>
      </w:pPr>
      <w:r>
        <w:t xml:space="preserve">Exécution des automatisations (core sync, orders, crons).</w:t>
      </w:r>
    </w:p>
    <w:p>
      <w:pPr>
        <w:pStyle w:val="Heading1"/>
      </w:pPr>
      <w:r>
        <w:t xml:space="preserve">10. Architecture de synchronisation</w:t>
      </w:r>
    </w:p>
    <w:p>
      <w:pPr>
        <w:spacing w:after="120"/>
      </w:pPr>
      <w:r>
        <w:t xml:space="preserve">La synchronisation suit un patron d’adaptateurs : un cœur normalisé et un adaptateur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A3AF" w:sz="12"/>
              <w:bottom w:val="none"/>
              <w:right w:val="none"/>
            </w:tcBorders>
            <w:shd w:fill="F3F4F6" w:val="clear"/>
            <w:tcMar>
              <w:top w:type="dxa" w:w="120"/>
              <w:left w:type="dxa" w:w="160"/>
              <w:bottom w:type="dxa" w:w="120"/>
              <w:right w:type="dxa" w:w="120"/>
            </w:tcMar>
          </w:tcPr>
          <w:p>
            <w:pPr>
              <w:spacing w:after="20"/>
            </w:pPr>
            <w:r>
              <w:rPr>
                <w:rFonts w:ascii="Courier New" w:cs="Courier New" w:eastAsia="Courier New" w:hAnsi="Courier New"/>
                <w:color w:val="1F2937"/>
                <w:sz w:val="18"/>
                <w:szCs w:val="18"/>
              </w:rPr>
              <w:t xml:space="preserve">lib/sync/types.ts          Modèle normalisé + interface PlatformAdapter</w:t>
            </w:r>
          </w:p>
          <w:p>
            <w:pPr>
              <w:spacing w:after="20"/>
            </w:pPr>
            <w:r>
              <w:rPr>
                <w:rFonts w:ascii="Courier New" w:cs="Courier New" w:eastAsia="Courier New" w:hAnsi="Courier New"/>
                <w:color w:val="1F2937"/>
                <w:sz w:val="18"/>
                <w:szCs w:val="18"/>
              </w:rPr>
              <w:t xml:space="preserve">lib/sync/core.ts           Logique métier (upsertProduct, createOrder, ...)</w:t>
            </w:r>
          </w:p>
          <w:p>
            <w:pPr>
              <w:spacing w:after="20"/>
            </w:pPr>
            <w:r>
              <w:rPr>
                <w:rFonts w:ascii="Courier New" w:cs="Courier New" w:eastAsia="Courier New" w:hAnsi="Courier New"/>
                <w:color w:val="1F2937"/>
                <w:sz w:val="18"/>
                <w:szCs w:val="18"/>
              </w:rPr>
              <w:t xml:space="preserve">lib/sync/webhook-handler.ts  Auth clé API → rate limit → signature → dispatch</w:t>
            </w:r>
          </w:p>
          <w:p>
            <w:pPr>
              <w:spacing w:after="20"/>
            </w:pPr>
            <w:r>
              <w:rPr>
                <w:rFonts w:ascii="Courier New" w:cs="Courier New" w:eastAsia="Courier New" w:hAnsi="Courier New"/>
                <w:color w:val="1F2937"/>
                <w:sz w:val="18"/>
                <w:szCs w:val="18"/>
              </w:rPr>
              <w:t xml:space="preserve">lib/sync/adapters/woocommerce.ts</w:t>
            </w:r>
          </w:p>
          <w:p>
            <w:pPr>
              <w:spacing w:after="20"/>
            </w:pPr>
            <w:r>
              <w:rPr>
                <w:rFonts w:ascii="Courier New" w:cs="Courier New" w:eastAsia="Courier New" w:hAnsi="Courier New"/>
                <w:color w:val="1F2937"/>
                <w:sz w:val="18"/>
                <w:szCs w:val="18"/>
              </w:rPr>
              <w:t xml:space="preserve">lib/sync/adapters/shopify.ts</w:t>
            </w:r>
          </w:p>
          <w:p>
            <w:pPr>
              <w:spacing w:after="0"/>
            </w:pPr>
            <w:r>
              <w:rPr>
                <w:rFonts w:ascii="Courier New" w:cs="Courier New" w:eastAsia="Courier New" w:hAnsi="Courier New"/>
                <w:color w:val="1F2937"/>
                <w:sz w:val="18"/>
                <w:szCs w:val="18"/>
              </w:rPr>
              <w:t xml:space="preserve">lib/sync/sync-log.ts       Journalisation des events (sync_events)</w:t>
            </w:r>
          </w:p>
        </w:tc>
      </w:tr>
    </w:tbl>
    <w:p>
      <w:pPr>
        <w:spacing w:after="120"/>
      </w:pPr>
    </w:p>
    <w:p>
      <w:pPr>
        <w:pStyle w:val="Heading2"/>
      </w:pPr>
      <w:r>
        <w:t xml:space="preserve">10.1 Étapes du handler</w:t>
      </w:r>
    </w:p>
    <w:p>
      <w:pPr>
        <w:pStyle w:val="ListParagraph"/>
        <w:numPr>
          <w:ilvl w:val="0"/>
          <w:numId w:val="3"/>
        </w:numPr>
        <w:spacing w:after="40"/>
      </w:pPr>
      <w:r>
        <w:t xml:space="preserve">Authentification du tenant via le paramètre api_key (hash sha256 → user_id).</w:t>
      </w:r>
    </w:p>
    <w:p>
      <w:pPr>
        <w:pStyle w:val="ListParagraph"/>
        <w:numPr>
          <w:ilvl w:val="0"/>
          <w:numId w:val="3"/>
        </w:numPr>
        <w:spacing w:after="40"/>
      </w:pPr>
      <w:r>
        <w:t xml:space="preserve">Rate limiting par tenant (bucket wh:&lt;userId&gt;).</w:t>
      </w:r>
    </w:p>
    <w:p>
      <w:pPr>
        <w:pStyle w:val="ListParagraph"/>
        <w:numPr>
          <w:ilvl w:val="0"/>
          <w:numId w:val="3"/>
        </w:numPr>
        <w:spacing w:after="40"/>
      </w:pPr>
      <w:r>
        <w:t xml:space="preserve">Vérification de signature HMAC si un secret est configuré.</w:t>
      </w:r>
    </w:p>
    <w:p>
      <w:pPr>
        <w:pStyle w:val="ListParagraph"/>
        <w:numPr>
          <w:ilvl w:val="0"/>
          <w:numId w:val="3"/>
        </w:numPr>
        <w:spacing w:after="40"/>
      </w:pPr>
      <w:r>
        <w:t xml:space="preserve">Parsing par l’adaptateur → action normalisée.</w:t>
      </w:r>
    </w:p>
    <w:p>
      <w:pPr>
        <w:pStyle w:val="ListParagraph"/>
        <w:numPr>
          <w:ilvl w:val="0"/>
          <w:numId w:val="3"/>
        </w:numPr>
        <w:spacing w:after="40"/>
      </w:pPr>
      <w:r>
        <w:t xml:space="preserve">Gating de boutique (canUseStore) pour les nouvelles sources.</w:t>
      </w:r>
    </w:p>
    <w:p>
      <w:pPr>
        <w:pStyle w:val="ListParagraph"/>
        <w:numPr>
          <w:ilvl w:val="0"/>
          <w:numId w:val="3"/>
        </w:numPr>
        <w:spacing w:after="40"/>
      </w:pPr>
      <w:r>
        <w:t xml:space="preserve">Dispatch vers le cœur, puis journalisation (succès/erreur).</w:t>
      </w:r>
    </w:p>
    <w:p>
      <w:pPr>
        <w:pStyle w:val="Heading2"/>
      </w:pPr>
      <w:r>
        <w:t xml:space="preserve">10.2 Ajouter une plateforme</w:t>
      </w:r>
    </w:p>
    <w:p>
      <w:pPr>
        <w:pStyle w:val="ListParagraph"/>
        <w:numPr>
          <w:ilvl w:val="0"/>
          <w:numId w:val="3"/>
        </w:numPr>
        <w:spacing w:after="40"/>
      </w:pPr>
      <w:r>
        <w:t xml:space="preserve">Créer lib/sync/adapters/&lt;plateforme&gt;.ts implémentant PlatformAdapter (source, verifySignature, parse).</w:t>
      </w:r>
    </w:p>
    <w:p>
      <w:pPr>
        <w:pStyle w:val="ListParagraph"/>
        <w:numPr>
          <w:ilvl w:val="0"/>
          <w:numId w:val="3"/>
        </w:numPr>
        <w:spacing w:after="40"/>
      </w:pPr>
      <w:r>
        <w:t xml:space="preserve">Créer la route app/api/webhooks/&lt;plateforme&gt;/route.ts appelant handleSyncWebhook(req, adapter).</w:t>
      </w:r>
    </w:p>
    <w:p>
      <w:pPr>
        <w:pStyle w:val="ListParagraph"/>
        <w:numPr>
          <w:ilvl w:val="0"/>
          <w:numId w:val="3"/>
        </w:numPr>
        <w:spacing w:after="40"/>
      </w:pPr>
      <w:r>
        <w:t xml:space="preserve">Rendre la route publique dans middleware.ts (déjà couvert par /api/webhooks).</w:t>
      </w:r>
    </w:p>
    <w:p>
      <w:pPr>
        <w:pStyle w:val="Heading1"/>
      </w:pPr>
      <w:r>
        <w:t xml:space="preserve">11. Intégrations boutiques</w:t>
      </w:r>
    </w:p>
    <w:p>
      <w:pPr>
        <w:spacing w:after="120"/>
      </w:pPr>
      <w:r>
        <w:t xml:space="preserve">La configuration côté boutique consiste à pointer un webhook vers TijaraFlow et à activer les événements pertinents.</w:t>
      </w:r>
    </w:p>
    <w:p>
      <w:pPr>
        <w:spacing w:after="40"/>
      </w:pPr>
      <w:r>
        <w:rPr>
          <w:rFonts w:ascii="Courier New" w:cs="Courier New" w:eastAsia="Courier New" w:hAnsi="Courier New"/>
          <w:sz w:val="20"/>
          <w:szCs w:val="20"/>
        </w:rPr>
        <w:t xml:space="preserve">URL : https://&lt;app&gt;/api/webhooks/woocommerce?api_key=sf_live_xxx</w:t>
      </w:r>
    </w:p>
    <w:p>
      <w:pPr>
        <w:spacing w:after="120"/>
      </w:pPr>
      <w:r>
        <w:t xml:space="preserve">WooCommerce : product.created/updated/deleted, order.created/updated, customer.created/updated, order.deleted. Shopify : products/orders/customers create-update-delete. Une signature HMAC peut être activée via user_settings.wc_webhook_secret (secret partagé du tenant).</w:t>
      </w:r>
    </w:p>
    <w:p>
      <w:pPr>
        <w:pStyle w:val="Heading1"/>
      </w:pPr>
      <w:r>
        <w:t xml:space="preserve">12. Facturation Stripe</w:t>
      </w:r>
    </w:p>
    <w:p>
      <w:pPr>
        <w:pStyle w:val="Heading2"/>
      </w:pPr>
      <w:r>
        <w:t xml:space="preserve">12.1 Création d’abonnement</w:t>
      </w:r>
    </w:p>
    <w:p>
      <w:pPr>
        <w:spacing w:after="120"/>
      </w:pPr>
      <w:r>
        <w:t xml:space="preserve">app/api/billing/checkout crée une session Checkout en mode subscription. L’ID de prix provient des variables STRIPE_PRICE_PRO / STRIPE_PRICE_BUSINESS. Les métadonnées portent user_id et plan.</w:t>
      </w:r>
    </w:p>
    <w:p>
      <w:pPr>
        <w:pStyle w:val="Heading2"/>
      </w:pPr>
      <w:r>
        <w:t xml:space="preserve">12.2 Webhook Stripe</w:t>
      </w:r>
    </w:p>
    <w:p>
      <w:pPr>
        <w:spacing w:after="120"/>
      </w:pPr>
      <w:r>
        <w:t xml:space="preserve">app/api/webhooks/stripe vérifie la signature (STRIPE_WEBHOOK_SECRET) et traite : checkout.session.completed (activation d’abonnement ou paiement de facture), customer.subscription.updated/deleted (mise à jour du statut et de la période).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Modes test et live</w:t>
            </w:r>
          </w:p>
          <w:p>
            <w:r>
              <w:t xml:space="preserve">Les objets Stripe (produits, prix, webhooks) sont propres à chaque mode. Pour passer en live, recréer produits/prix en mode Live, fournir les clés sk_live_/whsec_ live et créer un webhook Live.</w:t>
            </w:r>
          </w:p>
        </w:tc>
      </w:tr>
    </w:tbl>
    <w:p>
      <w:pPr>
        <w:spacing w:after="120"/>
      </w:pPr>
    </w:p>
    <w:p>
      <w:pPr>
        <w:pStyle w:val="Heading1"/>
      </w:pPr>
      <w:r>
        <w:t xml:space="preserve">13. E-mails (Resend)</w:t>
      </w:r>
    </w:p>
    <w:p>
      <w:pPr>
        <w:spacing w:after="120"/>
      </w:pPr>
      <w:r>
        <w:t xml:space="preserve">lib/email/resend.ts initialise le client (EMAILS_ENABLED, FROM_EMAIL) ; lib/email/send.ts expose les envois (alerte stock, facture, relance, rapport). L’envoi est ignoré proprement si RESEND_API_KEY est absente.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Délivrabilité</w:t>
            </w:r>
          </w:p>
          <w:p>
            <w:r>
              <w:t xml:space="preserve">En mode test (onboarding@resend.dev), seuls les e-mails vers l’adresse du compte Resend sont délivrés. Pour la production, vérifier un domaine et définir RESEND_FROM_EMAIL.</w:t>
            </w:r>
          </w:p>
        </w:tc>
      </w:tr>
    </w:tbl>
    <w:p>
      <w:pPr>
        <w:spacing w:after="120"/>
      </w:pPr>
    </w:p>
    <w:p>
      <w:pPr>
        <w:pStyle w:val="Heading1"/>
      </w:pPr>
      <w:r>
        <w:t xml:space="preserve">14. Tâches planifiées (crons)</w:t>
      </w:r>
    </w:p>
    <w:p>
      <w:pPr>
        <w:spacing w:after="120"/>
      </w:pPr>
      <w:r>
        <w:t xml:space="preserve">Deux routes cron, protégées par CRON_SECRET, sont déclenchées par Vercel Cron :</w:t>
      </w:r>
    </w:p>
    <w:p>
      <w:pPr>
        <w:pStyle w:val="ListParagraph"/>
        <w:numPr>
          <w:ilvl w:val="0"/>
          <w:numId w:val="2"/>
        </w:numPr>
        <w:spacing w:after="40"/>
      </w:pPr>
      <w:r>
        <w:t xml:space="preserve">app/api/cron/daily : passage des factures échues en « overdue » et envoi des relances (J+7/15/30).</w:t>
      </w:r>
    </w:p>
    <w:p>
      <w:pPr>
        <w:pStyle w:val="ListParagraph"/>
        <w:numPr>
          <w:ilvl w:val="0"/>
          <w:numId w:val="2"/>
        </w:numPr>
        <w:spacing w:after="40"/>
      </w:pPr>
      <w:r>
        <w:t xml:space="preserve">app/api/cron/weekly : envoi du rapport hebdomadaire (lundi).</w:t>
      </w:r>
    </w:p>
    <w:p>
      <w:pPr>
        <w:spacing w:after="120"/>
      </w:pPr>
      <w:r>
        <w:t xml:space="preserve">Les deux respectent le gating des automatisations par plan (usersWithAutomations).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A3AF" w:sz="12"/>
              <w:bottom w:val="none"/>
              <w:right w:val="none"/>
            </w:tcBorders>
            <w:shd w:fill="F3F4F6" w:val="clear"/>
            <w:tcMar>
              <w:top w:type="dxa" w:w="120"/>
              <w:left w:type="dxa" w:w="160"/>
              <w:bottom w:type="dxa" w:w="120"/>
              <w:right w:type="dxa" w:w="120"/>
            </w:tcMar>
          </w:tcPr>
          <w:p>
            <w:pPr>
              <w:spacing w:after="0"/>
            </w:pPr>
            <w:r>
              <w:rPr>
                <w:rFonts w:ascii="Courier New" w:cs="Courier New" w:eastAsia="Courier New" w:hAnsi="Courier New"/>
                <w:color w:val="1F2937"/>
                <w:sz w:val="18"/>
                <w:szCs w:val="18"/>
              </w:rPr>
              <w:t xml:space="preserve">Authorization: Bearer ${CRON_SECRET}</w:t>
            </w:r>
          </w:p>
        </w:tc>
      </w:tr>
    </w:tbl>
    <w:p>
      <w:pPr>
        <w:spacing w:after="120"/>
      </w:pPr>
    </w:p>
    <w:p>
      <w:pPr>
        <w:pStyle w:val="Heading1"/>
      </w:pPr>
      <w:r>
        <w:t xml:space="preserve">15. Observabilité</w:t>
      </w:r>
    </w:p>
    <w:p>
      <w:pPr>
        <w:pStyle w:val="ListParagraph"/>
        <w:numPr>
          <w:ilvl w:val="0"/>
          <w:numId w:val="2"/>
        </w:numPr>
        <w:spacing w:after="40"/>
      </w:pPr>
      <w:r>
        <w:t xml:space="preserve">error_logs + logError() : capture des erreurs (source, context, message, details).</w:t>
      </w:r>
    </w:p>
    <w:p>
      <w:pPr>
        <w:pStyle w:val="ListParagraph"/>
        <w:numPr>
          <w:ilvl w:val="0"/>
          <w:numId w:val="2"/>
        </w:numPr>
        <w:spacing w:after="40"/>
      </w:pPr>
      <w:r>
        <w:t xml:space="preserve">sync_events : journal des événements de synchro (consultable dans le hub Intégrations).</w:t>
      </w:r>
    </w:p>
    <w:p>
      <w:pPr>
        <w:pStyle w:val="ListParagraph"/>
        <w:numPr>
          <w:ilvl w:val="0"/>
          <w:numId w:val="2"/>
        </w:numPr>
        <w:spacing w:after="40"/>
      </w:pPr>
      <w:r>
        <w:t xml:space="preserve">/api/health : sonde de santé (vérifie la base) renvoyant 200/503.</w:t>
      </w:r>
    </w:p>
    <w:p>
      <w:pPr>
        <w:pStyle w:val="ListParagraph"/>
        <w:numPr>
          <w:ilvl w:val="0"/>
          <w:numId w:val="2"/>
        </w:numPr>
        <w:spacing w:after="40"/>
      </w:pPr>
      <w:r>
        <w:t xml:space="preserve">Logs runtime Vercel : pour le diagnostic des routes serverless.</w:t>
      </w:r>
    </w:p>
    <w:p>
      <w:pPr>
        <w:pStyle w:val="Heading1"/>
      </w:pPr>
      <w:r>
        <w:t xml:space="preserve">16. Rate limiting</w:t>
      </w:r>
    </w:p>
    <w:p>
      <w:pPr>
        <w:spacing w:after="120"/>
      </w:pPr>
      <w:r>
        <w:t xml:space="preserve">lib/rate-limit.ts s’appuie sur la fonction check_rate_limit (fenêtre fixe, fail-open). Limites par défaut : webhook 600/min, API 120/min, par tenant. Les formulaires publics (démo, contact) sont limités par IP.</w:t>
      </w:r>
    </w:p>
    <w:p>
      <w:pPr>
        <w:pStyle w:val="Heading1"/>
      </w:pPr>
      <w:r>
        <w:t xml:space="preserve">17. Déploiement</w:t>
      </w:r>
    </w:p>
    <w:p>
      <w:pPr>
        <w:pStyle w:val="Heading2"/>
      </w:pPr>
      <w:r>
        <w:t xml:space="preserve">17.1 Pipeline</w:t>
      </w:r>
    </w:p>
    <w:p>
      <w:pPr>
        <w:spacing w:after="120"/>
      </w:pPr>
      <w:r>
        <w:t xml:space="preserve">Le dépôt GitHub est connecté à Vercel : chaque push sur main déclenche un build et un déploiement de production. Le build exécute la vérification TypeScript (strict).</w:t>
      </w:r>
    </w:p>
    <w:p>
      <w:pPr>
        <w:pStyle w:val="Heading2"/>
      </w:pPr>
      <w:r>
        <w:t xml:space="preserve">17.2 Configuration</w:t>
      </w:r>
    </w:p>
    <w:p>
      <w:pPr>
        <w:pStyle w:val="ListParagraph"/>
        <w:numPr>
          <w:ilvl w:val="0"/>
          <w:numId w:val="2"/>
        </w:numPr>
        <w:spacing w:after="40"/>
      </w:pPr>
      <w:r>
        <w:t xml:space="preserve">Définir toutes les variables d’environnement dans Vercel (Production).</w:t>
      </w:r>
    </w:p>
    <w:p>
      <w:pPr>
        <w:pStyle w:val="ListParagraph"/>
        <w:numPr>
          <w:ilvl w:val="0"/>
          <w:numId w:val="2"/>
        </w:numPr>
        <w:spacing w:after="40"/>
      </w:pPr>
      <w:r>
        <w:t xml:space="preserve">Un changement de variable nécessite un redéploiement pour être pris en compte.</w:t>
      </w:r>
    </w:p>
    <w:p>
      <w:pPr>
        <w:pStyle w:val="ListParagraph"/>
        <w:numPr>
          <w:ilvl w:val="0"/>
          <w:numId w:val="2"/>
        </w:numPr>
        <w:spacing w:after="40"/>
      </w:pPr>
      <w:r>
        <w:t xml:space="preserve">Configurer les crons Vercel pour /api/cron/daily et /api/cron/weekly.</w:t>
      </w:r>
    </w:p>
    <w:p>
      <w:pPr>
        <w:pStyle w:val="Heading2"/>
      </w:pPr>
      <w:r>
        <w:t xml:space="preserve">17.3 Migrations base de données</w:t>
      </w:r>
    </w:p>
    <w:p>
      <w:pPr>
        <w:spacing w:after="120"/>
      </w:pPr>
      <w:r>
        <w:t xml:space="preserve">Les évolutions de schéma (tables, fonctions) sont appliquées via des migrations SQL sur le projet Supabase. Conserver l’historique des migrations dans le dépôt.</w:t>
      </w:r>
    </w:p>
    <w:p>
      <w:pPr>
        <w:pStyle w:val="Heading1"/>
      </w:pPr>
      <w:r>
        <w:t xml:space="preserve">18. Développement local</w:t>
      </w:r>
    </w:p>
    <w:p>
      <w:pPr>
        <w:pStyle w:val="ListParagraph"/>
        <w:numPr>
          <w:ilvl w:val="0"/>
          <w:numId w:val="3"/>
        </w:numPr>
        <w:spacing w:after="40"/>
      </w:pPr>
      <w:r>
        <w:t xml:space="preserve">Cloner le dépôt et installer les dépendances (npm install).</w:t>
      </w:r>
    </w:p>
    <w:p>
      <w:pPr>
        <w:pStyle w:val="ListParagraph"/>
        <w:numPr>
          <w:ilvl w:val="0"/>
          <w:numId w:val="3"/>
        </w:numPr>
        <w:spacing w:after="40"/>
      </w:pPr>
      <w:r>
        <w:t xml:space="preserve">Copier les variables dans .env.local (clés Supabase, Stripe test, Resend).</w:t>
      </w:r>
    </w:p>
    <w:p>
      <w:pPr>
        <w:pStyle w:val="ListParagraph"/>
        <w:numPr>
          <w:ilvl w:val="0"/>
          <w:numId w:val="3"/>
        </w:numPr>
        <w:spacing w:after="40"/>
      </w:pPr>
      <w:r>
        <w:t xml:space="preserve">Lancer le serveur de développement (npm run dev).</w:t>
      </w:r>
    </w:p>
    <w:p>
      <w:pPr>
        <w:pStyle w:val="ListParagraph"/>
        <w:numPr>
          <w:ilvl w:val="0"/>
          <w:numId w:val="3"/>
        </w:numPr>
        <w:spacing w:after="40"/>
      </w:pPr>
      <w:r>
        <w:t xml:space="preserve">Appliquer les migrations sur un projet Supabase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Astuce typage</w:t>
            </w:r>
          </w:p>
          <w:p>
            <w:r>
              <w:t xml:space="preserve">Régénérer les types Supabase après un changement de schéma (lib/supabase/database.types.ts) pour conserver un typage strict de la couche données.</w:t>
            </w:r>
          </w:p>
        </w:tc>
      </w:tr>
    </w:tbl>
    <w:p>
      <w:pPr>
        <w:spacing w:after="120"/>
      </w:pPr>
    </w:p>
    <w:p>
      <w:pPr>
        <w:pStyle w:val="Heading1"/>
      </w:pPr>
      <w:r>
        <w:t xml:space="preserve">19. Sécurité</w:t>
      </w:r>
    </w:p>
    <w:p>
      <w:pPr>
        <w:pStyle w:val="ListParagraph"/>
        <w:numPr>
          <w:ilvl w:val="0"/>
          <w:numId w:val="2"/>
        </w:numPr>
        <w:spacing w:after="40"/>
      </w:pPr>
      <w:r>
        <w:t xml:space="preserve">RLS active sur toutes les tables métier ; clé service réservée au serveur.</w:t>
      </w:r>
    </w:p>
    <w:p>
      <w:pPr>
        <w:pStyle w:val="ListParagraph"/>
        <w:numPr>
          <w:ilvl w:val="0"/>
          <w:numId w:val="2"/>
        </w:numPr>
        <w:spacing w:after="40"/>
      </w:pPr>
      <w:r>
        <w:t xml:space="preserve">Clés API hashées (sha256) ; jamais stockées en clair.</w:t>
      </w:r>
    </w:p>
    <w:p>
      <w:pPr>
        <w:pStyle w:val="ListParagraph"/>
        <w:numPr>
          <w:ilvl w:val="0"/>
          <w:numId w:val="2"/>
        </w:numPr>
        <w:spacing w:after="40"/>
      </w:pPr>
      <w:r>
        <w:t xml:space="preserve">Signature HMAC des webhooks boutiques ; signature Stripe vérifiée.</w:t>
      </w:r>
    </w:p>
    <w:p>
      <w:pPr>
        <w:pStyle w:val="ListParagraph"/>
        <w:numPr>
          <w:ilvl w:val="0"/>
          <w:numId w:val="2"/>
        </w:numPr>
        <w:spacing w:after="40"/>
      </w:pPr>
      <w:r>
        <w:t xml:space="preserve">Aucune donnée de carte bancaire stockée (déléguée à Stripe).</w:t>
      </w:r>
    </w:p>
    <w:p>
      <w:pPr>
        <w:pStyle w:val="ListParagraph"/>
        <w:numPr>
          <w:ilvl w:val="0"/>
          <w:numId w:val="2"/>
        </w:numPr>
        <w:spacing w:after="40"/>
      </w:pPr>
      <w:r>
        <w:t xml:space="preserve">Secrets uniquement en variables d’environnement, jamais dans le code.</w:t>
      </w:r>
    </w:p>
    <w:p>
      <w:pPr>
        <w:pStyle w:val="Heading1"/>
      </w:pPr>
      <w:r>
        <w:t xml:space="preserve">20. Runbook d’incident</w:t>
      </w:r>
    </w:p>
    <w:p>
      <w:pPr>
        <w:pStyle w:val="Heading3"/>
      </w:pPr>
      <w:r>
        <w:t xml:space="preserve">Un webhook boutique n’arrive pas</w:t>
      </w:r>
    </w:p>
    <w:p>
      <w:pPr>
        <w:spacing w:after="120"/>
      </w:pPr>
      <w:r>
        <w:t xml:space="preserve">Vérifier le Journal de synchronisation, la validité de la clé API dans l’URL, l’activation des événements côté boutique, et les logs runtime Vercel sur /api/webhooks/*.</w:t>
      </w:r>
    </w:p>
    <w:p>
      <w:pPr>
        <w:pStyle w:val="Heading3"/>
      </w:pPr>
      <w:r>
        <w:t xml:space="preserve">Stripe : « Invalid API Key »</w:t>
      </w:r>
    </w:p>
    <w:p>
      <w:pPr>
        <w:spacing w:after="120"/>
      </w:pPr>
      <w:r>
        <w:t xml:space="preserve">La variable STRIPE_SECRET_KEY est incorrecte (clé publishable au lieu de secrète, mauvais compte/mode, espace parasite). Corriger puis redéployer.</w:t>
      </w:r>
    </w:p>
    <w:p>
      <w:pPr>
        <w:pStyle w:val="Heading3"/>
      </w:pPr>
      <w:r>
        <w:t xml:space="preserve">Le webhook Stripe ne met pas à jour l’abonnement</w:t>
      </w:r>
    </w:p>
    <w:p>
      <w:pPr>
        <w:spacing w:after="120"/>
      </w:pPr>
      <w:r>
        <w:t xml:space="preserve">Vérifier que l’endpoint existe dans le bon mode (test/live), que STRIPE_WEBHOOK_SECRET correspond, et l’absence de 400 « signature » dans les logs.</w:t>
      </w:r>
    </w:p>
    <w:p>
      <w:pPr>
        <w:pStyle w:val="Heading3"/>
      </w:pPr>
      <w:r>
        <w:t xml:space="preserve">Les e-mails ne partent pas</w:t>
      </w:r>
    </w:p>
    <w:p>
      <w:pPr>
        <w:spacing w:after="120"/>
      </w:pPr>
      <w:r>
        <w:t xml:space="preserve">Vérifier RESEND_API_KEY, l’adresse de notification, et — en prod — un domaine vérifié + RESEND_FROM_EMAIL.</w:t>
      </w:r>
    </w:p>
    <w:p>
      <w:pPr>
        <w:pStyle w:val="Heading3"/>
      </w:pPr>
      <w:r>
        <w:t xml:space="preserve">Le build échoue</w:t>
      </w:r>
    </w:p>
    <w:p>
      <w:pPr>
        <w:spacing w:after="120"/>
      </w:pPr>
      <w:r>
        <w:t xml:space="preserve">Erreur TypeScript stricte : lire les logs de build Vercel, corriger le typage, repousser. Possibilité de compiler le projet pour reproduire l’erreur localement.</w:t>
      </w:r>
    </w:p>
    <w:p>
      <w:pPr>
        <w:pStyle w:val="Heading1"/>
      </w:pPr>
      <w:r>
        <w:t xml:space="preserve">21. Étendre la plateforme</w:t>
      </w:r>
    </w:p>
    <w:p>
      <w:pPr>
        <w:pStyle w:val="Heading2"/>
      </w:pPr>
      <w:r>
        <w:t xml:space="preserve">21.1 Ajouter un forfait</w:t>
      </w:r>
    </w:p>
    <w:p>
      <w:pPr>
        <w:spacing w:after="120"/>
      </w:pPr>
      <w:r>
        <w:t xml:space="preserve">Ajouter une entrée dans PLANS (lib/plans.ts) avec limites, features et priceEnv ; créer le produit/prix Stripe et la variable d’environnement correspondante ; ajouter la carte au module Facturation.</w:t>
      </w:r>
    </w:p>
    <w:p>
      <w:pPr>
        <w:pStyle w:val="Heading2"/>
      </w:pPr>
      <w:r>
        <w:t xml:space="preserve">21.2 Ajouter un endpoint API</w:t>
      </w:r>
    </w:p>
    <w:p>
      <w:pPr>
        <w:spacing w:after="120"/>
      </w:pPr>
      <w:r>
        <w:t xml:space="preserve">Créer app/api/v1/&lt;ressource&gt;/route.ts en l’enveloppant dans withApiAuth (auth Bearer + rate limit + gating Business). Filtrer par userId et renvoyer du JSON normalisé.</w:t>
      </w:r>
    </w:p>
    <w:p>
      <w:pPr>
        <w:pStyle w:val="Heading2"/>
      </w:pPr>
      <w:r>
        <w:t xml:space="preserve">21.3 Ajouter une automatisation</w:t>
      </w:r>
    </w:p>
    <w:p>
      <w:pPr>
        <w:spacing w:after="120"/>
      </w:pPr>
      <w:r>
        <w:t xml:space="preserve">Ajouter une colonne booléenne à user_settings, l’exposer dans le module Automatisations (gaté par hasAutomations) et brancher son exécution au bon endroit (core sync ou cron).</w:t>
      </w:r>
    </w:p>
    <w:p>
      <w:r>
        <w:br w:type="page"/>
      </w:r>
    </w:p>
    <w:p>
      <w:pPr>
        <w:pStyle w:val="Heading1"/>
      </w:pPr>
      <w:r>
        <w:t xml:space="preserve">22. Annexe — Référence des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Endpoint</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Méthode</w:t>
            </w:r>
          </w:p>
        </w:tc>
        <w:tc>
          <w:tcPr>
            <w:tcW w:type="dxa" w:w="4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Rôle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/api/v1/products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GET, POST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Lister / créer des produits (Business).</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/api/v1/orders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GET, POST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Lister / créer des commandes (Business).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/api/v1/customers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Lister les clients (Business).</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/api/v1/forecast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Prévisions de stock (Business).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/api/webhooks/woocommerce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POST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Webhooks WooCommerce.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/api/webhooks/shopify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POST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Webhooks Shopify.</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/api/webhooks/stripe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POST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Webhooks Stripe (abonnements).</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/api/billing/checkout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POST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Session Checkout abonnement.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/api/export/[entity]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Exports CSV (products, orders, customers, invoices, report-*).</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/api/cron/daily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Cron quotidien (relances).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/api/cron/weekly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Cron hebdomadaire (rapport).</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/api/health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Sonde de santé.</w:t>
            </w:r>
          </w:p>
        </w:tc>
      </w:tr>
    </w:tbl>
    <w:p>
      <w:pPr>
        <w:spacing w:after="140"/>
      </w:pPr>
    </w:p>
    <w:p>
      <w:pPr>
        <w:spacing w:after="120"/>
      </w:pPr>
      <w:r>
        <w:t xml:space="preserve">La documentation API détaillée (authentification, schémas, exemples) fait l’objet d’un document dédié.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8"/>
        <w:szCs w:val="18"/>
      </w:rPr>
      <w:t xml:space="preserve">© 2026 TijaraFlow</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color w:val="6B7280"/>
        <w:sz w:val="18"/>
        <w:szCs w:val="18"/>
      </w:rPr>
      <w:t xml:space="preserve">TijaraFlow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90" w:line="330" w:lineRule="auto"/>
    </w:pPr>
    <w:rPr>
      <w:rFonts w:ascii="Arial" w:cs="Arial" w:eastAsia="Arial" w:hAnsi="Arial"/>
      <w:color w:val="1F2937"/>
      <w:sz w:val="22"/>
      <w:szCs w:val="22"/>
    </w:rPr>
  </w:style>
  <w:style w:type="paragraph" w:styleId="Heading1">
    <w:name w:val="Heading 1"/>
    <w:basedOn w:val="Normal"/>
    <w:next w:val="Normal"/>
    <w:qFormat/>
    <w:pPr>
      <w:keepNext/>
      <w:spacing w:after="160" w:before="320"/>
      <w:outlineLvl w:val="0"/>
    </w:pPr>
    <w:rPr>
      <w:rFonts w:ascii="Arial" w:cs="Arial" w:eastAsia="Arial" w:hAnsi="Arial"/>
      <w:b/>
      <w:bCs/>
      <w:color w:val="4F46E5"/>
      <w:sz w:val="34"/>
      <w:szCs w:val="34"/>
    </w:rPr>
  </w:style>
  <w:style w:type="paragraph" w:styleId="Heading2">
    <w:name w:val="Heading 2"/>
    <w:basedOn w:val="Normal"/>
    <w:next w:val="Normal"/>
    <w:qFormat/>
    <w:pPr>
      <w:keepNext/>
      <w:spacing w:after="100" w:before="220"/>
      <w:outlineLvl w:val="1"/>
    </w:pPr>
    <w:rPr>
      <w:rFonts w:ascii="Arial" w:cs="Arial" w:eastAsia="Arial" w:hAnsi="Arial"/>
      <w:b/>
      <w:bCs/>
      <w:color w:val="111827"/>
      <w:sz w:val="27"/>
      <w:szCs w:val="27"/>
    </w:rPr>
  </w:style>
  <w:style w:type="paragraph" w:styleId="Heading3">
    <w:name w:val="Heading 3"/>
    <w:basedOn w:val="Normal"/>
    <w:next w:val="Normal"/>
    <w:qFormat/>
    <w:pPr>
      <w:keepNext/>
      <w:spacing w:after="6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dc:title>
  <dc:creator>TijaraFlow</dc:creator>
  <cp:lastModifiedBy>Un-named</cp:lastModifiedBy>
  <cp:revision>1</cp:revision>
  <dcterms:created xsi:type="dcterms:W3CDTF">2026-06-10T16:05:35.121Z</dcterms:created>
  <dcterms:modified xsi:type="dcterms:W3CDTF">2026-06-10T16:05:35.121Z</dcterms:modified>
</cp:coreProperties>
</file>

<file path=docProps/custom.xml><?xml version="1.0" encoding="utf-8"?>
<Properties xmlns="http://schemas.openxmlformats.org/officeDocument/2006/custom-properties" xmlns:vt="http://schemas.openxmlformats.org/officeDocument/2006/docPropsVTypes"/>
</file>