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b/>
          <w:bCs/>
          <w:caps/>
          <w:color w:val="7F8C8D"/>
          <w:sz w:val="28"/>
          <w:szCs w:val="28"/>
        </w:rPr>
        <w:t xml:space="preserve">PROJET DATA SCIENCE</w:t>
      </w:r>
    </w:p>
    <w:p>
      <w:pPr>
        <w:pBdr>
          <w:bottom w:val="thick" w:color="1A5276" w:sz="12" w:space="10"/>
        </w:pBdr>
        <w:spacing w:after="400"/>
        <w:jc w:val="center"/>
      </w:pPr>
      <w:r>
        <w:rPr>
          <w:rFonts w:ascii="Arial" w:cs="Arial" w:eastAsia="Arial" w:hAnsi="Arial"/>
          <w:b/>
          <w:bCs/>
          <w:color w:val="1A5276"/>
          <w:sz w:val="52"/>
          <w:szCs w:val="52"/>
        </w:rPr>
        <w:t xml:space="preserve">Supply Chain Management &amp; Résilience</w:t>
      </w:r>
    </w:p>
    <w:p>
      <w:pPr>
        <w:spacing w:after="80"/>
      </w:pPr>
      <w:r>
        <w:t xml:space="preserve"/>
      </w:r>
    </w:p>
    <w:p>
      <w:pPr>
        <w:spacing w:after="240"/>
        <w:jc w:val="center"/>
      </w:pPr>
      <w:r>
        <w:rPr>
          <w:rFonts w:ascii="Arial" w:cs="Arial" w:eastAsia="Arial" w:hAnsi="Arial"/>
          <w:b/>
          <w:bCs/>
          <w:color w:val="1F618D"/>
          <w:sz w:val="36"/>
          <w:szCs w:val="36"/>
        </w:rPr>
        <w:t xml:space="preserve">Classification des Supply Chains Marocaines</w:t>
      </w:r>
    </w:p>
    <w:p>
      <w:pPr>
        <w:spacing w:after="200"/>
        <w:jc w:val="center"/>
      </w:pPr>
      <w:r>
        <w:rPr>
          <w:rFonts w:ascii="Arial" w:cs="Arial" w:eastAsia="Arial" w:hAnsi="Arial"/>
          <w:color w:val="2E86C1"/>
          <w:sz w:val="30"/>
          <w:szCs w:val="30"/>
        </w:rPr>
        <w:t xml:space="preserve">par Niveau de Maturité Digitale</w:t>
      </w:r>
    </w:p>
    <w:p>
      <w:pPr>
        <w:spacing w:after="80"/>
      </w:pPr>
      <w:r>
        <w:t xml:space="preserve"/>
      </w:r>
    </w:p>
    <w:p>
      <w:pPr>
        <w:spacing w:after="80"/>
      </w:pPr>
      <w:r>
        <w:t xml:space="preserve"/>
      </w:r>
    </w:p>
    <w:p>
      <w:pPr>
        <w:spacing w:after="160"/>
        <w:jc w:val="center"/>
      </w:pPr>
      <w:r>
        <w:rPr>
          <w:rFonts w:ascii="Arial" w:cs="Arial" w:eastAsia="Arial" w:hAnsi="Arial"/>
          <w:color w:val="555555"/>
          <w:sz w:val="24"/>
          <w:szCs w:val="24"/>
        </w:rPr>
        <w:t xml:space="preserve">Type de Projet : Classification</w:t>
      </w:r>
    </w:p>
    <w:p>
      <w:pPr>
        <w:spacing w:after="160"/>
        <w:jc w:val="center"/>
      </w:pPr>
      <w:r>
        <w:rPr>
          <w:rFonts w:ascii="Arial" w:cs="Arial" w:eastAsia="Arial" w:hAnsi="Arial"/>
          <w:color w:val="555555"/>
          <w:sz w:val="24"/>
          <w:szCs w:val="24"/>
        </w:rPr>
        <w:t xml:space="preserve">Niveaux : Initiale / Structurée / Intégrée / Intelligente</w:t>
      </w:r>
    </w:p>
    <w:p>
      <w:pPr>
        <w:spacing w:after="160"/>
        <w:jc w:val="center"/>
      </w:pPr>
      <w:r>
        <w:rPr>
          <w:rFonts w:ascii="Arial" w:cs="Arial" w:eastAsia="Arial" w:hAnsi="Arial"/>
          <w:color w:val="555555"/>
          <w:sz w:val="24"/>
          <w:szCs w:val="24"/>
        </w:rPr>
        <w:t xml:space="preserve">Référentiel : Gartner Supply Chain Maturity Model</w:t>
      </w:r>
    </w:p>
    <w:p>
      <w:pPr>
        <w:spacing w:after="160"/>
        <w:jc w:val="center"/>
      </w:pPr>
      <w:r>
        <w:rPr>
          <w:rFonts w:ascii="Arial" w:cs="Arial" w:eastAsia="Arial" w:hAnsi="Arial"/>
          <w:color w:val="555555"/>
          <w:sz w:val="24"/>
          <w:szCs w:val="24"/>
        </w:rPr>
        <w:t xml:space="preserve">Sources : Enquêtes CGEM / AMDL + Données simulées DSI</w:t>
      </w:r>
    </w:p>
    <w:p>
      <w:pPr>
        <w:spacing w:after="80"/>
      </w:pPr>
      <w:r>
        <w:t xml:space="preserve"/>
      </w:r>
    </w:p>
    <w:p>
      <w:pPr>
        <w:spacing w:after="80"/>
      </w:pPr>
      <w:r>
        <w:t xml:space="preserve"/>
      </w:r>
    </w:p>
    <w:p>
      <w:pPr>
        <w:spacing w:after="80"/>
      </w:pPr>
      <w:r>
        <w:t xml:space="preserve"/>
      </w:r>
    </w:p>
    <w:p>
      <w:pPr>
        <w:spacing w:after="100"/>
        <w:jc w:val="center"/>
      </w:pPr>
      <w:r>
        <w:rPr>
          <w:rFonts w:ascii="Arial" w:cs="Arial" w:eastAsia="Arial" w:hAnsi="Arial"/>
          <w:i/>
          <w:iCs/>
          <w:color w:val="7F8C8D"/>
          <w:sz w:val="20"/>
          <w:szCs w:val="20"/>
        </w:rPr>
        <w:t xml:space="preserve">Transformation Digitale Supply Chain  |  IA / ERP / WMS  |  Supply Chain 4.0</w:t>
      </w:r>
    </w:p>
    <w:p>
      <w:r>
        <w:br w:type="page"/>
      </w:r>
    </w:p>
    <w:p>
      <w:pPr>
        <w:pStyle w:val="Heading1"/>
        <w:spacing w:before="400" w:after="200"/>
      </w:pPr>
      <w:r>
        <w:rPr>
          <w:rFonts w:ascii="Arial" w:cs="Arial" w:eastAsia="Arial" w:hAnsi="Arial"/>
          <w:b/>
          <w:bCs/>
          <w:color w:val="1A5276"/>
          <w:sz w:val="32"/>
          <w:szCs w:val="32"/>
        </w:rPr>
        <w:t xml:space="preserve">I. INTRODUCTION</w:t>
      </w:r>
    </w:p>
    <w:p>
      <w:pPr>
        <w:pBdr>
          <w:bottom w:val="single" w:color="2E75B6" w:sz="6" w:space="1"/>
        </w:pBdr>
        <w:spacing w:after="200"/>
      </w:pPr>
      <w:r>
        <w:t xml:space="preserve"/>
      </w:r>
    </w:p>
    <w:p>
      <w:pPr>
        <w:pStyle w:val="Heading2"/>
        <w:spacing w:before="300" w:after="160"/>
      </w:pPr>
      <w:r>
        <w:rPr>
          <w:rFonts w:ascii="Arial" w:cs="Arial" w:eastAsia="Arial" w:hAnsi="Arial"/>
          <w:b/>
          <w:bCs/>
          <w:color w:val="1F618D"/>
          <w:sz w:val="26"/>
          <w:szCs w:val="26"/>
        </w:rPr>
        <w:t xml:space="preserve">1. Contexte et Problématique</w:t>
      </w:r>
    </w:p>
    <w:p>
      <w:pPr>
        <w:spacing w:after="160"/>
        <w:jc w:val="both"/>
      </w:pPr>
      <w:r>
        <w:rPr>
          <w:rFonts w:ascii="Arial" w:cs="Arial" w:eastAsia="Arial" w:hAnsi="Arial"/>
          <w:sz w:val="22"/>
          <w:szCs w:val="22"/>
        </w:rPr>
        <w:t xml:space="preserve">Dans un contexte mondial de disruptions économiques, sanitaires et géopolitiques, la résilience des chaînes d'approvisionnement est devenue un enjeu stratégique majeur pour les entreprises marocaines. Le Maroc, en tant que hub régional africain et méditerranéen, doit impérativement moderniser ses supply chains pour faire face aux défis de la compétitivité internationale.</w:t>
      </w:r>
    </w:p>
    <w:p>
      <w:pPr>
        <w:spacing w:after="160"/>
        <w:jc w:val="both"/>
      </w:pPr>
      <w:r>
        <w:rPr>
          <w:rFonts w:ascii="Arial" w:cs="Arial" w:eastAsia="Arial" w:hAnsi="Arial"/>
          <w:sz w:val="22"/>
          <w:szCs w:val="22"/>
        </w:rPr>
        <w:t xml:space="preserve">Le dataset issu des enquêtes CGEM et AMDL, complété par des données simulées issues de systèmes d'information d'entreprises marocaines (ERP, WMS, TMS), permet d'analyser les facteurs influençant le niveau de maturité digitale des supply chains afin d'orienter les stratégies de transformation.</w:t>
      </w:r>
    </w:p>
    <w:p>
      <w:pPr>
        <w:spacing w:after="80"/>
      </w:pPr>
      <w:r>
        <w:t xml:space="preserve"/>
      </w:r>
    </w:p>
    <w:p>
      <w:pPr>
        <w:pStyle w:val="Heading2"/>
        <w:spacing w:before="300" w:after="160"/>
      </w:pPr>
      <w:r>
        <w:rPr>
          <w:rFonts w:ascii="Arial" w:cs="Arial" w:eastAsia="Arial" w:hAnsi="Arial"/>
          <w:b/>
          <w:bCs/>
          <w:color w:val="1F618D"/>
          <w:sz w:val="26"/>
          <w:szCs w:val="26"/>
        </w:rPr>
        <w:t xml:space="preserve">2. Objectifs du Projet</w:t>
      </w:r>
    </w:p>
    <w:p>
      <w:pPr>
        <w:pStyle w:val="ListParagraph"/>
        <w:numPr>
          <w:ilvl w:val="0"/>
          <w:numId w:val="2"/>
        </w:numPr>
        <w:spacing w:after="100"/>
      </w:pPr>
      <w:r>
        <w:rPr>
          <w:rFonts w:ascii="Arial" w:cs="Arial" w:eastAsia="Arial" w:hAnsi="Arial"/>
          <w:b w:val="false"/>
          <w:bCs w:val="false"/>
          <w:sz w:val="22"/>
          <w:szCs w:val="22"/>
        </w:rPr>
        <w:t xml:space="preserve">Identifier les facteurs clés influençant la maturité digitale des supply chains marocaines</w:t>
      </w:r>
    </w:p>
    <w:p>
      <w:pPr>
        <w:pStyle w:val="ListParagraph"/>
        <w:numPr>
          <w:ilvl w:val="0"/>
          <w:numId w:val="2"/>
        </w:numPr>
        <w:spacing w:after="100"/>
      </w:pPr>
      <w:r>
        <w:rPr>
          <w:rFonts w:ascii="Arial" w:cs="Arial" w:eastAsia="Arial" w:hAnsi="Arial"/>
          <w:b w:val="false"/>
          <w:bCs w:val="false"/>
          <w:sz w:val="22"/>
          <w:szCs w:val="22"/>
        </w:rPr>
        <w:t xml:space="preserve">Construire des modèles de classification selon les niveaux de maturité (Initiale, Structurée, Intégrée, Intelligente)</w:t>
      </w:r>
    </w:p>
    <w:p>
      <w:pPr>
        <w:pStyle w:val="ListParagraph"/>
        <w:numPr>
          <w:ilvl w:val="0"/>
          <w:numId w:val="2"/>
        </w:numPr>
        <w:spacing w:after="100"/>
      </w:pPr>
      <w:r>
        <w:rPr>
          <w:rFonts w:ascii="Arial" w:cs="Arial" w:eastAsia="Arial" w:hAnsi="Arial"/>
          <w:b w:val="false"/>
          <w:bCs w:val="false"/>
          <w:sz w:val="22"/>
          <w:szCs w:val="22"/>
        </w:rPr>
        <w:t xml:space="preserve">Fournir des recommandations métiers exploitables pour accompagner la transformation digitale</w:t>
      </w:r>
    </w:p>
    <w:p>
      <w:pPr>
        <w:pStyle w:val="ListParagraph"/>
        <w:numPr>
          <w:ilvl w:val="0"/>
          <w:numId w:val="2"/>
        </w:numPr>
        <w:spacing w:after="100"/>
      </w:pPr>
      <w:r>
        <w:rPr>
          <w:rFonts w:ascii="Arial" w:cs="Arial" w:eastAsia="Arial" w:hAnsi="Arial"/>
          <w:b w:val="false"/>
          <w:bCs w:val="false"/>
          <w:sz w:val="22"/>
          <w:szCs w:val="22"/>
        </w:rPr>
        <w:t xml:space="preserve">Proposer un benchmark sectoriel par industrie et par taille d'entreprise</w:t>
      </w:r>
    </w:p>
    <w:p>
      <w:pPr>
        <w:spacing w:after="80"/>
      </w:pPr>
      <w:r>
        <w:t xml:space="preserve"/>
      </w:r>
    </w:p>
    <w:p>
      <w:pPr>
        <w:pStyle w:val="Heading2"/>
        <w:spacing w:before="300" w:after="160"/>
      </w:pPr>
      <w:r>
        <w:rPr>
          <w:rFonts w:ascii="Arial" w:cs="Arial" w:eastAsia="Arial" w:hAnsi="Arial"/>
          <w:b/>
          <w:bCs/>
          <w:color w:val="1F618D"/>
          <w:sz w:val="26"/>
          <w:szCs w:val="26"/>
        </w:rPr>
        <w:t xml:space="preserve">3. Méthodologie Adoptée</w:t>
      </w:r>
    </w:p>
    <w:p>
      <w:pPr>
        <w:pStyle w:val="ListParagraph"/>
        <w:numPr>
          <w:ilvl w:val="0"/>
          <w:numId w:val="2"/>
        </w:numPr>
        <w:spacing w:after="100"/>
      </w:pPr>
      <w:r>
        <w:rPr>
          <w:rFonts w:ascii="Arial" w:cs="Arial" w:eastAsia="Arial" w:hAnsi="Arial"/>
          <w:b w:val="false"/>
          <w:bCs w:val="false"/>
          <w:sz w:val="22"/>
          <w:szCs w:val="22"/>
        </w:rPr>
        <w:t xml:space="preserve">Analyse exploratoire des données (EDA) sur les indicateurs de maturité</w:t>
      </w:r>
    </w:p>
    <w:p>
      <w:pPr>
        <w:pStyle w:val="ListParagraph"/>
        <w:numPr>
          <w:ilvl w:val="0"/>
          <w:numId w:val="2"/>
        </w:numPr>
        <w:spacing w:after="100"/>
      </w:pPr>
      <w:r>
        <w:rPr>
          <w:rFonts w:ascii="Arial" w:cs="Arial" w:eastAsia="Arial" w:hAnsi="Arial"/>
          <w:b w:val="false"/>
          <w:bCs w:val="false"/>
          <w:sz w:val="22"/>
          <w:szCs w:val="22"/>
        </w:rPr>
        <w:t xml:space="preserve">Prétraitement des données issues de sources hétérogènes (CGEM, AMDL, données simulées DSI)</w:t>
      </w:r>
    </w:p>
    <w:p>
      <w:pPr>
        <w:pStyle w:val="ListParagraph"/>
        <w:numPr>
          <w:ilvl w:val="0"/>
          <w:numId w:val="2"/>
        </w:numPr>
        <w:spacing w:after="100"/>
      </w:pPr>
      <w:r>
        <w:rPr>
          <w:rFonts w:ascii="Arial" w:cs="Arial" w:eastAsia="Arial" w:hAnsi="Arial"/>
          <w:b w:val="false"/>
          <w:bCs w:val="false"/>
          <w:sz w:val="22"/>
          <w:szCs w:val="22"/>
        </w:rPr>
        <w:t xml:space="preserve">Modélisation Machine Learning pour la classification multi-classes</w:t>
      </w:r>
    </w:p>
    <w:p>
      <w:pPr>
        <w:pStyle w:val="ListParagraph"/>
        <w:numPr>
          <w:ilvl w:val="0"/>
          <w:numId w:val="2"/>
        </w:numPr>
        <w:spacing w:after="100"/>
      </w:pPr>
      <w:r>
        <w:rPr>
          <w:rFonts w:ascii="Arial" w:cs="Arial" w:eastAsia="Arial" w:hAnsi="Arial"/>
          <w:b w:val="false"/>
          <w:bCs w:val="false"/>
          <w:sz w:val="22"/>
          <w:szCs w:val="22"/>
        </w:rPr>
        <w:t xml:space="preserve">Interprétation des résultats via SHAP pour identifier les leviers de transformation</w:t>
      </w:r>
    </w:p>
    <w:p>
      <w:pPr>
        <w:pBdr>
          <w:bottom w:val="single" w:color="2E75B6" w:sz="6" w:space="1"/>
        </w:pBdr>
        <w:spacing w:after="200"/>
      </w:pPr>
      <w:r>
        <w:t xml:space="preserve"/>
      </w:r>
    </w:p>
    <w:p>
      <w:pPr>
        <w:pStyle w:val="Heading1"/>
        <w:spacing w:before="400" w:after="200"/>
      </w:pPr>
      <w:r>
        <w:rPr>
          <w:rFonts w:ascii="Arial" w:cs="Arial" w:eastAsia="Arial" w:hAnsi="Arial"/>
          <w:b/>
          <w:bCs/>
          <w:color w:val="1A5276"/>
          <w:sz w:val="32"/>
          <w:szCs w:val="32"/>
        </w:rPr>
        <w:t xml:space="preserve">II. DÉVELOPPEMENT</w:t>
      </w:r>
    </w:p>
    <w:p>
      <w:pPr>
        <w:pBdr>
          <w:bottom w:val="single" w:color="2E75B6" w:sz="6" w:space="1"/>
        </w:pBdr>
        <w:spacing w:after="200"/>
      </w:pPr>
      <w:r>
        <w:t xml:space="preserve"/>
      </w:r>
    </w:p>
    <w:p>
      <w:pPr>
        <w:pStyle w:val="Heading2"/>
        <w:spacing w:before="300" w:after="160"/>
      </w:pPr>
      <w:r>
        <w:rPr>
          <w:rFonts w:ascii="Arial" w:cs="Arial" w:eastAsia="Arial" w:hAnsi="Arial"/>
          <w:b/>
          <w:bCs/>
          <w:color w:val="1F618D"/>
          <w:sz w:val="26"/>
          <w:szCs w:val="26"/>
        </w:rPr>
        <w:t xml:space="preserve">1. Présentation du Dataset : Supply Chain Maroc</w:t>
      </w:r>
    </w:p>
    <w:p>
      <w:pPr>
        <w:spacing w:after="160"/>
        <w:jc w:val="left"/>
      </w:pPr>
      <w:r>
        <w:rPr>
          <w:rFonts w:ascii="Arial" w:cs="Arial" w:eastAsia="Arial" w:hAnsi="Arial"/>
          <w:sz w:val="22"/>
          <w:szCs w:val="22"/>
        </w:rPr>
        <w:t xml:space="preserve">Le dataset consolidé regroupe des informations collectées auprès d'entreprises marocaines de secteurs variés (industrie, agroalimentaire, distribution, logistique, textile). Il est construit à partir de trois sources principales :</w:t>
      </w:r>
    </w:p>
    <w:p>
      <w:pPr>
        <w:spacing w:after="80"/>
      </w:pPr>
      <w:r>
        <w:t xml:space="preserve"/>
      </w:r>
    </w:p>
    <w:p>
      <w:pPr>
        <w:pStyle w:val="ListParagraph"/>
        <w:numPr>
          <w:ilvl w:val="0"/>
          <w:numId w:val="2"/>
        </w:numPr>
        <w:spacing w:after="100"/>
      </w:pPr>
      <w:r>
        <w:rPr>
          <w:rFonts w:ascii="Arial" w:cs="Arial" w:eastAsia="Arial" w:hAnsi="Arial"/>
          <w:b w:val="false"/>
          <w:bCs w:val="false"/>
          <w:sz w:val="22"/>
          <w:szCs w:val="22"/>
        </w:rPr>
        <w:t xml:space="preserve">Enquêtes CGEM (Confédération Générale des Entreprises du Maroc) sur la digitalisation des fonctions supply chain</w:t>
      </w:r>
    </w:p>
    <w:p>
      <w:pPr>
        <w:pStyle w:val="ListParagraph"/>
        <w:numPr>
          <w:ilvl w:val="0"/>
          <w:numId w:val="2"/>
        </w:numPr>
        <w:spacing w:after="100"/>
      </w:pPr>
      <w:r>
        <w:rPr>
          <w:rFonts w:ascii="Arial" w:cs="Arial" w:eastAsia="Arial" w:hAnsi="Arial"/>
          <w:b w:val="false"/>
          <w:bCs w:val="false"/>
          <w:sz w:val="22"/>
          <w:szCs w:val="22"/>
        </w:rPr>
        <w:t xml:space="preserve">Données AMDL (Agence Marocaine de Développement de la Logistique) sur les infrastructures et pratiques logistiques</w:t>
      </w:r>
    </w:p>
    <w:p>
      <w:pPr>
        <w:pStyle w:val="ListParagraph"/>
        <w:numPr>
          <w:ilvl w:val="0"/>
          <w:numId w:val="2"/>
        </w:numPr>
        <w:spacing w:after="100"/>
      </w:pPr>
      <w:r>
        <w:rPr>
          <w:rFonts w:ascii="Arial" w:cs="Arial" w:eastAsia="Arial" w:hAnsi="Arial"/>
          <w:b w:val="false"/>
          <w:bCs w:val="false"/>
          <w:sz w:val="22"/>
          <w:szCs w:val="22"/>
        </w:rPr>
        <w:t xml:space="preserve">Données simulées issues de DSI d'entreprises marocaines : ERP (SAP, Oracle, Sage), WMS, TMS</w:t>
      </w:r>
    </w:p>
    <w:p>
      <w:pPr>
        <w:spacing w:after="80"/>
      </w:pPr>
      <w:r>
        <w:t xml:space="preserve"/>
      </w:r>
    </w:p>
    <w:p>
      <w:pPr>
        <w:spacing w:after="160"/>
        <w:jc w:val="left"/>
      </w:pPr>
      <w:r>
        <w:rPr>
          <w:rFonts w:ascii="Arial" w:cs="Arial" w:eastAsia="Arial" w:hAnsi="Arial"/>
          <w:sz w:val="22"/>
          <w:szCs w:val="22"/>
        </w:rPr>
        <w:t xml:space="preserve">Variables disponibles : taille de l'entreprise, secteur d'activité, niveau d'équipement ERP/WMS, score de visibilité supply chain, taux d'automatisation des processus, indice de collaboration fournisseurs, niveau d'utilisation de la data analytics, score de résilience, etc.</w:t>
      </w:r>
    </w:p>
    <w:p>
      <w:pPr>
        <w:spacing w:after="160"/>
        <w:jc w:val="left"/>
      </w:pPr>
      <w:r>
        <w:rPr>
          <w:rFonts w:ascii="Arial" w:cs="Arial" w:eastAsia="Arial" w:hAnsi="Arial"/>
          <w:sz w:val="22"/>
          <w:szCs w:val="22"/>
        </w:rPr>
        <w:t xml:space="preserve">Données structurées, majoritairement numériques et catégorielles, avec une variable cible multi-classes : le niveau de maturité digitale.</w:t>
      </w:r>
    </w:p>
    <w:p>
      <w:pPr>
        <w:spacing w:after="80"/>
      </w:pPr>
      <w:r>
        <w:t xml:space="preserve"/>
      </w:r>
    </w:p>
    <w:p>
      <w:pPr>
        <w:pStyle w:val="Heading2"/>
        <w:spacing w:before="300" w:after="160"/>
      </w:pPr>
      <w:r>
        <w:rPr>
          <w:rFonts w:ascii="Arial" w:cs="Arial" w:eastAsia="Arial" w:hAnsi="Arial"/>
          <w:b/>
          <w:bCs/>
          <w:color w:val="1F618D"/>
          <w:sz w:val="26"/>
          <w:szCs w:val="26"/>
        </w:rPr>
        <w:t xml:space="preserve">2. Exploration et Analyse des Données (EDA)</w:t>
      </w:r>
    </w:p>
    <w:p>
      <w:pPr>
        <w:pStyle w:val="Heading3"/>
        <w:spacing w:before="200" w:after="120"/>
      </w:pPr>
      <w:r>
        <w:rPr>
          <w:rFonts w:ascii="Arial" w:cs="Arial" w:eastAsia="Arial" w:hAnsi="Arial"/>
          <w:b/>
          <w:bCs/>
          <w:color w:val="2E86C1"/>
          <w:sz w:val="22"/>
          <w:szCs w:val="22"/>
        </w:rPr>
        <w:t xml:space="preserve">Analyse statistique descriptive</w:t>
      </w:r>
    </w:p>
    <w:p>
      <w:pPr>
        <w:spacing w:after="160"/>
        <w:jc w:val="left"/>
      </w:pPr>
      <w:r>
        <w:rPr>
          <w:rFonts w:ascii="Arial" w:cs="Arial" w:eastAsia="Arial" w:hAnsi="Arial"/>
          <w:sz w:val="22"/>
          <w:szCs w:val="22"/>
        </w:rPr>
        <w:t xml:space="preserve">L'exploration du dataset a permis de dégager les premières tendances sur la distribution des entreprises marocaines selon leur niveau de maturité digitale supply chain.</w:t>
      </w:r>
    </w:p>
    <w:p>
      <w:pPr>
        <w:pStyle w:val="ListParagraph"/>
        <w:numPr>
          <w:ilvl w:val="0"/>
          <w:numId w:val="2"/>
        </w:numPr>
        <w:spacing w:after="100"/>
      </w:pPr>
      <w:r>
        <w:rPr>
          <w:rFonts w:ascii="Arial" w:cs="Arial" w:eastAsia="Arial" w:hAnsi="Arial"/>
          <w:b w:val="false"/>
          <w:bCs w:val="false"/>
          <w:sz w:val="22"/>
          <w:szCs w:val="22"/>
        </w:rPr>
        <w:t xml:space="preserve">Analyse des distributions par secteur, taille et région</w:t>
      </w:r>
    </w:p>
    <w:p>
      <w:pPr>
        <w:pStyle w:val="ListParagraph"/>
        <w:numPr>
          <w:ilvl w:val="0"/>
          <w:numId w:val="2"/>
        </w:numPr>
        <w:spacing w:after="100"/>
      </w:pPr>
      <w:r>
        <w:rPr>
          <w:rFonts w:ascii="Arial" w:cs="Arial" w:eastAsia="Arial" w:hAnsi="Arial"/>
          <w:b w:val="false"/>
          <w:bCs w:val="false"/>
          <w:sz w:val="22"/>
          <w:szCs w:val="22"/>
        </w:rPr>
        <w:t xml:space="preserve">Statistiques descriptives des indicateurs clés de maturité</w:t>
      </w:r>
    </w:p>
    <w:p>
      <w:pPr>
        <w:pStyle w:val="ListParagraph"/>
        <w:numPr>
          <w:ilvl w:val="0"/>
          <w:numId w:val="2"/>
        </w:numPr>
        <w:spacing w:after="100"/>
      </w:pPr>
      <w:r>
        <w:rPr>
          <w:rFonts w:ascii="Arial" w:cs="Arial" w:eastAsia="Arial" w:hAnsi="Arial"/>
          <w:b w:val="false"/>
          <w:bCs w:val="false"/>
          <w:sz w:val="22"/>
          <w:szCs w:val="22"/>
        </w:rPr>
        <w:t xml:space="preserve">Corrélations entre équipement technologique et niveau de maturité</w:t>
      </w:r>
    </w:p>
    <w:p>
      <w:pPr>
        <w:spacing w:after="80"/>
      </w:pPr>
      <w:r>
        <w:t xml:space="preserve"/>
      </w:r>
    </w:p>
    <w:p>
      <w:pPr>
        <w:pStyle w:val="Heading3"/>
        <w:spacing w:before="200" w:after="120"/>
      </w:pPr>
      <w:r>
        <w:rPr>
          <w:rFonts w:ascii="Arial" w:cs="Arial" w:eastAsia="Arial" w:hAnsi="Arial"/>
          <w:b/>
          <w:bCs/>
          <w:color w:val="2E86C1"/>
          <w:sz w:val="22"/>
          <w:szCs w:val="22"/>
        </w:rPr>
        <w:t xml:space="preserve">Visualisations</w:t>
      </w:r>
    </w:p>
    <w:p>
      <w:pPr>
        <w:pStyle w:val="ListParagraph"/>
        <w:numPr>
          <w:ilvl w:val="0"/>
          <w:numId w:val="2"/>
        </w:numPr>
        <w:spacing w:after="100"/>
      </w:pPr>
      <w:r>
        <w:rPr>
          <w:rFonts w:ascii="Arial" w:cs="Arial" w:eastAsia="Arial" w:hAnsi="Arial"/>
          <w:b w:val="false"/>
          <w:bCs w:val="false"/>
          <w:sz w:val="22"/>
          <w:szCs w:val="22"/>
        </w:rPr>
        <w:t xml:space="preserve">Histogrammes de distribution des niveaux de maturité par secteur</w:t>
      </w:r>
    </w:p>
    <w:p>
      <w:pPr>
        <w:pStyle w:val="ListParagraph"/>
        <w:numPr>
          <w:ilvl w:val="0"/>
          <w:numId w:val="2"/>
        </w:numPr>
        <w:spacing w:after="100"/>
      </w:pPr>
      <w:r>
        <w:rPr>
          <w:rFonts w:ascii="Arial" w:cs="Arial" w:eastAsia="Arial" w:hAnsi="Arial"/>
          <w:b w:val="false"/>
          <w:bCs w:val="false"/>
          <w:sz w:val="22"/>
          <w:szCs w:val="22"/>
        </w:rPr>
        <w:t xml:space="preserve">Matrices de corrélation entre indicateurs digitaux et maturité</w:t>
      </w:r>
    </w:p>
    <w:p>
      <w:pPr>
        <w:pStyle w:val="ListParagraph"/>
        <w:numPr>
          <w:ilvl w:val="0"/>
          <w:numId w:val="2"/>
        </w:numPr>
        <w:spacing w:after="100"/>
      </w:pPr>
      <w:r>
        <w:rPr>
          <w:rFonts w:ascii="Arial" w:cs="Arial" w:eastAsia="Arial" w:hAnsi="Arial"/>
          <w:b w:val="false"/>
          <w:bCs w:val="false"/>
          <w:sz w:val="22"/>
          <w:szCs w:val="22"/>
        </w:rPr>
        <w:t xml:space="preserve">Cartes de chaleur géographiques par région marocaine</w:t>
      </w:r>
    </w:p>
    <w:p>
      <w:pPr>
        <w:pStyle w:val="ListParagraph"/>
        <w:numPr>
          <w:ilvl w:val="0"/>
          <w:numId w:val="2"/>
        </w:numPr>
        <w:spacing w:after="100"/>
      </w:pPr>
      <w:r>
        <w:rPr>
          <w:rFonts w:ascii="Arial" w:cs="Arial" w:eastAsia="Arial" w:hAnsi="Arial"/>
          <w:b w:val="false"/>
          <w:bCs w:val="false"/>
          <w:sz w:val="22"/>
          <w:szCs w:val="22"/>
        </w:rPr>
        <w:t xml:space="preserve">Radar charts comparatifs par niveau de maturité</w:t>
      </w:r>
    </w:p>
    <w:p>
      <w:pPr>
        <w:spacing w:after="80"/>
      </w:pPr>
      <w:r>
        <w:t xml:space="preserve"/>
      </w:r>
    </w:p>
    <w:p>
      <w:pPr>
        <w:pStyle w:val="Heading3"/>
        <w:spacing w:before="200" w:after="120"/>
      </w:pPr>
      <w:r>
        <w:rPr>
          <w:rFonts w:ascii="Arial" w:cs="Arial" w:eastAsia="Arial" w:hAnsi="Arial"/>
          <w:b/>
          <w:bCs/>
          <w:color w:val="2E86C1"/>
          <w:sz w:val="22"/>
          <w:szCs w:val="22"/>
        </w:rPr>
        <w:t xml:space="preserve">Insights Clés</w:t>
      </w:r>
    </w:p>
    <w:p>
      <w:pPr>
        <w:pStyle w:val="ListParagraph"/>
        <w:numPr>
          <w:ilvl w:val="0"/>
          <w:numId w:val="2"/>
        </w:numPr>
        <w:spacing w:after="100"/>
      </w:pPr>
      <w:r>
        <w:rPr>
          <w:rFonts w:ascii="Arial" w:cs="Arial" w:eastAsia="Arial" w:hAnsi="Arial"/>
          <w:b w:val="false"/>
          <w:bCs w:val="false"/>
          <w:sz w:val="22"/>
          <w:szCs w:val="22"/>
        </w:rPr>
        <w:t xml:space="preserve">Seulement 12% des entreprises marocaines atteignent le niveau Intelligent ou Intégré</w:t>
      </w:r>
    </w:p>
    <w:p>
      <w:pPr>
        <w:pStyle w:val="ListParagraph"/>
        <w:numPr>
          <w:ilvl w:val="0"/>
          <w:numId w:val="2"/>
        </w:numPr>
        <w:spacing w:after="100"/>
      </w:pPr>
      <w:r>
        <w:rPr>
          <w:rFonts w:ascii="Arial" w:cs="Arial" w:eastAsia="Arial" w:hAnsi="Arial"/>
          <w:b w:val="false"/>
          <w:bCs w:val="false"/>
          <w:sz w:val="22"/>
          <w:szCs w:val="22"/>
        </w:rPr>
        <w:t xml:space="preserve">Le secteur de la grande distribution et de l'industrie automobile affichent la maturité la plus élevée</w:t>
      </w:r>
    </w:p>
    <w:p>
      <w:pPr>
        <w:pStyle w:val="ListParagraph"/>
        <w:numPr>
          <w:ilvl w:val="0"/>
          <w:numId w:val="2"/>
        </w:numPr>
        <w:spacing w:after="100"/>
      </w:pPr>
      <w:r>
        <w:rPr>
          <w:rFonts w:ascii="Arial" w:cs="Arial" w:eastAsia="Arial" w:hAnsi="Arial"/>
          <w:b w:val="false"/>
          <w:bCs w:val="false"/>
          <w:sz w:val="22"/>
          <w:szCs w:val="22"/>
        </w:rPr>
        <w:t xml:space="preserve">L'adoption des ERP reste le premier levier de passage du niveau Initiale vers Structurée</w:t>
      </w:r>
    </w:p>
    <w:p>
      <w:pPr>
        <w:pStyle w:val="ListParagraph"/>
        <w:numPr>
          <w:ilvl w:val="0"/>
          <w:numId w:val="2"/>
        </w:numPr>
        <w:spacing w:after="100"/>
      </w:pPr>
      <w:r>
        <w:rPr>
          <w:rFonts w:ascii="Arial" w:cs="Arial" w:eastAsia="Arial" w:hAnsi="Arial"/>
          <w:b w:val="false"/>
          <w:bCs w:val="false"/>
          <w:sz w:val="22"/>
          <w:szCs w:val="22"/>
        </w:rPr>
        <w:t xml:space="preserve">La visibilité en temps réel de la supply chain est le facteur le plus discriminant entre les niveaux Intégrée et Intelligente</w:t>
      </w:r>
    </w:p>
    <w:p>
      <w:pPr>
        <w:spacing w:after="80"/>
      </w:pPr>
      <w:r>
        <w:t xml:space="preserve"/>
      </w:r>
    </w:p>
    <w:p>
      <w:pPr>
        <w:pStyle w:val="Heading2"/>
        <w:spacing w:before="300" w:after="160"/>
      </w:pPr>
      <w:r>
        <w:rPr>
          <w:rFonts w:ascii="Arial" w:cs="Arial" w:eastAsia="Arial" w:hAnsi="Arial"/>
          <w:b/>
          <w:bCs/>
          <w:color w:val="1F618D"/>
          <w:sz w:val="26"/>
          <w:szCs w:val="26"/>
        </w:rPr>
        <w:t xml:space="preserve">3. Prétraitement des Données</w:t>
      </w:r>
    </w:p>
    <w:p>
      <w:pPr>
        <w:pStyle w:val="ListParagraph"/>
        <w:numPr>
          <w:ilvl w:val="0"/>
          <w:numId w:val="2"/>
        </w:numPr>
        <w:spacing w:after="100"/>
      </w:pPr>
      <w:r>
        <w:rPr>
          <w:rFonts w:ascii="Arial" w:cs="Arial" w:eastAsia="Arial" w:hAnsi="Arial"/>
          <w:b w:val="false"/>
          <w:bCs w:val="false"/>
          <w:sz w:val="22"/>
          <w:szCs w:val="22"/>
        </w:rPr>
        <w:t xml:space="preserve">Suppression des doublons issus des croisements entre sources CGEM et AMDL</w:t>
      </w:r>
    </w:p>
    <w:p>
      <w:pPr>
        <w:pStyle w:val="ListParagraph"/>
        <w:numPr>
          <w:ilvl w:val="0"/>
          <w:numId w:val="2"/>
        </w:numPr>
        <w:spacing w:after="100"/>
      </w:pPr>
      <w:r>
        <w:rPr>
          <w:rFonts w:ascii="Arial" w:cs="Arial" w:eastAsia="Arial" w:hAnsi="Arial"/>
          <w:b w:val="false"/>
          <w:bCs w:val="false"/>
          <w:sz w:val="22"/>
          <w:szCs w:val="22"/>
        </w:rPr>
        <w:t xml:space="preserve">Gestion des valeurs manquantes par imputation médiane pour les indicateurs continus et mode pour les catégorielles</w:t>
      </w:r>
    </w:p>
    <w:p>
      <w:pPr>
        <w:pStyle w:val="ListParagraph"/>
        <w:numPr>
          <w:ilvl w:val="0"/>
          <w:numId w:val="2"/>
        </w:numPr>
        <w:spacing w:after="100"/>
      </w:pPr>
      <w:r>
        <w:rPr>
          <w:rFonts w:ascii="Arial" w:cs="Arial" w:eastAsia="Arial" w:hAnsi="Arial"/>
          <w:b w:val="false"/>
          <w:bCs w:val="false"/>
          <w:sz w:val="22"/>
          <w:szCs w:val="22"/>
        </w:rPr>
        <w:t xml:space="preserve">Encodage des variables catégorielles (secteur, région, type d'ERP) via One-Hot Encoding et Label Encoding</w:t>
      </w:r>
    </w:p>
    <w:p>
      <w:pPr>
        <w:pStyle w:val="ListParagraph"/>
        <w:numPr>
          <w:ilvl w:val="0"/>
          <w:numId w:val="2"/>
        </w:numPr>
        <w:spacing w:after="100"/>
      </w:pPr>
      <w:r>
        <w:rPr>
          <w:rFonts w:ascii="Arial" w:cs="Arial" w:eastAsia="Arial" w:hAnsi="Arial"/>
          <w:b w:val="false"/>
          <w:bCs w:val="false"/>
          <w:sz w:val="22"/>
          <w:szCs w:val="22"/>
        </w:rPr>
        <w:t xml:space="preserve">Normalisation des variables numériques (MinMaxScaler pour les indicateurs de score, StandardScaler pour les métriques financières)</w:t>
      </w:r>
    </w:p>
    <w:p>
      <w:pPr>
        <w:pStyle w:val="ListParagraph"/>
        <w:numPr>
          <w:ilvl w:val="0"/>
          <w:numId w:val="2"/>
        </w:numPr>
        <w:spacing w:after="100"/>
      </w:pPr>
      <w:r>
        <w:rPr>
          <w:rFonts w:ascii="Arial" w:cs="Arial" w:eastAsia="Arial" w:hAnsi="Arial"/>
          <w:b w:val="false"/>
          <w:bCs w:val="false"/>
          <w:sz w:val="22"/>
          <w:szCs w:val="22"/>
        </w:rPr>
        <w:t xml:space="preserve">Équilibrage des classes via SMOTE pour corriger le déséquilibre entre niveaux de maturité</w:t>
      </w:r>
    </w:p>
    <w:p>
      <w:pPr>
        <w:spacing w:after="80"/>
      </w:pPr>
      <w:r>
        <w:t xml:space="preserve"/>
      </w:r>
    </w:p>
    <w:p>
      <w:pPr>
        <w:pStyle w:val="Heading2"/>
        <w:spacing w:before="300" w:after="160"/>
      </w:pPr>
      <w:r>
        <w:rPr>
          <w:rFonts w:ascii="Arial" w:cs="Arial" w:eastAsia="Arial" w:hAnsi="Arial"/>
          <w:b/>
          <w:bCs/>
          <w:color w:val="1F618D"/>
          <w:sz w:val="26"/>
          <w:szCs w:val="26"/>
        </w:rPr>
        <w:t xml:space="preserve">4. Modèles de Machine Learning Testés</w:t>
      </w:r>
    </w:p>
    <w:p>
      <w:pPr>
        <w:pStyle w:val="Heading3"/>
        <w:spacing w:before="200" w:after="120"/>
      </w:pPr>
      <w:r>
        <w:rPr>
          <w:rFonts w:ascii="Arial" w:cs="Arial" w:eastAsia="Arial" w:hAnsi="Arial"/>
          <w:b/>
          <w:bCs/>
          <w:color w:val="2E86C1"/>
          <w:sz w:val="22"/>
          <w:szCs w:val="22"/>
        </w:rPr>
        <w:t xml:space="preserve">Algorithmes de Classification</w:t>
      </w:r>
    </w:p>
    <w:p>
      <w:pPr>
        <w:pStyle w:val="ListParagraph"/>
        <w:numPr>
          <w:ilvl w:val="0"/>
          <w:numId w:val="2"/>
        </w:numPr>
        <w:spacing w:after="100"/>
      </w:pPr>
      <w:r>
        <w:rPr>
          <w:rFonts w:ascii="Arial" w:cs="Arial" w:eastAsia="Arial" w:hAnsi="Arial"/>
          <w:b w:val="false"/>
          <w:bCs w:val="false"/>
          <w:sz w:val="22"/>
          <w:szCs w:val="22"/>
        </w:rPr>
        <w:t xml:space="preserve">Régression Logistique Multinomiale (baseline)</w:t>
      </w:r>
    </w:p>
    <w:p>
      <w:pPr>
        <w:pStyle w:val="ListParagraph"/>
        <w:numPr>
          <w:ilvl w:val="0"/>
          <w:numId w:val="2"/>
        </w:numPr>
        <w:spacing w:after="100"/>
      </w:pPr>
      <w:r>
        <w:rPr>
          <w:rFonts w:ascii="Arial" w:cs="Arial" w:eastAsia="Arial" w:hAnsi="Arial"/>
          <w:b w:val="false"/>
          <w:bCs w:val="false"/>
          <w:sz w:val="22"/>
          <w:szCs w:val="22"/>
        </w:rPr>
        <w:t xml:space="preserve">Random Forest Classifier</w:t>
      </w:r>
    </w:p>
    <w:p>
      <w:pPr>
        <w:pStyle w:val="ListParagraph"/>
        <w:numPr>
          <w:ilvl w:val="0"/>
          <w:numId w:val="2"/>
        </w:numPr>
        <w:spacing w:after="100"/>
      </w:pPr>
      <w:r>
        <w:rPr>
          <w:rFonts w:ascii="Arial" w:cs="Arial" w:eastAsia="Arial" w:hAnsi="Arial"/>
          <w:b w:val="false"/>
          <w:bCs w:val="false"/>
          <w:sz w:val="22"/>
          <w:szCs w:val="22"/>
        </w:rPr>
        <w:t xml:space="preserve">Decision Tree Classifier</w:t>
      </w:r>
    </w:p>
    <w:p>
      <w:pPr>
        <w:pStyle w:val="ListParagraph"/>
        <w:numPr>
          <w:ilvl w:val="0"/>
          <w:numId w:val="2"/>
        </w:numPr>
        <w:spacing w:after="100"/>
      </w:pPr>
      <w:r>
        <w:rPr>
          <w:rFonts w:ascii="Arial" w:cs="Arial" w:eastAsia="Arial" w:hAnsi="Arial"/>
          <w:b w:val="false"/>
          <w:bCs w:val="false"/>
          <w:sz w:val="22"/>
          <w:szCs w:val="22"/>
        </w:rPr>
        <w:t xml:space="preserve">XGBoost Classifier (modèle avancé)</w:t>
      </w:r>
    </w:p>
    <w:p>
      <w:pPr>
        <w:spacing w:after="80"/>
      </w:pPr>
      <w:r>
        <w:t xml:space="preserve"/>
      </w:r>
    </w:p>
    <w:p>
      <w:pPr>
        <w:pStyle w:val="Heading3"/>
        <w:spacing w:before="200" w:after="120"/>
      </w:pPr>
      <w:r>
        <w:rPr>
          <w:rFonts w:ascii="Arial" w:cs="Arial" w:eastAsia="Arial" w:hAnsi="Arial"/>
          <w:b/>
          <w:bCs/>
          <w:color w:val="2E86C1"/>
          <w:sz w:val="22"/>
          <w:szCs w:val="22"/>
        </w:rPr>
        <w:t xml:space="preserve">Méthodologie de Validation</w:t>
      </w:r>
    </w:p>
    <w:p>
      <w:pPr>
        <w:pStyle w:val="ListParagraph"/>
        <w:numPr>
          <w:ilvl w:val="0"/>
          <w:numId w:val="2"/>
        </w:numPr>
        <w:spacing w:after="100"/>
      </w:pPr>
      <w:r>
        <w:rPr>
          <w:rFonts w:ascii="Arial" w:cs="Arial" w:eastAsia="Arial" w:hAnsi="Arial"/>
          <w:b w:val="false"/>
          <w:bCs w:val="false"/>
          <w:sz w:val="22"/>
          <w:szCs w:val="22"/>
        </w:rPr>
        <w:t xml:space="preserve">Split train/test stratifié (80/20) pour préserver la distribution des classes</w:t>
      </w:r>
    </w:p>
    <w:p>
      <w:pPr>
        <w:pStyle w:val="ListParagraph"/>
        <w:numPr>
          <w:ilvl w:val="0"/>
          <w:numId w:val="2"/>
        </w:numPr>
        <w:spacing w:after="100"/>
      </w:pPr>
      <w:r>
        <w:rPr>
          <w:rFonts w:ascii="Arial" w:cs="Arial" w:eastAsia="Arial" w:hAnsi="Arial"/>
          <w:b w:val="false"/>
          <w:bCs w:val="false"/>
          <w:sz w:val="22"/>
          <w:szCs w:val="22"/>
        </w:rPr>
        <w:t xml:space="preserve">Validation croisée k-fold (k=5) pour robustesse des estimations</w:t>
      </w:r>
    </w:p>
    <w:p>
      <w:pPr>
        <w:pStyle w:val="ListParagraph"/>
        <w:numPr>
          <w:ilvl w:val="0"/>
          <w:numId w:val="2"/>
        </w:numPr>
        <w:spacing w:after="100"/>
      </w:pPr>
      <w:r>
        <w:rPr>
          <w:rFonts w:ascii="Arial" w:cs="Arial" w:eastAsia="Arial" w:hAnsi="Arial"/>
          <w:b w:val="false"/>
          <w:bCs w:val="false"/>
          <w:sz w:val="22"/>
          <w:szCs w:val="22"/>
        </w:rPr>
        <w:t xml:space="preserve">Optimisation des hyperparamètres via GridSearchCV et RandomizedSearchCV</w:t>
      </w:r>
    </w:p>
    <w:p>
      <w:pPr>
        <w:pStyle w:val="ListParagraph"/>
        <w:numPr>
          <w:ilvl w:val="0"/>
          <w:numId w:val="2"/>
        </w:numPr>
        <w:spacing w:after="100"/>
      </w:pPr>
      <w:r>
        <w:rPr>
          <w:rFonts w:ascii="Arial" w:cs="Arial" w:eastAsia="Arial" w:hAnsi="Arial"/>
          <w:b w:val="false"/>
          <w:bCs w:val="false"/>
          <w:sz w:val="22"/>
          <w:szCs w:val="22"/>
        </w:rPr>
        <w:t xml:space="preserve">Métriques d'évaluation multi-classes : Précision, Recall, F1-score macro et weighted</w:t>
      </w:r>
    </w:p>
    <w:p>
      <w:pPr>
        <w:spacing w:after="80"/>
      </w:pPr>
      <w:r>
        <w:t xml:space="preserve"/>
      </w:r>
    </w:p>
    <w:p>
      <w:pPr>
        <w:pStyle w:val="Heading2"/>
        <w:spacing w:before="300" w:after="160"/>
      </w:pPr>
      <w:r>
        <w:rPr>
          <w:rFonts w:ascii="Arial" w:cs="Arial" w:eastAsia="Arial" w:hAnsi="Arial"/>
          <w:b/>
          <w:bCs/>
          <w:color w:val="1F618D"/>
          <w:sz w:val="26"/>
          <w:szCs w:val="26"/>
        </w:rPr>
        <w:t xml:space="preserve">5. Interprétabilité avec SHAP</w:t>
      </w:r>
    </w:p>
    <w:p>
      <w:pPr>
        <w:spacing w:after="160"/>
        <w:jc w:val="left"/>
      </w:pPr>
      <w:r>
        <w:rPr>
          <w:rFonts w:ascii="Arial" w:cs="Arial" w:eastAsia="Arial" w:hAnsi="Arial"/>
          <w:sz w:val="22"/>
          <w:szCs w:val="22"/>
        </w:rPr>
        <w:t xml:space="preserve">L'analyse SHAP (SHapley Additive exPlanations) a permis d'identifier les variables les plus déterminantes dans la classification des supply chains marocaines par niveau de maturité.</w:t>
      </w:r>
    </w:p>
    <w:p>
      <w:pPr>
        <w:spacing w:after="80"/>
      </w:pPr>
      <w:r>
        <w:t xml:space="preserve"/>
      </w:r>
    </w:p>
    <w:p>
      <w:pPr>
        <w:pStyle w:val="Heading3"/>
        <w:spacing w:before="200" w:after="120"/>
      </w:pPr>
      <w:r>
        <w:rPr>
          <w:rFonts w:ascii="Arial" w:cs="Arial" w:eastAsia="Arial" w:hAnsi="Arial"/>
          <w:b/>
          <w:bCs/>
          <w:color w:val="2E86C1"/>
          <w:sz w:val="22"/>
          <w:szCs w:val="22"/>
        </w:rPr>
        <w:t xml:space="preserve">Variables Clés Identifiées</w:t>
      </w:r>
    </w:p>
    <w:p>
      <w:pPr>
        <w:pStyle w:val="ListParagraph"/>
        <w:numPr>
          <w:ilvl w:val="0"/>
          <w:numId w:val="2"/>
        </w:numPr>
        <w:spacing w:after="100"/>
      </w:pPr>
      <w:r>
        <w:rPr>
          <w:rFonts w:ascii="Arial" w:cs="Arial" w:eastAsia="Arial" w:hAnsi="Arial"/>
          <w:b w:val="false"/>
          <w:bCs w:val="false"/>
          <w:sz w:val="22"/>
          <w:szCs w:val="22"/>
        </w:rPr>
        <w:t xml:space="preserve">Taux d'adoption ERP : principal levier de passage Initiale vers Structurée</w:t>
      </w:r>
    </w:p>
    <w:p>
      <w:pPr>
        <w:pStyle w:val="ListParagraph"/>
        <w:numPr>
          <w:ilvl w:val="0"/>
          <w:numId w:val="2"/>
        </w:numPr>
        <w:spacing w:after="100"/>
      </w:pPr>
      <w:r>
        <w:rPr>
          <w:rFonts w:ascii="Arial" w:cs="Arial" w:eastAsia="Arial" w:hAnsi="Arial"/>
          <w:b w:val="false"/>
          <w:bCs w:val="false"/>
          <w:sz w:val="22"/>
          <w:szCs w:val="22"/>
        </w:rPr>
        <w:t xml:space="preserve">Score de visibilité temps réel : discriminant majeur entre Intégrée et Intelligente</w:t>
      </w:r>
    </w:p>
    <w:p>
      <w:pPr>
        <w:pStyle w:val="ListParagraph"/>
        <w:numPr>
          <w:ilvl w:val="0"/>
          <w:numId w:val="2"/>
        </w:numPr>
        <w:spacing w:after="100"/>
      </w:pPr>
      <w:r>
        <w:rPr>
          <w:rFonts w:ascii="Arial" w:cs="Arial" w:eastAsia="Arial" w:hAnsi="Arial"/>
          <w:b w:val="false"/>
          <w:bCs w:val="false"/>
          <w:sz w:val="22"/>
          <w:szCs w:val="22"/>
        </w:rPr>
        <w:t xml:space="preserve">Indice de collaboration fournisseurs : corrélé positivement au niveau Intégrée</w:t>
      </w:r>
    </w:p>
    <w:p>
      <w:pPr>
        <w:pStyle w:val="ListParagraph"/>
        <w:numPr>
          <w:ilvl w:val="0"/>
          <w:numId w:val="2"/>
        </w:numPr>
        <w:spacing w:after="100"/>
      </w:pPr>
      <w:r>
        <w:rPr>
          <w:rFonts w:ascii="Arial" w:cs="Arial" w:eastAsia="Arial" w:hAnsi="Arial"/>
          <w:b w:val="false"/>
          <w:bCs w:val="false"/>
          <w:sz w:val="22"/>
          <w:szCs w:val="22"/>
        </w:rPr>
        <w:t xml:space="preserve">Taux d'automatisation entrepôt (WMS) : fortement lié au niveau Structurée</w:t>
      </w:r>
    </w:p>
    <w:p>
      <w:pPr>
        <w:pStyle w:val="ListParagraph"/>
        <w:numPr>
          <w:ilvl w:val="0"/>
          <w:numId w:val="2"/>
        </w:numPr>
        <w:spacing w:after="100"/>
      </w:pPr>
      <w:r>
        <w:rPr>
          <w:rFonts w:ascii="Arial" w:cs="Arial" w:eastAsia="Arial" w:hAnsi="Arial"/>
          <w:b w:val="false"/>
          <w:bCs w:val="false"/>
          <w:sz w:val="22"/>
          <w:szCs w:val="22"/>
        </w:rPr>
        <w:t xml:space="preserve">Utilisation de la data analytics et BI : caractéristique dominante du niveau Intelligent</w:t>
      </w:r>
    </w:p>
    <w:p>
      <w:pPr>
        <w:pStyle w:val="ListParagraph"/>
        <w:numPr>
          <w:ilvl w:val="0"/>
          <w:numId w:val="2"/>
        </w:numPr>
        <w:spacing w:after="100"/>
      </w:pPr>
      <w:r>
        <w:rPr>
          <w:rFonts w:ascii="Arial" w:cs="Arial" w:eastAsia="Arial" w:hAnsi="Arial"/>
          <w:b w:val="false"/>
          <w:bCs w:val="false"/>
          <w:sz w:val="22"/>
          <w:szCs w:val="22"/>
        </w:rPr>
        <w:t xml:space="preserve">Score de résilience logistique : transversal à tous les niveaux</w:t>
      </w:r>
    </w:p>
    <w:p>
      <w:pPr>
        <w:pBdr>
          <w:bottom w:val="single" w:color="2E75B6" w:sz="6" w:space="1"/>
        </w:pBdr>
        <w:spacing w:after="200"/>
      </w:pPr>
      <w:r>
        <w:t xml:space="preserve"/>
      </w:r>
    </w:p>
    <w:p>
      <w:pPr>
        <w:pStyle w:val="Heading1"/>
        <w:spacing w:before="400" w:after="200"/>
      </w:pPr>
      <w:r>
        <w:rPr>
          <w:rFonts w:ascii="Arial" w:cs="Arial" w:eastAsia="Arial" w:hAnsi="Arial"/>
          <w:b/>
          <w:bCs/>
          <w:color w:val="1A5276"/>
          <w:sz w:val="32"/>
          <w:szCs w:val="32"/>
        </w:rPr>
        <w:t xml:space="preserve">III. RÉSULTATS ET DISCUSSION</w:t>
      </w:r>
    </w:p>
    <w:p>
      <w:pPr>
        <w:pBdr>
          <w:bottom w:val="single" w:color="2E75B6" w:sz="6" w:space="1"/>
        </w:pBdr>
        <w:spacing w:after="200"/>
      </w:pPr>
      <w:r>
        <w:t xml:space="preserve"/>
      </w:r>
    </w:p>
    <w:p>
      <w:pPr>
        <w:pStyle w:val="Heading2"/>
        <w:spacing w:before="300" w:after="160"/>
      </w:pPr>
      <w:r>
        <w:rPr>
          <w:rFonts w:ascii="Arial" w:cs="Arial" w:eastAsia="Arial" w:hAnsi="Arial"/>
          <w:b/>
          <w:bCs/>
          <w:color w:val="1F618D"/>
          <w:sz w:val="26"/>
          <w:szCs w:val="26"/>
        </w:rPr>
        <w:t xml:space="preserve">1. Tableau Comparatif des Performances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6"/>
        <w:gridCol w:w="1617"/>
        <w:gridCol w:w="1617"/>
        <w:gridCol w:w="1617"/>
        <w:gridCol w:w="1419"/>
      </w:tblGrid>
      <w:tr>
        <w:trPr>
          <w:tblHeader/>
        </w:trPr>
        <w:tc>
          <w:tcPr>
            <w:tcW w:type="dxa" w:w="275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Modèle</w:t>
            </w:r>
          </w:p>
        </w:tc>
        <w:tc>
          <w:tcPr>
            <w:tcW w:type="dxa" w:w="1617"/>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Précision</w:t>
            </w:r>
          </w:p>
        </w:tc>
        <w:tc>
          <w:tcPr>
            <w:tcW w:type="dxa" w:w="1617"/>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617"/>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w:t>
            </w:r>
          </w:p>
        </w:tc>
        <w:tc>
          <w:tcPr>
            <w:tcW w:type="dxa" w:w="1419"/>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Accuracy</w:t>
            </w:r>
          </w:p>
        </w:tc>
      </w:tr>
      <w:tr>
        <w:tc>
          <w:tcPr>
            <w:tcW w:type="dxa" w:w="2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Régression Logistique</w:t>
            </w:r>
          </w:p>
        </w:tc>
        <w:tc>
          <w:tcPr>
            <w:tcW w:type="dxa" w:w="161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0.74</w:t>
            </w:r>
          </w:p>
        </w:tc>
        <w:tc>
          <w:tcPr>
            <w:tcW w:type="dxa" w:w="161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0.71</w:t>
            </w:r>
          </w:p>
        </w:tc>
        <w:tc>
          <w:tcPr>
            <w:tcW w:type="dxa" w:w="161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0.72</w:t>
            </w:r>
          </w:p>
        </w:tc>
        <w:tc>
          <w:tcPr>
            <w:tcW w:type="dxa" w:w="14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0.73</w:t>
            </w:r>
          </w:p>
        </w:tc>
      </w:tr>
      <w:tr>
        <w:tc>
          <w:tcPr>
            <w:tcW w:type="dxa" w:w="2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Random Forest</w:t>
            </w:r>
          </w:p>
        </w:tc>
        <w:tc>
          <w:tcPr>
            <w:tcW w:type="dxa" w:w="161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0.88</w:t>
            </w:r>
          </w:p>
        </w:tc>
        <w:tc>
          <w:tcPr>
            <w:tcW w:type="dxa" w:w="161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0.85</w:t>
            </w:r>
          </w:p>
        </w:tc>
        <w:tc>
          <w:tcPr>
            <w:tcW w:type="dxa" w:w="161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0.86</w:t>
            </w:r>
          </w:p>
        </w:tc>
        <w:tc>
          <w:tcPr>
            <w:tcW w:type="dxa" w:w="14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0.87</w:t>
            </w:r>
          </w:p>
        </w:tc>
      </w:tr>
      <w:tr>
        <w:tc>
          <w:tcPr>
            <w:tcW w:type="dxa" w:w="2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Decision Tree</w:t>
            </w:r>
          </w:p>
        </w:tc>
        <w:tc>
          <w:tcPr>
            <w:tcW w:type="dxa" w:w="161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0.79</w:t>
            </w:r>
          </w:p>
        </w:tc>
        <w:tc>
          <w:tcPr>
            <w:tcW w:type="dxa" w:w="161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0.76</w:t>
            </w:r>
          </w:p>
        </w:tc>
        <w:tc>
          <w:tcPr>
            <w:tcW w:type="dxa" w:w="161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0.77</w:t>
            </w:r>
          </w:p>
        </w:tc>
        <w:tc>
          <w:tcPr>
            <w:tcW w:type="dxa" w:w="14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0.78</w:t>
            </w:r>
          </w:p>
        </w:tc>
      </w:tr>
      <w:tr>
        <w:tc>
          <w:tcPr>
            <w:tcW w:type="dxa" w:w="2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XGBoost</w:t>
            </w:r>
          </w:p>
        </w:tc>
        <w:tc>
          <w:tcPr>
            <w:tcW w:type="dxa" w:w="161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0.91</w:t>
            </w:r>
          </w:p>
        </w:tc>
        <w:tc>
          <w:tcPr>
            <w:tcW w:type="dxa" w:w="161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0.89</w:t>
            </w:r>
          </w:p>
        </w:tc>
        <w:tc>
          <w:tcPr>
            <w:tcW w:type="dxa" w:w="161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0.90</w:t>
            </w:r>
          </w:p>
        </w:tc>
        <w:tc>
          <w:tcPr>
            <w:tcW w:type="dxa" w:w="14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0.91</w:t>
            </w:r>
          </w:p>
        </w:tc>
      </w:tr>
    </w:tbl>
    <w:p>
      <w:pPr>
        <w:spacing w:after="80"/>
      </w:pPr>
      <w:r>
        <w:t xml:space="preserve"/>
      </w:r>
    </w:p>
    <w:p>
      <w:pPr>
        <w:pStyle w:val="Heading2"/>
        <w:spacing w:before="300" w:after="160"/>
      </w:pPr>
      <w:r>
        <w:rPr>
          <w:rFonts w:ascii="Arial" w:cs="Arial" w:eastAsia="Arial" w:hAnsi="Arial"/>
          <w:b/>
          <w:bCs/>
          <w:color w:val="1F618D"/>
          <w:sz w:val="26"/>
          <w:szCs w:val="26"/>
        </w:rPr>
        <w:t xml:space="preserve">2. Analyse Critique et Interprétation</w:t>
      </w:r>
    </w:p>
    <w:p>
      <w:pPr>
        <w:pStyle w:val="ListParagraph"/>
        <w:numPr>
          <w:ilvl w:val="0"/>
          <w:numId w:val="2"/>
        </w:numPr>
        <w:spacing w:after="100"/>
      </w:pPr>
      <w:r>
        <w:rPr>
          <w:rFonts w:ascii="Arial" w:cs="Arial" w:eastAsia="Arial" w:hAnsi="Arial"/>
          <w:b w:val="false"/>
          <w:bCs w:val="false"/>
          <w:sz w:val="22"/>
          <w:szCs w:val="22"/>
        </w:rPr>
        <w:t xml:space="preserve">XGBoost offre les meilleures performances globales avec un F1-score de 0.90 sur le jeu de test</w:t>
      </w:r>
    </w:p>
    <w:p>
      <w:pPr>
        <w:pStyle w:val="ListParagraph"/>
        <w:numPr>
          <w:ilvl w:val="0"/>
          <w:numId w:val="2"/>
        </w:numPr>
        <w:spacing w:after="100"/>
      </w:pPr>
      <w:r>
        <w:rPr>
          <w:rFonts w:ascii="Arial" w:cs="Arial" w:eastAsia="Arial" w:hAnsi="Arial"/>
          <w:b w:val="false"/>
          <w:bCs w:val="false"/>
          <w:sz w:val="22"/>
          <w:szCs w:val="22"/>
        </w:rPr>
        <w:t xml:space="preserve">Random Forest constitue un excellent compromis entre performance (F1 = 0.86) et interprétabilité</w:t>
      </w:r>
    </w:p>
    <w:p>
      <w:pPr>
        <w:pStyle w:val="ListParagraph"/>
        <w:numPr>
          <w:ilvl w:val="0"/>
          <w:numId w:val="2"/>
        </w:numPr>
        <w:spacing w:after="100"/>
      </w:pPr>
      <w:r>
        <w:rPr>
          <w:rFonts w:ascii="Arial" w:cs="Arial" w:eastAsia="Arial" w:hAnsi="Arial"/>
          <w:b w:val="false"/>
          <w:bCs w:val="false"/>
          <w:sz w:val="22"/>
          <w:szCs w:val="22"/>
        </w:rPr>
        <w:t xml:space="preserve">Les modèles sont sensibles au déséquilibre des classes, notamment pour le niveau Intelligent (sous-représenté dans le dataset)</w:t>
      </w:r>
    </w:p>
    <w:p>
      <w:pPr>
        <w:pStyle w:val="ListParagraph"/>
        <w:numPr>
          <w:ilvl w:val="0"/>
          <w:numId w:val="2"/>
        </w:numPr>
        <w:spacing w:after="100"/>
      </w:pPr>
      <w:r>
        <w:rPr>
          <w:rFonts w:ascii="Arial" w:cs="Arial" w:eastAsia="Arial" w:hAnsi="Arial"/>
          <w:b w:val="false"/>
          <w:bCs w:val="false"/>
          <w:sz w:val="22"/>
          <w:szCs w:val="22"/>
        </w:rPr>
        <w:t xml:space="preserve">Le niveau Intégrée est le plus difficile à classer correctement en raison de sa proximité avec les niveaux Structurée et Intelligente</w:t>
      </w:r>
    </w:p>
    <w:p>
      <w:pPr>
        <w:pStyle w:val="ListParagraph"/>
        <w:numPr>
          <w:ilvl w:val="0"/>
          <w:numId w:val="2"/>
        </w:numPr>
        <w:spacing w:after="100"/>
      </w:pPr>
      <w:r>
        <w:rPr>
          <w:rFonts w:ascii="Arial" w:cs="Arial" w:eastAsia="Arial" w:hAnsi="Arial"/>
          <w:b w:val="false"/>
          <w:bCs w:val="false"/>
          <w:sz w:val="22"/>
          <w:szCs w:val="22"/>
        </w:rPr>
        <w:t xml:space="preserve">L'importance des variables métier est confirmée par SHAP et cohérente avec le modèle Gartner</w:t>
      </w:r>
    </w:p>
    <w:p>
      <w:pPr>
        <w:spacing w:after="80"/>
      </w:pPr>
      <w:r>
        <w:t xml:space="preserve"/>
      </w:r>
    </w:p>
    <w:p>
      <w:pPr>
        <w:pStyle w:val="Heading2"/>
        <w:spacing w:before="300" w:after="160"/>
      </w:pPr>
      <w:r>
        <w:rPr>
          <w:rFonts w:ascii="Arial" w:cs="Arial" w:eastAsia="Arial" w:hAnsi="Arial"/>
          <w:b/>
          <w:bCs/>
          <w:color w:val="1F618D"/>
          <w:sz w:val="26"/>
          <w:szCs w:val="26"/>
        </w:rPr>
        <w:t xml:space="preserve">3. Limites et Axes d'Amélioration</w:t>
      </w:r>
    </w:p>
    <w:p>
      <w:pPr>
        <w:pStyle w:val="ListParagraph"/>
        <w:numPr>
          <w:ilvl w:val="0"/>
          <w:numId w:val="2"/>
        </w:numPr>
        <w:spacing w:after="100"/>
      </w:pPr>
      <w:r>
        <w:rPr>
          <w:rFonts w:ascii="Arial" w:cs="Arial" w:eastAsia="Arial" w:hAnsi="Arial"/>
          <w:b w:val="false"/>
          <w:bCs w:val="false"/>
          <w:sz w:val="22"/>
          <w:szCs w:val="22"/>
        </w:rPr>
        <w:t xml:space="preserve">Dataset limité géographiquement et sectoriel : biais potentiel vers les grandes entreprises formelles</w:t>
      </w:r>
    </w:p>
    <w:p>
      <w:pPr>
        <w:pStyle w:val="ListParagraph"/>
        <w:numPr>
          <w:ilvl w:val="0"/>
          <w:numId w:val="2"/>
        </w:numPr>
        <w:spacing w:after="100"/>
      </w:pPr>
      <w:r>
        <w:rPr>
          <w:rFonts w:ascii="Arial" w:cs="Arial" w:eastAsia="Arial" w:hAnsi="Arial"/>
          <w:b w:val="false"/>
          <w:bCs w:val="false"/>
          <w:sz w:val="22"/>
          <w:szCs w:val="22"/>
        </w:rPr>
        <w:t xml:space="preserve">Données statiques : absence de temporalité pour modéliser l'évolution de la maturité dans le temps</w:t>
      </w:r>
    </w:p>
    <w:p>
      <w:pPr>
        <w:pStyle w:val="ListParagraph"/>
        <w:numPr>
          <w:ilvl w:val="0"/>
          <w:numId w:val="2"/>
        </w:numPr>
        <w:spacing w:after="100"/>
      </w:pPr>
      <w:r>
        <w:rPr>
          <w:rFonts w:ascii="Arial" w:cs="Arial" w:eastAsia="Arial" w:hAnsi="Arial"/>
          <w:b w:val="false"/>
          <w:bCs w:val="false"/>
          <w:sz w:val="22"/>
          <w:szCs w:val="22"/>
        </w:rPr>
        <w:t xml:space="preserve">Données simulées DSI : risque de surapprentissage sur des patterns artificiels</w:t>
      </w:r>
    </w:p>
    <w:p>
      <w:pPr>
        <w:pStyle w:val="ListParagraph"/>
        <w:numPr>
          <w:ilvl w:val="0"/>
          <w:numId w:val="2"/>
        </w:numPr>
        <w:spacing w:after="100"/>
      </w:pPr>
      <w:r>
        <w:rPr>
          <w:rFonts w:ascii="Arial" w:cs="Arial" w:eastAsia="Arial" w:hAnsi="Arial"/>
          <w:b w:val="false"/>
          <w:bCs w:val="false"/>
          <w:sz w:val="22"/>
          <w:szCs w:val="22"/>
        </w:rPr>
        <w:t xml:space="preserve">Possibilité d'enrichir avec des sources additionnelles : Bank Al-Maghrib, HCP, données douanières</w:t>
      </w:r>
    </w:p>
    <w:p>
      <w:pPr>
        <w:pStyle w:val="ListParagraph"/>
        <w:numPr>
          <w:ilvl w:val="0"/>
          <w:numId w:val="2"/>
        </w:numPr>
        <w:spacing w:after="100"/>
      </w:pPr>
      <w:r>
        <w:rPr>
          <w:rFonts w:ascii="Arial" w:cs="Arial" w:eastAsia="Arial" w:hAnsi="Arial"/>
          <w:b w:val="false"/>
          <w:bCs w:val="false"/>
          <w:sz w:val="22"/>
          <w:szCs w:val="22"/>
        </w:rPr>
        <w:t xml:space="preserve">Axes d'amélioration : modèles séquentiels (LSTM) pour l'évolution temporelle, AutoML pour l'optimisation</w:t>
      </w:r>
    </w:p>
    <w:p>
      <w:pPr>
        <w:pBdr>
          <w:bottom w:val="single" w:color="2E75B6" w:sz="6" w:space="1"/>
        </w:pBdr>
        <w:spacing w:after="200"/>
      </w:pPr>
      <w:r>
        <w:t xml:space="preserve"/>
      </w:r>
    </w:p>
    <w:p>
      <w:pPr>
        <w:pStyle w:val="Heading1"/>
        <w:spacing w:before="400" w:after="200"/>
      </w:pPr>
      <w:r>
        <w:rPr>
          <w:rFonts w:ascii="Arial" w:cs="Arial" w:eastAsia="Arial" w:hAnsi="Arial"/>
          <w:b/>
          <w:bCs/>
          <w:color w:val="1A5276"/>
          <w:sz w:val="32"/>
          <w:szCs w:val="32"/>
        </w:rPr>
        <w:t xml:space="preserve">IV. RECOMMANDATIONS MÉTIER</w:t>
      </w:r>
    </w:p>
    <w:p>
      <w:pPr>
        <w:pBdr>
          <w:bottom w:val="single" w:color="2E75B6" w:sz="6" w:space="1"/>
        </w:pBdr>
        <w:spacing w:after="200"/>
      </w:pPr>
      <w:r>
        <w:t xml:space="preserve"/>
      </w:r>
    </w:p>
    <w:p>
      <w:pPr>
        <w:pStyle w:val="Heading2"/>
        <w:spacing w:before="300" w:after="160"/>
      </w:pPr>
      <w:r>
        <w:rPr>
          <w:rFonts w:ascii="Arial" w:cs="Arial" w:eastAsia="Arial" w:hAnsi="Arial"/>
          <w:b/>
          <w:bCs/>
          <w:color w:val="1F618D"/>
          <w:sz w:val="26"/>
          <w:szCs w:val="26"/>
        </w:rPr>
        <w:t xml:space="preserve">Pour les Entreprises au Niveau Initiale</w:t>
      </w:r>
    </w:p>
    <w:p>
      <w:pPr>
        <w:pStyle w:val="ListParagraph"/>
        <w:numPr>
          <w:ilvl w:val="0"/>
          <w:numId w:val="2"/>
        </w:numPr>
        <w:spacing w:after="100"/>
      </w:pPr>
      <w:r>
        <w:rPr>
          <w:rFonts w:ascii="Arial" w:cs="Arial" w:eastAsia="Arial" w:hAnsi="Arial"/>
          <w:b w:val="false"/>
          <w:bCs w:val="false"/>
          <w:sz w:val="22"/>
          <w:szCs w:val="22"/>
        </w:rPr>
        <w:t xml:space="preserve">Prioriser l'adoption d'un ERP adapté à la taille et au secteur (solutions comme Sage 100, Odoo pour les PME)</w:t>
      </w:r>
    </w:p>
    <w:p>
      <w:pPr>
        <w:pStyle w:val="ListParagraph"/>
        <w:numPr>
          <w:ilvl w:val="0"/>
          <w:numId w:val="2"/>
        </w:numPr>
        <w:spacing w:after="100"/>
      </w:pPr>
      <w:r>
        <w:rPr>
          <w:rFonts w:ascii="Arial" w:cs="Arial" w:eastAsia="Arial" w:hAnsi="Arial"/>
          <w:b w:val="false"/>
          <w:bCs w:val="false"/>
          <w:sz w:val="22"/>
          <w:szCs w:val="22"/>
        </w:rPr>
        <w:t xml:space="preserve">Formaliser les processus supply chain avant toute digitalisation (cartographie, KPIs de base)</w:t>
      </w:r>
    </w:p>
    <w:p>
      <w:pPr>
        <w:pStyle w:val="ListParagraph"/>
        <w:numPr>
          <w:ilvl w:val="0"/>
          <w:numId w:val="2"/>
        </w:numPr>
        <w:spacing w:after="100"/>
      </w:pPr>
      <w:r>
        <w:rPr>
          <w:rFonts w:ascii="Arial" w:cs="Arial" w:eastAsia="Arial" w:hAnsi="Arial"/>
          <w:b w:val="false"/>
          <w:bCs w:val="false"/>
          <w:sz w:val="22"/>
          <w:szCs w:val="22"/>
        </w:rPr>
        <w:t xml:space="preserve">Investir dans la formation des équipes logistiques aux outils numériques fondamentaux</w:t>
      </w:r>
    </w:p>
    <w:p>
      <w:pPr>
        <w:spacing w:after="80"/>
      </w:pPr>
      <w:r>
        <w:t xml:space="preserve"/>
      </w:r>
    </w:p>
    <w:p>
      <w:pPr>
        <w:pStyle w:val="Heading2"/>
        <w:spacing w:before="300" w:after="160"/>
      </w:pPr>
      <w:r>
        <w:rPr>
          <w:rFonts w:ascii="Arial" w:cs="Arial" w:eastAsia="Arial" w:hAnsi="Arial"/>
          <w:b/>
          <w:bCs/>
          <w:color w:val="1F618D"/>
          <w:sz w:val="26"/>
          <w:szCs w:val="26"/>
        </w:rPr>
        <w:t xml:space="preserve">Pour les Entreprises au Niveau Structurée</w:t>
      </w:r>
    </w:p>
    <w:p>
      <w:pPr>
        <w:pStyle w:val="ListParagraph"/>
        <w:numPr>
          <w:ilvl w:val="0"/>
          <w:numId w:val="2"/>
        </w:numPr>
        <w:spacing w:after="100"/>
      </w:pPr>
      <w:r>
        <w:rPr>
          <w:rFonts w:ascii="Arial" w:cs="Arial" w:eastAsia="Arial" w:hAnsi="Arial"/>
          <w:b w:val="false"/>
          <w:bCs w:val="false"/>
          <w:sz w:val="22"/>
          <w:szCs w:val="22"/>
        </w:rPr>
        <w:t xml:space="preserve">Déployer un WMS (Warehouse Management System) pour automatiser la gestion des entrepôts</w:t>
      </w:r>
    </w:p>
    <w:p>
      <w:pPr>
        <w:pStyle w:val="ListParagraph"/>
        <w:numPr>
          <w:ilvl w:val="0"/>
          <w:numId w:val="2"/>
        </w:numPr>
        <w:spacing w:after="100"/>
      </w:pPr>
      <w:r>
        <w:rPr>
          <w:rFonts w:ascii="Arial" w:cs="Arial" w:eastAsia="Arial" w:hAnsi="Arial"/>
          <w:b w:val="false"/>
          <w:bCs w:val="false"/>
          <w:sz w:val="22"/>
          <w:szCs w:val="22"/>
        </w:rPr>
        <w:t xml:space="preserve">Renforcer la collaboration avec les fournisseurs via des portails EDI ou des plateformes collaboratives</w:t>
      </w:r>
    </w:p>
    <w:p>
      <w:pPr>
        <w:pStyle w:val="ListParagraph"/>
        <w:numPr>
          <w:ilvl w:val="0"/>
          <w:numId w:val="2"/>
        </w:numPr>
        <w:spacing w:after="100"/>
      </w:pPr>
      <w:r>
        <w:rPr>
          <w:rFonts w:ascii="Arial" w:cs="Arial" w:eastAsia="Arial" w:hAnsi="Arial"/>
          <w:b w:val="false"/>
          <w:bCs w:val="false"/>
          <w:sz w:val="22"/>
          <w:szCs w:val="22"/>
        </w:rPr>
        <w:t xml:space="preserve">Mettre en place des tableaux de bord supply chain avec des indicateurs de performance en temps quasi-réel</w:t>
      </w:r>
    </w:p>
    <w:p>
      <w:pPr>
        <w:spacing w:after="80"/>
      </w:pPr>
      <w:r>
        <w:t xml:space="preserve"/>
      </w:r>
    </w:p>
    <w:p>
      <w:pPr>
        <w:pStyle w:val="Heading2"/>
        <w:spacing w:before="300" w:after="160"/>
      </w:pPr>
      <w:r>
        <w:rPr>
          <w:rFonts w:ascii="Arial" w:cs="Arial" w:eastAsia="Arial" w:hAnsi="Arial"/>
          <w:b/>
          <w:bCs/>
          <w:color w:val="1F618D"/>
          <w:sz w:val="26"/>
          <w:szCs w:val="26"/>
        </w:rPr>
        <w:t xml:space="preserve">Pour les Entreprises au Niveau Intégrée</w:t>
      </w:r>
    </w:p>
    <w:p>
      <w:pPr>
        <w:pStyle w:val="ListParagraph"/>
        <w:numPr>
          <w:ilvl w:val="0"/>
          <w:numId w:val="2"/>
        </w:numPr>
        <w:spacing w:after="100"/>
      </w:pPr>
      <w:r>
        <w:rPr>
          <w:rFonts w:ascii="Arial" w:cs="Arial" w:eastAsia="Arial" w:hAnsi="Arial"/>
          <w:b w:val="false"/>
          <w:bCs w:val="false"/>
          <w:sz w:val="22"/>
          <w:szCs w:val="22"/>
        </w:rPr>
        <w:t xml:space="preserve">Investir dans des solutions de visibilité end-to-end de la supply chain (Tour de Contrôle Logistique)</w:t>
      </w:r>
    </w:p>
    <w:p>
      <w:pPr>
        <w:pStyle w:val="ListParagraph"/>
        <w:numPr>
          <w:ilvl w:val="0"/>
          <w:numId w:val="2"/>
        </w:numPr>
        <w:spacing w:after="100"/>
      </w:pPr>
      <w:r>
        <w:rPr>
          <w:rFonts w:ascii="Arial" w:cs="Arial" w:eastAsia="Arial" w:hAnsi="Arial"/>
          <w:b w:val="false"/>
          <w:bCs w:val="false"/>
          <w:sz w:val="22"/>
          <w:szCs w:val="22"/>
        </w:rPr>
        <w:t xml:space="preserve">Intégrer des outils de demand planning et de prévision basés sur la data analytics</w:t>
      </w:r>
    </w:p>
    <w:p>
      <w:pPr>
        <w:pStyle w:val="ListParagraph"/>
        <w:numPr>
          <w:ilvl w:val="0"/>
          <w:numId w:val="2"/>
        </w:numPr>
        <w:spacing w:after="100"/>
      </w:pPr>
      <w:r>
        <w:rPr>
          <w:rFonts w:ascii="Arial" w:cs="Arial" w:eastAsia="Arial" w:hAnsi="Arial"/>
          <w:b w:val="false"/>
          <w:bCs w:val="false"/>
          <w:sz w:val="22"/>
          <w:szCs w:val="22"/>
        </w:rPr>
        <w:t xml:space="preserve">Explorer les partenariats avec des 3PL digitaux et des plateformes logistiques marocaines</w:t>
      </w:r>
    </w:p>
    <w:p>
      <w:pPr>
        <w:spacing w:after="80"/>
      </w:pPr>
      <w:r>
        <w:t xml:space="preserve"/>
      </w:r>
    </w:p>
    <w:p>
      <w:pPr>
        <w:pStyle w:val="Heading2"/>
        <w:spacing w:before="300" w:after="160"/>
      </w:pPr>
      <w:r>
        <w:rPr>
          <w:rFonts w:ascii="Arial" w:cs="Arial" w:eastAsia="Arial" w:hAnsi="Arial"/>
          <w:b/>
          <w:bCs/>
          <w:color w:val="1F618D"/>
          <w:sz w:val="26"/>
          <w:szCs w:val="26"/>
        </w:rPr>
        <w:t xml:space="preserve">Recommandations Transversales</w:t>
      </w:r>
    </w:p>
    <w:p>
      <w:pPr>
        <w:pStyle w:val="ListParagraph"/>
        <w:numPr>
          <w:ilvl w:val="0"/>
          <w:numId w:val="2"/>
        </w:numPr>
        <w:spacing w:after="100"/>
      </w:pPr>
      <w:r>
        <w:rPr>
          <w:rFonts w:ascii="Arial" w:cs="Arial" w:eastAsia="Arial" w:hAnsi="Arial"/>
          <w:b w:val="false"/>
          <w:bCs w:val="false"/>
          <w:sz w:val="22"/>
          <w:szCs w:val="22"/>
        </w:rPr>
        <w:t xml:space="preserve">Soutenir la politique nationale de transformation digitale via le programme Maroc Digital 2030</w:t>
      </w:r>
    </w:p>
    <w:p>
      <w:pPr>
        <w:pStyle w:val="ListParagraph"/>
        <w:numPr>
          <w:ilvl w:val="0"/>
          <w:numId w:val="2"/>
        </w:numPr>
        <w:spacing w:after="100"/>
      </w:pPr>
      <w:r>
        <w:rPr>
          <w:rFonts w:ascii="Arial" w:cs="Arial" w:eastAsia="Arial" w:hAnsi="Arial"/>
          <w:b w:val="false"/>
          <w:bCs w:val="false"/>
          <w:sz w:val="22"/>
          <w:szCs w:val="22"/>
        </w:rPr>
        <w:t xml:space="preserve">Renforcer les programmes d'accompagnement CGEM/AMDL pour les PME-PMI marocaines</w:t>
      </w:r>
    </w:p>
    <w:p>
      <w:pPr>
        <w:pStyle w:val="ListParagraph"/>
        <w:numPr>
          <w:ilvl w:val="0"/>
          <w:numId w:val="2"/>
        </w:numPr>
        <w:spacing w:after="100"/>
      </w:pPr>
      <w:r>
        <w:rPr>
          <w:rFonts w:ascii="Arial" w:cs="Arial" w:eastAsia="Arial" w:hAnsi="Arial"/>
          <w:b w:val="false"/>
          <w:bCs w:val="false"/>
          <w:sz w:val="22"/>
          <w:szCs w:val="22"/>
        </w:rPr>
        <w:t xml:space="preserve">Développer des benchmarks sectoriels réguliers pour mesurer la progression collective</w:t>
      </w:r>
    </w:p>
    <w:p>
      <w:pPr>
        <w:pStyle w:val="ListParagraph"/>
        <w:numPr>
          <w:ilvl w:val="0"/>
          <w:numId w:val="2"/>
        </w:numPr>
        <w:spacing w:after="100"/>
      </w:pPr>
      <w:r>
        <w:rPr>
          <w:rFonts w:ascii="Arial" w:cs="Arial" w:eastAsia="Arial" w:hAnsi="Arial"/>
          <w:b w:val="false"/>
          <w:bCs w:val="false"/>
          <w:sz w:val="22"/>
          <w:szCs w:val="22"/>
        </w:rPr>
        <w:t xml:space="preserve">Encourager les consortiums sectoriels pour partager les coûts d'investissement technologique</w:t>
      </w:r>
    </w:p>
    <w:p>
      <w:pPr>
        <w:pBdr>
          <w:bottom w:val="single" w:color="2E75B6" w:sz="6" w:space="1"/>
        </w:pBdr>
        <w:spacing w:after="200"/>
      </w:pPr>
      <w:r>
        <w:t xml:space="preserve"/>
      </w:r>
    </w:p>
    <w:p>
      <w:pPr>
        <w:pStyle w:val="Heading1"/>
        <w:spacing w:before="400" w:after="200"/>
      </w:pPr>
      <w:r>
        <w:rPr>
          <w:rFonts w:ascii="Arial" w:cs="Arial" w:eastAsia="Arial" w:hAnsi="Arial"/>
          <w:b/>
          <w:bCs/>
          <w:color w:val="1A5276"/>
          <w:sz w:val="32"/>
          <w:szCs w:val="32"/>
        </w:rPr>
        <w:t xml:space="preserve">V. CONCLUSION</w:t>
      </w:r>
    </w:p>
    <w:p>
      <w:pPr>
        <w:pBdr>
          <w:bottom w:val="single" w:color="2E75B6" w:sz="6" w:space="1"/>
        </w:pBdr>
        <w:spacing w:after="200"/>
      </w:pPr>
      <w:r>
        <w:t xml:space="preserve"/>
      </w:r>
    </w:p>
    <w:p>
      <w:pPr>
        <w:spacing w:after="160"/>
        <w:jc w:val="both"/>
      </w:pPr>
      <w:r>
        <w:rPr>
          <w:rFonts w:ascii="Arial" w:cs="Arial" w:eastAsia="Arial" w:hAnsi="Arial"/>
          <w:sz w:val="22"/>
          <w:szCs w:val="22"/>
        </w:rPr>
        <w:t xml:space="preserve">Ce projet a permis de développer un modèle de classification performant pour identifier le niveau de maturité digitale des supply chains marocaines, sur la base du référentiel Gartner Supply Chain Maturity Model. Les résultats obtenus confirment que la majorité des entreprises marocaines se situent encore aux niveaux Initiale et Structurée, révélant un potentiel de transformation digitale considérable.</w:t>
      </w:r>
    </w:p>
    <w:p>
      <w:pPr>
        <w:spacing w:after="160"/>
        <w:jc w:val="both"/>
      </w:pPr>
      <w:r>
        <w:rPr>
          <w:rFonts w:ascii="Arial" w:cs="Arial" w:eastAsia="Arial" w:hAnsi="Arial"/>
          <w:sz w:val="22"/>
          <w:szCs w:val="22"/>
        </w:rPr>
        <w:t xml:space="preserve">Le modèle XGBoost, avec un F1-score de 0.90, offre une précision remarquable pour classifier les supply chains par niveau de maturité. L'analyse SHAP confirme que l'adoption des ERP, la visibilité en temps réel et l'utilisation de la data analytics sont les principaux leviers de progression vers les niveaux supérieurs.</w:t>
      </w:r>
    </w:p>
    <w:p>
      <w:pPr>
        <w:spacing w:after="160"/>
        <w:jc w:val="both"/>
      </w:pPr>
      <w:r>
        <w:rPr>
          <w:rFonts w:ascii="Arial" w:cs="Arial" w:eastAsia="Arial" w:hAnsi="Arial"/>
          <w:sz w:val="22"/>
          <w:szCs w:val="22"/>
        </w:rPr>
        <w:t xml:space="preserve">Ces résultats constituent une base solide pour les décideurs RH et logistiques marocains, leur permettant d'anticiper leurs besoins en transformation, de prioriser leurs investissements technologiques et d'aligner leurs stratégies supply chain avec les standards internationaux de la Supply Chain 4.0.</w:t>
      </w:r>
    </w:p>
    <w:p>
      <w:pPr>
        <w:pBdr>
          <w:bottom w:val="single" w:color="2E75B6" w:sz="6" w:space="1"/>
        </w:pBdr>
        <w:spacing w:after="200"/>
      </w:pPr>
      <w:r>
        <w:t xml:space="preserve"/>
      </w:r>
    </w:p>
    <w:p>
      <w:pPr>
        <w:pStyle w:val="Heading1"/>
        <w:spacing w:before="400" w:after="200"/>
      </w:pPr>
      <w:r>
        <w:rPr>
          <w:rFonts w:ascii="Arial" w:cs="Arial" w:eastAsia="Arial" w:hAnsi="Arial"/>
          <w:b/>
          <w:bCs/>
          <w:color w:val="1A5276"/>
          <w:sz w:val="32"/>
          <w:szCs w:val="32"/>
        </w:rPr>
        <w:t xml:space="preserve">Bibliographie / Webographie</w:t>
      </w:r>
    </w:p>
    <w:p>
      <w:pPr>
        <w:pStyle w:val="ListParagraph"/>
        <w:numPr>
          <w:ilvl w:val="0"/>
          <w:numId w:val="2"/>
        </w:numPr>
        <w:spacing w:after="100"/>
      </w:pPr>
      <w:r>
        <w:rPr>
          <w:rFonts w:ascii="Arial" w:cs="Arial" w:eastAsia="Arial" w:hAnsi="Arial"/>
          <w:b w:val="false"/>
          <w:bCs w:val="false"/>
          <w:sz w:val="22"/>
          <w:szCs w:val="22"/>
        </w:rPr>
        <w:t xml:space="preserve">Gartner Supply Chain Maturity Model - Gartner Research</w:t>
      </w:r>
    </w:p>
    <w:p>
      <w:pPr>
        <w:pStyle w:val="ListParagraph"/>
        <w:numPr>
          <w:ilvl w:val="0"/>
          <w:numId w:val="2"/>
        </w:numPr>
        <w:spacing w:after="100"/>
      </w:pPr>
      <w:r>
        <w:rPr>
          <w:rFonts w:ascii="Arial" w:cs="Arial" w:eastAsia="Arial" w:hAnsi="Arial"/>
          <w:b w:val="false"/>
          <w:bCs w:val="false"/>
          <w:sz w:val="22"/>
          <w:szCs w:val="22"/>
        </w:rPr>
        <w:t xml:space="preserve">CGEM - Rapport sur la transformation digitale des entreprises marocaines</w:t>
      </w:r>
    </w:p>
    <w:p>
      <w:pPr>
        <w:pStyle w:val="ListParagraph"/>
        <w:numPr>
          <w:ilvl w:val="0"/>
          <w:numId w:val="2"/>
        </w:numPr>
        <w:spacing w:after="100"/>
      </w:pPr>
      <w:r>
        <w:rPr>
          <w:rFonts w:ascii="Arial" w:cs="Arial" w:eastAsia="Arial" w:hAnsi="Arial"/>
          <w:b w:val="false"/>
          <w:bCs w:val="false"/>
          <w:sz w:val="22"/>
          <w:szCs w:val="22"/>
        </w:rPr>
        <w:t xml:space="preserve">AMDL - Stratégie Nationale de Développement de la Compétitivité Logistique</w:t>
      </w:r>
    </w:p>
    <w:p>
      <w:pPr>
        <w:pStyle w:val="ListParagraph"/>
        <w:numPr>
          <w:ilvl w:val="0"/>
          <w:numId w:val="2"/>
        </w:numPr>
        <w:spacing w:after="100"/>
      </w:pPr>
      <w:r>
        <w:rPr>
          <w:rFonts w:ascii="Arial" w:cs="Arial" w:eastAsia="Arial" w:hAnsi="Arial"/>
          <w:b w:val="false"/>
          <w:bCs w:val="false"/>
          <w:sz w:val="22"/>
          <w:szCs w:val="22"/>
        </w:rPr>
        <w:t xml:space="preserve">Documentation Scikit-learn, XGBoost, SHAP Library</w:t>
      </w:r>
    </w:p>
    <w:p>
      <w:pPr>
        <w:pStyle w:val="ListParagraph"/>
        <w:numPr>
          <w:ilvl w:val="0"/>
          <w:numId w:val="2"/>
        </w:numPr>
        <w:spacing w:after="100"/>
      </w:pPr>
      <w:r>
        <w:rPr>
          <w:rFonts w:ascii="Arial" w:cs="Arial" w:eastAsia="Arial" w:hAnsi="Arial"/>
          <w:b w:val="false"/>
          <w:bCs w:val="false"/>
          <w:sz w:val="22"/>
          <w:szCs w:val="22"/>
        </w:rPr>
        <w:t xml:space="preserve">McKinsey Global Institute - Supply Chain Resilience Reports 2023-2024</w:t>
      </w:r>
    </w:p>
    <w:p>
      <w:pPr>
        <w:pStyle w:val="ListParagraph"/>
        <w:numPr>
          <w:ilvl w:val="0"/>
          <w:numId w:val="2"/>
        </w:numPr>
        <w:spacing w:after="100"/>
      </w:pPr>
      <w:r>
        <w:rPr>
          <w:rFonts w:ascii="Arial" w:cs="Arial" w:eastAsia="Arial" w:hAnsi="Arial"/>
          <w:b w:val="false"/>
          <w:bCs w:val="false"/>
          <w:sz w:val="22"/>
          <w:szCs w:val="22"/>
        </w:rPr>
        <w:t xml:space="preserve">Supply Chain 4.0 - World Economic Forum</w:t>
      </w:r>
    </w:p>
    <w:p>
      <w:pPr>
        <w:pStyle w:val="ListParagraph"/>
        <w:numPr>
          <w:ilvl w:val="0"/>
          <w:numId w:val="2"/>
        </w:numPr>
        <w:spacing w:after="100"/>
      </w:pPr>
      <w:r>
        <w:rPr>
          <w:rFonts w:ascii="Arial" w:cs="Arial" w:eastAsia="Arial" w:hAnsi="Arial"/>
          <w:b w:val="false"/>
          <w:bCs w:val="false"/>
          <w:sz w:val="22"/>
          <w:szCs w:val="22"/>
        </w:rPr>
        <w:t xml:space="preserve">Maroc Digital 2030 - Ministère de la Transition Numérique</w:t>
      </w:r>
    </w:p>
    <w:p>
      <w:pPr>
        <w:pBdr>
          <w:bottom w:val="single" w:color="2E75B6" w:sz="6" w:space="1"/>
        </w:pBdr>
        <w:spacing w:after="200"/>
      </w:pPr>
      <w:r>
        <w:t xml:space="preserve"/>
      </w:r>
    </w:p>
    <w:p>
      <w:pPr>
        <w:pStyle w:val="Heading1"/>
        <w:spacing w:before="400" w:after="200"/>
      </w:pPr>
      <w:r>
        <w:rPr>
          <w:rFonts w:ascii="Arial" w:cs="Arial" w:eastAsia="Arial" w:hAnsi="Arial"/>
          <w:b/>
          <w:bCs/>
          <w:color w:val="1A5276"/>
          <w:sz w:val="32"/>
          <w:szCs w:val="32"/>
        </w:rPr>
        <w:t xml:space="preserve">Annexes</w:t>
      </w:r>
    </w:p>
    <w:p>
      <w:pPr>
        <w:pStyle w:val="Heading2"/>
        <w:spacing w:before="300" w:after="160"/>
      </w:pPr>
      <w:r>
        <w:rPr>
          <w:rFonts w:ascii="Arial" w:cs="Arial" w:eastAsia="Arial" w:hAnsi="Arial"/>
          <w:b/>
          <w:bCs/>
          <w:color w:val="1F618D"/>
          <w:sz w:val="26"/>
          <w:szCs w:val="26"/>
        </w:rPr>
        <w:t xml:space="preserve">Annexe A : Modèle de Maturité Gartner - Détail des Niveaux</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6"/>
        <w:gridCol w:w="1806"/>
        <w:gridCol w:w="1804"/>
        <w:gridCol w:w="1804"/>
      </w:tblGrid>
      <w:tr>
        <w:trPr>
          <w:tblHeader/>
        </w:trPr>
        <w:tc>
          <w:tcPr>
            <w:tcW w:type="dxa" w:w="180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180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Initiale</w:t>
            </w:r>
          </w:p>
        </w:tc>
        <w:tc>
          <w:tcPr>
            <w:tcW w:type="dxa" w:w="180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Structurée</w:t>
            </w:r>
          </w:p>
        </w:tc>
        <w:tc>
          <w:tcPr>
            <w:tcW w:type="dxa" w:w="1804"/>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Intégrée</w:t>
            </w:r>
          </w:p>
        </w:tc>
        <w:tc>
          <w:tcPr>
            <w:tcW w:type="dxa" w:w="1804"/>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Intelligente</w:t>
            </w:r>
          </w:p>
        </w:tc>
      </w:tr>
      <w:tr>
        <w:tc>
          <w:tcPr>
            <w:tcW w:type="dxa" w:w="18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Caractéristiques</w:t>
            </w:r>
          </w:p>
        </w:tc>
        <w:tc>
          <w:tcPr>
            <w:tcW w:type="dxa" w:w="1806"/>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Processus manuels, silos, réactivité</w:t>
            </w:r>
          </w:p>
        </w:tc>
        <w:tc>
          <w:tcPr>
            <w:tcW w:type="dxa" w:w="1806"/>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ERP/WMS, KPIs définis, planification basique</w:t>
            </w:r>
          </w:p>
        </w:tc>
        <w:tc>
          <w:tcPr>
            <w:tcW w:type="dxa" w:w="1804"/>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Visibilité end-to-end, collaboration fournisseurs</w:t>
            </w:r>
          </w:p>
        </w:tc>
        <w:tc>
          <w:tcPr>
            <w:tcW w:type="dxa" w:w="1804"/>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sz w:val="20"/>
                <w:szCs w:val="20"/>
              </w:rPr>
              <w:t xml:space="preserve">IA, IoT, ML, Supply Chain autonome</w:t>
            </w:r>
          </w:p>
        </w:tc>
      </w:tr>
    </w:tbl>
    <w:p>
      <w:pPr>
        <w:spacing w:after="80"/>
      </w:pPr>
      <w:r>
        <w:t xml:space="preserve"/>
      </w:r>
    </w:p>
    <w:p>
      <w:pPr>
        <w:pStyle w:val="Heading2"/>
        <w:spacing w:before="300" w:after="160"/>
      </w:pPr>
      <w:r>
        <w:rPr>
          <w:rFonts w:ascii="Arial" w:cs="Arial" w:eastAsia="Arial" w:hAnsi="Arial"/>
          <w:b/>
          <w:bCs/>
          <w:color w:val="1F618D"/>
          <w:sz w:val="26"/>
          <w:szCs w:val="26"/>
        </w:rPr>
        <w:t xml:space="preserve">Annexe B : Variables Clés du Modèle de Classification</w:t>
      </w:r>
    </w:p>
    <w:p>
      <w:pPr>
        <w:pStyle w:val="ListParagraph"/>
        <w:numPr>
          <w:ilvl w:val="0"/>
          <w:numId w:val="2"/>
        </w:numPr>
        <w:spacing w:after="100"/>
      </w:pPr>
      <w:r>
        <w:rPr>
          <w:rFonts w:ascii="Arial" w:cs="Arial" w:eastAsia="Arial" w:hAnsi="Arial"/>
          <w:b w:val="false"/>
          <w:bCs w:val="false"/>
          <w:sz w:val="22"/>
          <w:szCs w:val="22"/>
        </w:rPr>
        <w:t xml:space="preserve">TauxAdoptionERP : score 0-100, pondéré par modules déployés</w:t>
      </w:r>
    </w:p>
    <w:p>
      <w:pPr>
        <w:pStyle w:val="ListParagraph"/>
        <w:numPr>
          <w:ilvl w:val="0"/>
          <w:numId w:val="2"/>
        </w:numPr>
        <w:spacing w:after="100"/>
      </w:pPr>
      <w:r>
        <w:rPr>
          <w:rFonts w:ascii="Arial" w:cs="Arial" w:eastAsia="Arial" w:hAnsi="Arial"/>
          <w:b w:val="false"/>
          <w:bCs w:val="false"/>
          <w:sz w:val="22"/>
          <w:szCs w:val="22"/>
        </w:rPr>
        <w:t xml:space="preserve">ScoreVisibilitéTempsRéel : indice composite de traçabilité et monitoring</w:t>
      </w:r>
    </w:p>
    <w:p>
      <w:pPr>
        <w:pStyle w:val="ListParagraph"/>
        <w:numPr>
          <w:ilvl w:val="0"/>
          <w:numId w:val="2"/>
        </w:numPr>
        <w:spacing w:after="100"/>
      </w:pPr>
      <w:r>
        <w:rPr>
          <w:rFonts w:ascii="Arial" w:cs="Arial" w:eastAsia="Arial" w:hAnsi="Arial"/>
          <w:b w:val="false"/>
          <w:bCs w:val="false"/>
          <w:sz w:val="22"/>
          <w:szCs w:val="22"/>
        </w:rPr>
        <w:t xml:space="preserve">IndiceCollaborationFournisseurs : mesure de l'intégration EDI et portails partenaires</w:t>
      </w:r>
    </w:p>
    <w:p>
      <w:pPr>
        <w:pStyle w:val="ListParagraph"/>
        <w:numPr>
          <w:ilvl w:val="0"/>
          <w:numId w:val="2"/>
        </w:numPr>
        <w:spacing w:after="100"/>
      </w:pPr>
      <w:r>
        <w:rPr>
          <w:rFonts w:ascii="Arial" w:cs="Arial" w:eastAsia="Arial" w:hAnsi="Arial"/>
          <w:b w:val="false"/>
          <w:bCs w:val="false"/>
          <w:sz w:val="22"/>
          <w:szCs w:val="22"/>
        </w:rPr>
        <w:t xml:space="preserve">TauxAutomatisationEntrepôt : ratio tâches automatisées / tâches totales WMS</w:t>
      </w:r>
    </w:p>
    <w:p>
      <w:pPr>
        <w:pStyle w:val="ListParagraph"/>
        <w:numPr>
          <w:ilvl w:val="0"/>
          <w:numId w:val="2"/>
        </w:numPr>
        <w:spacing w:after="100"/>
      </w:pPr>
      <w:r>
        <w:rPr>
          <w:rFonts w:ascii="Arial" w:cs="Arial" w:eastAsia="Arial" w:hAnsi="Arial"/>
          <w:b w:val="false"/>
          <w:bCs w:val="false"/>
          <w:sz w:val="22"/>
          <w:szCs w:val="22"/>
        </w:rPr>
        <w:t xml:space="preserve">NiveauDataAnalytics : échelle Gartner d'utilisation de la BI et analytics</w:t>
      </w:r>
    </w:p>
    <w:p>
      <w:pPr>
        <w:pStyle w:val="ListParagraph"/>
        <w:numPr>
          <w:ilvl w:val="0"/>
          <w:numId w:val="2"/>
        </w:numPr>
        <w:spacing w:after="100"/>
      </w:pPr>
      <w:r>
        <w:rPr>
          <w:rFonts w:ascii="Arial" w:cs="Arial" w:eastAsia="Arial" w:hAnsi="Arial"/>
          <w:b w:val="false"/>
          <w:bCs w:val="false"/>
          <w:sz w:val="22"/>
          <w:szCs w:val="22"/>
        </w:rPr>
        <w:t xml:space="preserve">ScoreRésilienceLogistique : indicateur multi-dimensionnel de robustesse supply chain</w:t>
      </w:r>
    </w:p>
    <w:p>
      <w:pPr>
        <w:spacing w:after="80"/>
      </w:pPr>
      <w:r>
        <w:t xml:space="preserve"/>
      </w:r>
    </w:p>
    <w:p>
      <w:pPr>
        <w:pStyle w:val="Heading2"/>
        <w:spacing w:before="300" w:after="160"/>
      </w:pPr>
      <w:r>
        <w:rPr>
          <w:rFonts w:ascii="Arial" w:cs="Arial" w:eastAsia="Arial" w:hAnsi="Arial"/>
          <w:b/>
          <w:bCs/>
          <w:color w:val="1F618D"/>
          <w:sz w:val="26"/>
          <w:szCs w:val="26"/>
        </w:rPr>
        <w:t xml:space="preserve">Annexe C : Détails Techniques des Modèles</w:t>
      </w:r>
    </w:p>
    <w:p>
      <w:pPr>
        <w:pStyle w:val="ListParagraph"/>
        <w:numPr>
          <w:ilvl w:val="0"/>
          <w:numId w:val="2"/>
        </w:numPr>
        <w:spacing w:after="100"/>
      </w:pPr>
      <w:r>
        <w:rPr>
          <w:rFonts w:ascii="Arial" w:cs="Arial" w:eastAsia="Arial" w:hAnsi="Arial"/>
          <w:b w:val="false"/>
          <w:bCs w:val="false"/>
          <w:sz w:val="22"/>
          <w:szCs w:val="22"/>
        </w:rPr>
        <w:t xml:space="preserve">Librairies Python : scikit-learn 1.4, XGBoost 2.0, SHAP 0.44, pandas 2.1, matplotlib 3.8</w:t>
      </w:r>
    </w:p>
    <w:p>
      <w:pPr>
        <w:pStyle w:val="ListParagraph"/>
        <w:numPr>
          <w:ilvl w:val="0"/>
          <w:numId w:val="2"/>
        </w:numPr>
        <w:spacing w:after="100"/>
      </w:pPr>
      <w:r>
        <w:rPr>
          <w:rFonts w:ascii="Arial" w:cs="Arial" w:eastAsia="Arial" w:hAnsi="Arial"/>
          <w:b w:val="false"/>
          <w:bCs w:val="false"/>
          <w:sz w:val="22"/>
          <w:szCs w:val="22"/>
        </w:rPr>
        <w:t xml:space="preserve">Environnement : Python 3.11, Jupyter Notebook, Google Colab</w:t>
      </w:r>
    </w:p>
    <w:p>
      <w:pPr>
        <w:pStyle w:val="ListParagraph"/>
        <w:numPr>
          <w:ilvl w:val="0"/>
          <w:numId w:val="2"/>
        </w:numPr>
        <w:spacing w:after="100"/>
      </w:pPr>
      <w:r>
        <w:rPr>
          <w:rFonts w:ascii="Arial" w:cs="Arial" w:eastAsia="Arial" w:hAnsi="Arial"/>
          <w:b w:val="false"/>
          <w:bCs w:val="false"/>
          <w:sz w:val="22"/>
          <w:szCs w:val="22"/>
        </w:rPr>
        <w:t xml:space="preserve">Hyperparamètres optimaux XGBoost : n_estimators=300, max_depth=6, learning_rate=0.1, subsample=0.8</w:t>
      </w:r>
    </w:p>
    <w:p>
      <w:pPr>
        <w:pStyle w:val="ListParagraph"/>
        <w:numPr>
          <w:ilvl w:val="0"/>
          <w:numId w:val="2"/>
        </w:numPr>
        <w:spacing w:after="100"/>
      </w:pPr>
      <w:r>
        <w:rPr>
          <w:rFonts w:ascii="Arial" w:cs="Arial" w:eastAsia="Arial" w:hAnsi="Arial"/>
          <w:b w:val="false"/>
          <w:bCs w:val="false"/>
          <w:sz w:val="22"/>
          <w:szCs w:val="22"/>
        </w:rPr>
        <w:t xml:space="preserve">Hyperparamètres optimaux Random Forest : n_estimators=200, max_depth=None, min_samples_split=2</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4"/>
      </w:pBdr>
      <w:tabs>
        <w:tab w:val="right" w:pos="9026"/>
      </w:tabs>
      <w:spacing w:before="100"/>
    </w:pPr>
    <w:r>
      <w:rPr>
        <w:rFonts w:ascii="Arial" w:cs="Arial" w:eastAsia="Arial" w:hAnsi="Arial"/>
        <w:color w:val="7F8C8D"/>
        <w:sz w:val="18"/>
        <w:szCs w:val="18"/>
      </w:rPr>
      <w:t xml:space="preserve">Projet Data Science  |  Classification des Supply Chains Marocaines</w:t>
    </w:r>
    <w:r>
      <w:rPr>
        <w:rFonts w:ascii="Arial" w:cs="Arial" w:eastAsia="Arial" w:hAnsi="Arial"/>
        <w:color w:val="7F8C8D"/>
        <w:sz w:val="18"/>
        <w:szCs w:val="18"/>
      </w:rPr>
      <w:t xml:space="preserve">	Page </w:t>
    </w:r>
    <w:r>
      <w:rPr>
        <w:rFonts w:ascii="Arial" w:cs="Arial" w:eastAsia="Arial" w:hAnsi="Arial"/>
        <w:color w:val="1A527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6"/>
      </w:pBdr>
      <w:spacing w:after="120"/>
    </w:pPr>
    <w:r>
      <w:rPr>
        <w:rFonts w:ascii="Arial" w:cs="Arial" w:eastAsia="Arial" w:hAnsi="Arial"/>
        <w:i/>
        <w:iCs/>
        <w:color w:val="1A5276"/>
        <w:sz w:val="18"/>
        <w:szCs w:val="18"/>
      </w:rPr>
      <w:t xml:space="preserve">Supply Chain Management &amp; Résilience  |  Maturité Digitale des Supply Chains Marocaines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276"/>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F618D"/>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2026-03-26T21:31:16.126Z</dcterms:created>
  <dcterms:modified xsi:type="dcterms:W3CDTF">2026-03-26T21:31:16.126Z</dcterms:modified>
</cp:coreProperties>
</file>

<file path=docProps/custom.xml><?xml version="1.0" encoding="utf-8"?>
<Properties xmlns="http://schemas.openxmlformats.org/officeDocument/2006/custom-properties" xmlns:vt="http://schemas.openxmlformats.org/officeDocument/2006/docPropsVTypes"/>
</file>