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ind w:right="-20"/>
        <w:rPr/>
      </w:pPr>
      <w:r>
        <w:rPr/>
      </w:r>
    </w:p>
    <w:p>
      <w:pPr>
        <w:pStyle w:val="Normal"/>
        <w:spacing w:lineRule="auto" w:line="276" w:before="0" w:after="0"/>
        <w:ind w:right="-20"/>
        <w:rPr>
          <w:b/>
          <w:sz w:val="48"/>
          <w:szCs w:val="48"/>
        </w:rPr>
      </w:pPr>
      <w:r>
        <w:rPr>
          <w:b/>
          <w:sz w:val="48"/>
          <w:szCs w:val="48"/>
        </w:rPr>
        <w:drawing>
          <wp:anchor distT="0" distB="0" distL="0" distR="0" simplePos="0" relativeHeight="17" behindDoc="0" locked="0" layoutInCell="1" allowOverlap="1">
            <wp:simplePos x="0" y="0"/>
            <wp:positionH relativeFrom="column">
              <wp:posOffset>0</wp:posOffset>
            </wp:positionH>
            <wp:positionV relativeFrom="paragraph">
              <wp:posOffset>-1079500</wp:posOffset>
            </wp:positionV>
            <wp:extent cx="918845" cy="712470"/>
            <wp:effectExtent l="0" t="0" r="0" b="0"/>
            <wp:wrapNone/>
            <wp:docPr id="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5"/>
                    <pic:cNvPicPr>
                      <a:picLocks noChangeAspect="1" noChangeArrowheads="1"/>
                    </pic:cNvPicPr>
                  </pic:nvPicPr>
                  <pic:blipFill>
                    <a:blip r:embed="rId2"/>
                    <a:stretch>
                      <a:fillRect/>
                    </a:stretch>
                  </pic:blipFill>
                  <pic:spPr bwMode="auto">
                    <a:xfrm>
                      <a:off x="0" y="0"/>
                      <a:ext cx="918845" cy="712470"/>
                    </a:xfrm>
                    <a:prstGeom prst="rect">
                      <a:avLst/>
                    </a:prstGeom>
                    <a:noFill/>
                  </pic:spPr>
                </pic:pic>
              </a:graphicData>
            </a:graphic>
          </wp:anchor>
        </w:drawing>
      </w:r>
    </w:p>
    <w:p>
      <w:pPr>
        <w:pStyle w:val="Normal"/>
        <w:pBdr>
          <w:top w:val="single" w:sz="18" w:space="1" w:color="000000"/>
          <w:bottom w:val="single" w:sz="18" w:space="1" w:color="000000"/>
        </w:pBdr>
        <w:spacing w:lineRule="auto" w:line="276" w:before="0" w:after="0"/>
        <w:jc w:val="center"/>
        <w:rPr>
          <w:sz w:val="20"/>
          <w:szCs w:val="20"/>
        </w:rPr>
      </w:pPr>
      <w:r>
        <w:rPr>
          <w:rFonts w:ascii="Times New Roman" w:hAnsi="Times New Roman"/>
          <w:b/>
          <w:sz w:val="40"/>
          <w:szCs w:val="40"/>
        </w:rPr>
        <w:t>A Reliability-Aware Decision Framework for Cost-Sensitive Selective Prediction in Credit Risk under Distribution Shift</w:t>
      </w:r>
      <w:r>
        <w:rPr>
          <w:rFonts w:ascii="Cambria Math" w:hAnsi="Cambria Math"/>
          <w:b/>
          <w:bCs/>
          <w:sz w:val="26"/>
          <w:szCs w:val="26"/>
        </w:rPr>
        <w:t xml:space="preserve"> </w:t>
      </w:r>
    </w:p>
    <w:p>
      <w:pPr>
        <w:pStyle w:val="Normal"/>
        <w:spacing w:lineRule="auto" w:line="276" w:before="0" w:after="0"/>
        <w:rPr>
          <w:sz w:val="20"/>
          <w:szCs w:val="20"/>
        </w:rPr>
      </w:pPr>
      <w:r>
        <w:rPr>
          <w:sz w:val="20"/>
          <w:szCs w:val="20"/>
        </w:rPr>
      </w:r>
    </w:p>
    <w:p>
      <w:pPr>
        <w:pStyle w:val="Normal"/>
        <w:spacing w:lineRule="auto" w:line="276" w:before="0" w:after="0"/>
        <w:rPr>
          <w:sz w:val="20"/>
          <w:szCs w:val="20"/>
        </w:rPr>
      </w:pPr>
      <w:r>
        <w:rPr>
          <w:sz w:val="20"/>
          <w:szCs w:val="20"/>
        </w:rPr>
      </w:r>
    </w:p>
    <w:p>
      <w:pPr>
        <w:pStyle w:val="Normal"/>
        <w:spacing w:lineRule="auto" w:line="276" w:before="0" w:after="0"/>
        <w:rPr>
          <w:sz w:val="20"/>
          <w:szCs w:val="20"/>
        </w:rPr>
      </w:pPr>
      <w:r>
        <w:rPr>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jc w:val="center"/>
        <w:rPr>
          <w:rFonts w:ascii="Times New Roman" w:hAnsi="Times New Roman"/>
        </w:rPr>
      </w:pPr>
      <w:sdt>
        <w:sdtPr>
          <w:alias w:val="Typ der Arbeit"/>
          <w:tag w:val="Typ der Arbeit"/>
          <w:id w:val="1883982176"/>
          <w:placeholder>
            <w:docPart w:val="4F6A09B28C6B415D88C443AFEFBAA93F"/>
          </w:placeholder>
          <w:dropDownList>
            <w:listItem w:displayText="Bachelorarbeit" w:value="Bachelorarbeit"/>
            <w:listItem w:displayText="Bachelor-Thesis" w:value="Bachelor-Thesis"/>
            <w:listItem w:displayText="Bachelor Thesis" w:value="Bachelor Thesis"/>
            <w:listItem w:displayText="Masterarbeit" w:value="Masterarbeit"/>
            <w:listItem w:displayText="Master-Thesis" w:value="Master-Thesis"/>
            <w:listItem w:displayText="Master Thesis" w:value="Master Thesis"/>
            <w:listItem w:displayText="Research Paper" w:value="Research Paper"/>
            <w:listItem w:displayText="Forschungsarbeit" w:value="Forschungsarbeit"/>
            <w:listItem w:displayText="Studienarbeit" w:value="Studienarbeit"/>
          </w:dropDownList>
        </w:sdtPr>
        <w:sdtContent>
          <w:r>
            <w:rPr>
              <w:rFonts w:ascii="Times New Roman" w:hAnsi="Times New Roman"/>
              <w:sz w:val="40"/>
              <w:szCs w:val="40"/>
            </w:rPr>
          </w:r>
          <w:r>
            <w:rPr>
              <w:rFonts w:ascii="Times New Roman" w:hAnsi="Times New Roman"/>
              <w:sz w:val="40"/>
              <w:szCs w:val="40"/>
            </w:rPr>
            <w:t>Master Thesis</w:t>
          </w:r>
        </w:sdtContent>
      </w:sdt>
      <w:r>
        <w:rPr>
          <w:rFonts w:ascii="Times New Roman" w:hAnsi="Times New Roman"/>
          <w:sz w:val="40"/>
          <w:szCs w:val="40"/>
        </w:rPr>
        <w:br/>
      </w:r>
      <w:r>
        <w:rPr>
          <w:rFonts w:ascii="Times New Roman" w:hAnsi="Times New Roman"/>
          <w:sz w:val="28"/>
          <w:szCs w:val="36"/>
        </w:rPr>
        <w:t>by</w:t>
      </w:r>
      <w:r>
        <w:rPr>
          <w:rFonts w:ascii="Times New Roman" w:hAnsi="Times New Roman"/>
          <w:sz w:val="32"/>
          <w:szCs w:val="40"/>
        </w:rPr>
        <w:br/>
      </w:r>
      <w:r>
        <w:rPr>
          <w:rFonts w:ascii="Times New Roman" w:hAnsi="Times New Roman"/>
          <w:b/>
          <w:sz w:val="40"/>
          <w:szCs w:val="40"/>
        </w:rPr>
        <w:t>Amin Feli</w:t>
        <w:br/>
      </w:r>
      <w:r>
        <w:rPr>
          <w:rFonts w:ascii="Times New Roman" w:hAnsi="Times New Roman"/>
          <w:sz w:val="28"/>
          <w:szCs w:val="36"/>
        </w:rPr>
        <w:t>Matriculation no: 11038701</w:t>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tabs>
          <w:tab w:val="clear" w:pos="720"/>
          <w:tab w:val="center" w:pos="4513" w:leader="none"/>
          <w:tab w:val="left" w:pos="7098" w:leader="none"/>
        </w:tabs>
        <w:spacing w:lineRule="auto" w:line="276"/>
        <w:jc w:val="left"/>
        <w:rPr>
          <w:rFonts w:ascii="Times New Roman" w:hAnsi="Times New Roman"/>
        </w:rPr>
      </w:pPr>
      <w:r>
        <w:rPr>
          <w:rFonts w:ascii="Times New Roman" w:hAnsi="Times New Roman"/>
          <w:sz w:val="28"/>
          <w:szCs w:val="28"/>
        </w:rPr>
        <w:tab/>
      </w:r>
      <w:r>
        <w:rPr>
          <w:rFonts w:ascii="Times New Roman" w:hAnsi="Times New Roman"/>
          <w:sz w:val="28"/>
          <w:szCs w:val="28"/>
        </w:rPr>
        <w:fldChar w:fldCharType="begin"/>
      </w:r>
      <w:r>
        <w:rPr>
          <w:rFonts w:ascii="Times New Roman" w:hAnsi="Times New Roman"/>
          <w:sz w:val="28"/>
          <w:szCs w:val="28"/>
        </w:rPr>
        <w:instrText xml:space="preserve"> DATE \@"dd\-MM\-yyyy" </w:instrText>
      </w:r>
      <w:r>
        <w:rPr>
          <w:rFonts w:ascii="Times New Roman" w:hAnsi="Times New Roman"/>
          <w:sz w:val="28"/>
          <w:szCs w:val="28"/>
        </w:rPr>
        <w:fldChar w:fldCharType="separate"/>
      </w:r>
      <w:r>
        <w:rPr>
          <w:rFonts w:ascii="Times New Roman" w:hAnsi="Times New Roman"/>
          <w:sz w:val="28"/>
          <w:szCs w:val="28"/>
        </w:rPr>
        <w:t>08-09-2026</w:t>
      </w:r>
      <w:r>
        <w:rPr>
          <w:rFonts w:ascii="Times New Roman" w:hAnsi="Times New Roman"/>
          <w:sz w:val="28"/>
          <w:szCs w:val="28"/>
        </w:rPr>
        <w:fldChar w:fldCharType="end"/>
      </w:r>
      <w:r>
        <w:rPr>
          <w:rFonts w:ascii="Times New Roman" w:hAnsi="Times New Roman"/>
          <w:sz w:val="28"/>
          <w:szCs w:val="28"/>
        </w:rPr>
        <w:tab/>
      </w:r>
    </w:p>
    <w:p>
      <w:pPr>
        <w:pStyle w:val="Normal"/>
        <w:spacing w:lineRule="auto" w:line="276" w:before="10" w:after="0"/>
        <w:rPr>
          <w:rFonts w:ascii="Times New Roman" w:hAnsi="Times New Roman"/>
          <w:sz w:val="26"/>
          <w:szCs w:val="26"/>
        </w:rPr>
      </w:pPr>
      <w:r>
        <w:rPr>
          <w:rFonts w:ascii="Times New Roman" w:hAnsi="Times New Roman"/>
          <w:sz w:val="26"/>
          <w:szCs w:val="26"/>
        </w:rPr>
      </w:r>
    </w:p>
    <w:p>
      <w:pPr>
        <w:pStyle w:val="Normal"/>
        <w:spacing w:lineRule="auto" w:line="276" w:before="10" w:after="0"/>
        <w:rPr>
          <w:rFonts w:ascii="Times New Roman" w:hAnsi="Times New Roman"/>
          <w:sz w:val="26"/>
          <w:szCs w:val="26"/>
        </w:rPr>
      </w:pPr>
      <w:r>
        <w:rPr>
          <w:rFonts w:ascii="Times New Roman" w:hAnsi="Times New Roman"/>
          <w:sz w:val="26"/>
          <w:szCs w:val="26"/>
        </w:rPr>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sz w:val="28"/>
          <w:szCs w:val="28"/>
        </w:rPr>
        <w:t>SRH University Heidelberg</w:t>
        <w:br/>
        <w:t>School of Information, Media and Design</w:t>
        <w:br/>
        <w:t>M.Sc. Applied Data Science and Analytics</w:t>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b/>
          <w:bCs/>
          <w:sz w:val="28"/>
          <w:szCs w:val="28"/>
        </w:rPr>
        <w:t>Supervisors</w:t>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b/>
          <w:bCs/>
          <w:sz w:val="40"/>
          <w:szCs w:val="40"/>
          <w:lang w:val="de-DE"/>
        </w:rPr>
        <w:t>Prof. Dr. Mehrdad Jalali</w:t>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b/>
          <w:bCs/>
          <w:sz w:val="40"/>
          <w:szCs w:val="40"/>
          <w:lang w:val="de-DE"/>
        </w:rPr>
        <w:t>Prof. Dr. Binh Vu</w:t>
      </w:r>
      <w:r>
        <w:br w:type="page"/>
      </w:r>
    </w:p>
    <w:p>
      <w:pPr>
        <w:pStyle w:val="Heading1"/>
        <w:spacing w:lineRule="auto" w:line="276"/>
        <w:jc w:val="center"/>
        <w:rPr>
          <w:rFonts w:ascii="Times New Roman" w:hAnsi="Times New Roman"/>
          <w:color w:val="355269"/>
          <w:sz w:val="24"/>
          <w:szCs w:val="24"/>
        </w:rPr>
      </w:pPr>
      <w:bookmarkStart w:id="0" w:name="_Toc224113223"/>
      <w:r>
        <w:rPr>
          <w:rFonts w:ascii="Times New Roman" w:hAnsi="Times New Roman"/>
          <w:color w:val="355269"/>
          <w:sz w:val="24"/>
          <w:szCs w:val="24"/>
        </w:rPr>
        <w:t>Declaration of Authorship</w:t>
      </w:r>
      <w:bookmarkEnd w:id="0"/>
    </w:p>
    <w:p>
      <w:pPr>
        <w:pStyle w:val="Normal"/>
        <w:spacing w:lineRule="auto" w:line="276"/>
        <w:rPr>
          <w:rFonts w:ascii="Times New Roman" w:hAnsi="Times New Roman"/>
          <w:b/>
          <w:bCs/>
          <w:sz w:val="28"/>
          <w:szCs w:val="28"/>
        </w:rPr>
      </w:pPr>
      <w:r>
        <w:rPr>
          <w:rFonts w:ascii="Times New Roman" w:hAnsi="Times New Roman"/>
          <w:b/>
          <w:bCs/>
          <w:sz w:val="28"/>
          <w:szCs w:val="28"/>
        </w:rPr>
      </w:r>
    </w:p>
    <w:p>
      <w:pPr>
        <w:pStyle w:val="Normal"/>
        <w:spacing w:lineRule="auto" w:line="276" w:before="0" w:after="0"/>
        <w:jc w:val="both"/>
        <w:rPr>
          <w:rFonts w:ascii="Times New Roman" w:hAnsi="Times New Roman"/>
        </w:rPr>
      </w:pPr>
      <w:r>
        <w:rPr>
          <w:rFonts w:ascii="Times New Roman" w:hAnsi="Times New Roman"/>
          <w:sz w:val="24"/>
          <w:szCs w:val="24"/>
        </w:rPr>
        <w:t>I hereby declare that my herewith submitted thesis titled “</w:t>
      </w:r>
      <w:r>
        <w:rPr>
          <w:rFonts w:ascii="Times New Roman" w:hAnsi="Times New Roman"/>
          <w:b/>
          <w:bCs/>
          <w:sz w:val="24"/>
          <w:szCs w:val="24"/>
        </w:rPr>
        <w:t>A Reliability-Aware Decision Framework for Cost-Sensitive Selective Prediction in Credit Risk under Distribution Shift</w:t>
      </w:r>
      <w:r>
        <w:rPr>
          <w:rFonts w:ascii="Times New Roman" w:hAnsi="Times New Roman"/>
          <w:sz w:val="24"/>
          <w:szCs w:val="24"/>
        </w:rPr>
        <w:t xml:space="preserve">” is my own original work. I have written it independently without outside help and have not used any sources other than those indicated – in particular, no sources not named in the references. </w:t>
      </w:r>
    </w:p>
    <w:p>
      <w:pPr>
        <w:pStyle w:val="Normal"/>
        <w:spacing w:lineRule="auto" w:line="276" w:before="0" w:after="0"/>
        <w:jc w:val="both"/>
        <w:rPr>
          <w:rFonts w:ascii="Times New Roman" w:hAnsi="Times New Roman"/>
          <w:sz w:val="24"/>
          <w:szCs w:val="24"/>
        </w:rPr>
      </w:pPr>
      <w:r>
        <w:rPr>
          <w:rFonts w:ascii="Times New Roman" w:hAnsi="Times New Roman"/>
          <w:sz w:val="24"/>
          <w:szCs w:val="24"/>
        </w:rPr>
      </w:r>
    </w:p>
    <w:p>
      <w:pPr>
        <w:pStyle w:val="Normal"/>
        <w:spacing w:lineRule="auto" w:line="276" w:before="0" w:after="0"/>
        <w:jc w:val="both"/>
        <w:rPr>
          <w:rFonts w:ascii="Times New Roman" w:hAnsi="Times New Roman"/>
        </w:rPr>
      </w:pPr>
      <w:r>
        <w:rPr>
          <w:rFonts w:ascii="Times New Roman" w:hAnsi="Times New Roman"/>
          <w:sz w:val="24"/>
          <w:szCs w:val="24"/>
        </w:rPr>
        <w:t xml:space="preserve">I have appropriately indicated any direct quotations or passages taken from literature, and the use of intellectual property from other authors, by providing the necessary citations within the work. This applies equally to the sources used for text generation by Artificial Intelligence (AI). </w:t>
      </w:r>
    </w:p>
    <w:p>
      <w:pPr>
        <w:pStyle w:val="Normal"/>
        <w:spacing w:lineRule="auto" w:line="276" w:before="0" w:after="0"/>
        <w:jc w:val="both"/>
        <w:rPr>
          <w:rFonts w:ascii="Times New Roman" w:hAnsi="Times New Roman"/>
          <w:sz w:val="24"/>
          <w:szCs w:val="24"/>
        </w:rPr>
      </w:pPr>
      <w:r>
        <w:rPr>
          <w:rFonts w:ascii="Times New Roman" w:hAnsi="Times New Roman"/>
          <w:sz w:val="24"/>
          <w:szCs w:val="24"/>
        </w:rPr>
      </w:r>
    </w:p>
    <w:p>
      <w:pPr>
        <w:pStyle w:val="Normal"/>
        <w:spacing w:lineRule="auto" w:line="276" w:before="0" w:after="0"/>
        <w:jc w:val="both"/>
        <w:rPr>
          <w:rFonts w:ascii="Times New Roman" w:hAnsi="Times New Roman"/>
        </w:rPr>
      </w:pPr>
      <w:r>
        <w:rPr>
          <w:rFonts w:ascii="Times New Roman" w:hAnsi="Times New Roman"/>
          <w:sz w:val="24"/>
          <w:szCs w:val="24"/>
        </w:rPr>
        <w:t>I hereby declare that the thesis was not previously presented to another examination board, and I also confirm that the PDF version of this thesis is exactly identical in content to the hard copy.</w:t>
      </w:r>
    </w:p>
    <w:p>
      <w:pPr>
        <w:pStyle w:val="Normal"/>
        <w:spacing w:lineRule="auto" w:line="276" w:before="0" w:after="0"/>
        <w:rPr>
          <w:rFonts w:ascii="Times New Roman" w:hAnsi="Times New Roman"/>
          <w:sz w:val="24"/>
          <w:szCs w:val="24"/>
        </w:rPr>
      </w:pPr>
      <w:r>
        <w:rPr>
          <w:rFonts w:ascii="Times New Roman" w:hAnsi="Times New Roman"/>
          <w:sz w:val="24"/>
          <w:szCs w:val="24"/>
        </w:rPr>
      </w:r>
    </w:p>
    <w:p>
      <w:pPr>
        <w:pStyle w:val="Normal"/>
        <w:spacing w:lineRule="auto" w:line="276" w:before="0" w:after="0"/>
        <w:rPr>
          <w:rFonts w:ascii="Times New Roman" w:hAnsi="Times New Roman"/>
          <w:sz w:val="24"/>
          <w:szCs w:val="24"/>
        </w:rPr>
      </w:pPr>
      <w:r>
        <w:rPr>
          <w:rFonts w:ascii="Times New Roman" w:hAnsi="Times New Roman"/>
          <w:sz w:val="24"/>
          <w:szCs w:val="24"/>
        </w:rPr>
      </w:r>
    </w:p>
    <w:p>
      <w:pPr>
        <w:pStyle w:val="Normal"/>
        <w:spacing w:lineRule="auto" w:line="276" w:before="0" w:after="0"/>
        <w:rPr>
          <w:rFonts w:ascii="Times New Roman" w:hAnsi="Times New Roman"/>
          <w:sz w:val="24"/>
          <w:szCs w:val="24"/>
        </w:rPr>
      </w:pPr>
      <w:r>
        <w:rPr>
          <w:rFonts w:ascii="Times New Roman" w:hAnsi="Times New Roman"/>
          <w:sz w:val="24"/>
          <w:szCs w:val="24"/>
        </w:rPr>
      </w:r>
    </w:p>
    <w:p>
      <w:pPr>
        <w:pStyle w:val="Normal"/>
        <w:spacing w:lineRule="auto" w:line="276" w:before="0" w:after="0"/>
        <w:rPr>
          <w:rFonts w:ascii="Times New Roman" w:hAnsi="Times New Roman"/>
          <w:sz w:val="24"/>
          <w:szCs w:val="24"/>
        </w:rPr>
      </w:pPr>
      <w:r>
        <w:rPr>
          <w:rFonts w:ascii="Times New Roman" w:hAnsi="Times New Roman"/>
          <w:sz w:val="24"/>
          <w:szCs w:val="24"/>
        </w:rPr>
      </w:r>
    </w:p>
    <w:p>
      <w:pPr>
        <w:pStyle w:val="Normal"/>
        <w:spacing w:lineRule="auto" w:line="276" w:before="0" w:after="0"/>
        <w:rPr>
          <w:rFonts w:ascii="Times New Roman" w:hAnsi="Times New Roman"/>
          <w:sz w:val="24"/>
          <w:szCs w:val="24"/>
        </w:rPr>
      </w:pPr>
      <w:r>
        <w:rPr>
          <w:rFonts w:ascii="Times New Roman" w:hAnsi="Times New Roman"/>
          <w:sz w:val="24"/>
          <w:szCs w:val="24"/>
        </w:rPr>
      </w:r>
    </w:p>
    <w:p>
      <w:pPr>
        <w:pStyle w:val="Normal"/>
        <w:spacing w:lineRule="auto" w:line="276" w:before="0" w:after="0"/>
        <w:rPr>
          <w:rFonts w:ascii="Times New Roman" w:hAnsi="Times New Roman"/>
          <w:sz w:val="24"/>
          <w:szCs w:val="24"/>
        </w:rPr>
      </w:pPr>
      <w:r>
        <w:rPr>
          <w:rFonts w:ascii="Times New Roman" w:hAnsi="Times New Roman"/>
          <w:sz w:val="24"/>
          <w:szCs w:val="24"/>
        </w:rPr>
      </w:r>
    </w:p>
    <w:p>
      <w:pPr>
        <w:pStyle w:val="Normal"/>
        <w:spacing w:lineRule="auto" w:line="276"/>
        <w:rPr>
          <w:rFonts w:ascii="Times New Roman" w:hAnsi="Times New Roman"/>
        </w:rPr>
      </w:pPr>
      <w:r>
        <w:rPr>
          <w:rFonts w:ascii="Times New Roman" w:hAnsi="Times New Roman"/>
          <w:sz w:val="24"/>
          <w:szCs w:val="24"/>
        </w:rPr>
        <w:t xml:space="preserve">Place, Date: Mannheim, </w:t>
      </w:r>
      <w:r>
        <w:rPr>
          <w:rFonts w:ascii="Times New Roman" w:hAnsi="Times New Roman"/>
          <w:sz w:val="24"/>
          <w:szCs w:val="24"/>
        </w:rPr>
        <w:fldChar w:fldCharType="begin"/>
      </w:r>
      <w:r>
        <w:rPr>
          <w:rFonts w:ascii="Times New Roman" w:hAnsi="Times New Roman"/>
          <w:sz w:val="24"/>
          <w:szCs w:val="24"/>
        </w:rPr>
        <w:instrText xml:space="preserve"> DATE \@"dd\-MM\-yyyy" </w:instrText>
      </w:r>
      <w:r>
        <w:rPr>
          <w:rFonts w:ascii="Times New Roman" w:hAnsi="Times New Roman"/>
          <w:sz w:val="24"/>
          <w:szCs w:val="24"/>
        </w:rPr>
        <w:fldChar w:fldCharType="separate"/>
      </w:r>
      <w:r>
        <w:rPr>
          <w:rFonts w:ascii="Times New Roman" w:hAnsi="Times New Roman"/>
          <w:sz w:val="24"/>
          <w:szCs w:val="24"/>
        </w:rPr>
        <w:t>08-09-2026</w:t>
      </w:r>
      <w:r>
        <w:rPr>
          <w:rFonts w:ascii="Times New Roman" w:hAnsi="Times New Roman"/>
          <w:sz w:val="24"/>
          <w:szCs w:val="24"/>
        </w:rPr>
        <w:fldChar w:fldCharType="end"/>
      </w:r>
    </w:p>
    <w:p>
      <w:pPr>
        <w:pStyle w:val="Normal"/>
        <w:spacing w:lineRule="auto" w:line="276"/>
        <w:rPr>
          <w:rFonts w:ascii="Times New Roman" w:hAnsi="Times New Roman"/>
        </w:rPr>
      </w:pPr>
      <w:r>
        <w:rPr>
          <w:rFonts w:ascii="Times New Roman" w:hAnsi="Times New Roman"/>
          <w:bCs/>
          <w:sz w:val="24"/>
          <w:szCs w:val="24"/>
        </w:rPr>
        <w:t xml:space="preserve">Signature: </w:t>
      </w:r>
      <w:r>
        <w:br w:type="page"/>
      </w:r>
    </w:p>
    <w:p>
      <w:pPr>
        <w:pStyle w:val="Heading1"/>
        <w:spacing w:lineRule="auto" w:line="276" w:before="0" w:after="140"/>
        <w:jc w:val="center"/>
        <w:rPr>
          <w:rFonts w:ascii="Times New Roman" w:hAnsi="Times New Roman"/>
          <w:sz w:val="24"/>
          <w:szCs w:val="24"/>
        </w:rPr>
      </w:pPr>
      <w:r>
        <w:rPr>
          <w:rFonts w:ascii="Times New Roman" w:hAnsi="Times New Roman"/>
          <w:sz w:val="24"/>
          <w:szCs w:val="24"/>
        </w:rPr>
        <w:t>Acknowledgements</w:t>
      </w:r>
    </w:p>
    <w:p>
      <w:pPr>
        <w:pStyle w:val="BodyText"/>
        <w:spacing w:lineRule="auto" w:line="276" w:before="0" w:after="140"/>
        <w:jc w:val="both"/>
        <w:rPr>
          <w:rFonts w:ascii="Times New Roman" w:hAnsi="Times New Roman"/>
          <w:sz w:val="24"/>
          <w:szCs w:val="24"/>
        </w:rPr>
      </w:pPr>
      <w:r>
        <w:rPr>
          <w:rFonts w:ascii="Times New Roman" w:hAnsi="Times New Roman"/>
          <w:sz w:val="24"/>
          <w:szCs w:val="24"/>
        </w:rPr>
      </w:r>
    </w:p>
    <w:p>
      <w:pPr>
        <w:pStyle w:val="BodyText"/>
        <w:spacing w:lineRule="auto" w:line="276"/>
        <w:jc w:val="both"/>
        <w:rPr/>
      </w:pPr>
      <w:r>
        <w:rPr>
          <w:rFonts w:ascii="Times New Roman" w:hAnsi="Times New Roman"/>
          <w:sz w:val="24"/>
          <w:szCs w:val="24"/>
        </w:rPr>
        <w:t xml:space="preserve">First and foremost, I would like to express my sincere gratitude to </w:t>
      </w:r>
      <w:r>
        <w:rPr>
          <w:rStyle w:val="Strong"/>
          <w:rFonts w:ascii="Times New Roman" w:hAnsi="Times New Roman"/>
          <w:sz w:val="24"/>
          <w:szCs w:val="24"/>
        </w:rPr>
        <w:t>Prof. Dr. Mehrdad Jalali</w:t>
      </w:r>
      <w:r>
        <w:rPr>
          <w:rFonts w:ascii="Times New Roman" w:hAnsi="Times New Roman"/>
          <w:sz w:val="24"/>
          <w:szCs w:val="24"/>
        </w:rPr>
        <w:t>, my thesis supervisor, for his guidance, support, and valuable feedback throughout the process of conducting and writing this thesis. His expertise, constructive suggestions, and encouragement have been invaluable to the successful completion of this research.</w:t>
      </w:r>
    </w:p>
    <w:p>
      <w:pPr>
        <w:pStyle w:val="BodyText"/>
        <w:spacing w:lineRule="auto" w:line="276"/>
        <w:jc w:val="both"/>
        <w:rPr/>
      </w:pPr>
      <w:r>
        <w:rPr>
          <w:rFonts w:ascii="Times New Roman" w:hAnsi="Times New Roman"/>
          <w:sz w:val="24"/>
          <w:szCs w:val="24"/>
        </w:rPr>
        <w:t xml:space="preserve">I would also like to express my sincere appreciation to all the professors and lecturers of the </w:t>
      </w:r>
      <w:r>
        <w:rPr>
          <w:rStyle w:val="Strong"/>
          <w:rFonts w:ascii="Times New Roman" w:hAnsi="Times New Roman"/>
          <w:sz w:val="24"/>
          <w:szCs w:val="24"/>
        </w:rPr>
        <w:t>M.Sc. Applied Data Science and Analytics program at SRH University Heidelberg</w:t>
      </w:r>
      <w:r>
        <w:rPr>
          <w:rFonts w:ascii="Times New Roman" w:hAnsi="Times New Roman"/>
          <w:sz w:val="24"/>
          <w:szCs w:val="24"/>
        </w:rPr>
        <w:t xml:space="preserve"> for providing me with the knowledge, skills, and academic foundation necessary to undertake this research.</w:t>
      </w:r>
    </w:p>
    <w:p>
      <w:pPr>
        <w:pStyle w:val="BodyText"/>
        <w:spacing w:lineRule="auto" w:line="276"/>
        <w:jc w:val="both"/>
        <w:rPr>
          <w:rFonts w:ascii="Times New Roman" w:hAnsi="Times New Roman"/>
          <w:sz w:val="24"/>
          <w:szCs w:val="24"/>
        </w:rPr>
      </w:pPr>
      <w:r>
        <w:rPr>
          <w:rFonts w:ascii="Times New Roman" w:hAnsi="Times New Roman"/>
          <w:sz w:val="24"/>
          <w:szCs w:val="24"/>
        </w:rPr>
        <w:t>Furthermore, I am deeply grateful to my family and friends for their continuous encouragement, patience, and support throughout my studies and the preparation of this thesis. Their understanding and motivation have been an important source of strength during this challenging period.</w:t>
      </w:r>
    </w:p>
    <w:p>
      <w:pPr>
        <w:pStyle w:val="BodyText"/>
        <w:spacing w:lineRule="auto" w:line="276"/>
        <w:jc w:val="both"/>
        <w:rPr>
          <w:rFonts w:ascii="Times New Roman" w:hAnsi="Times New Roman"/>
          <w:sz w:val="24"/>
          <w:szCs w:val="24"/>
        </w:rPr>
      </w:pPr>
      <w:r>
        <w:rPr>
          <w:rFonts w:ascii="Times New Roman" w:hAnsi="Times New Roman"/>
          <w:sz w:val="24"/>
          <w:szCs w:val="24"/>
        </w:rPr>
        <w:t>Finally, I would like to thank everyone who contributed directly or indirectly to this research and supported me during the completion of this thesis. Their assistance and encouragement are sincerely appreciated.</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r>
        <w:br w:type="page"/>
      </w:r>
    </w:p>
    <w:p>
      <w:pPr>
        <w:pStyle w:val="Heading1"/>
        <w:spacing w:lineRule="auto" w:line="276" w:before="0" w:after="320"/>
        <w:jc w:val="center"/>
        <w:rPr>
          <w:rFonts w:ascii="Times New Roman" w:hAnsi="Times New Roman"/>
          <w:sz w:val="32"/>
          <w:szCs w:val="32"/>
        </w:rPr>
      </w:pPr>
      <w:r>
        <w:rPr>
          <w:rFonts w:ascii="Times New Roman" w:hAnsi="Times New Roman"/>
          <w:sz w:val="32"/>
          <w:szCs w:val="32"/>
        </w:rPr>
        <w:t>Abstract</w:t>
      </w:r>
    </w:p>
    <w:p>
      <w:pPr>
        <w:pStyle w:val="Normal"/>
        <w:spacing w:lineRule="auto" w:line="276" w:before="0" w:after="200"/>
        <w:jc w:val="both"/>
        <w:rPr>
          <w:rFonts w:ascii="Times New Roman" w:hAnsi="Times New Roman"/>
        </w:rPr>
      </w:pPr>
      <w:r>
        <w:rPr>
          <w:rFonts w:ascii="Times New Roman" w:hAnsi="Times New Roman"/>
        </w:rPr>
        <w:t>This thesis develops and evaluates an end-to-end machine learning pipeline for credit risk prediction using a dataset of 50,000 loan applications. The study addresses four gaps commonly left open in the applied credit-scoring literature: rigorous, root-cause-driven data cleaning; explicit cost-sensitive decision-threshold optimisation; SHAP-based explainability at both the global and local level; and a quantitative reliability-monitoring and selective prediction framework suitable for production deployment. A tuned XGBoost classifier, trained on an engineered and selected feature set, achieved a test-set AUC of 0.9763 and, at a cost-</w:t>
      </w:r>
      <w:r>
        <w:rPr>
          <w:rFonts w:ascii="Times New Roman" w:hAnsi="Times New Roman"/>
          <w:lang w:val="en-US"/>
        </w:rPr>
        <w:t>optimized</w:t>
      </w:r>
      <w:r>
        <w:rPr>
          <w:rFonts w:ascii="Times New Roman" w:hAnsi="Times New Roman"/>
        </w:rPr>
        <w:t xml:space="preserve"> decision threshold of 0.28, a recall of 97% for the default class with an FP/FN ratio of 5.11. SHAP analysis identified credit score, debt-to-income ratio, credit history length, and loan-to-income ratio as the dominant predictors, with the top ten features explaining approximately 84.6% of the model's decisions. A reliability-monitoring framework based on the Population Stability Index and the Kolmogorov–Smirnov statistic detected no meaningful drift on a simulated production batch. Finally, a two-threshold selective prediction framework, referring 12.3% of applications to manual review, reduced total business cost by approximately 58.5% and false negatives by approximately 58.7% relative to a conventional single-threshold baseline. These results demonstrate that integrating cost-sensitivity, explainability, and reliability monitoring into a single credit-risk pipeline yields substantial, quantifiable improvements over conventional accuracy-driven modeling.</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sdt>
      <w:sdtPr>
        <w:id w:val="1540158865"/>
        <w:docPartObj>
          <w:docPartGallery w:val="Table of Contents"/>
          <w:docPartUnique w:val="true"/>
        </w:docPartObj>
      </w:sdtPr>
      <w:sdtContent>
        <w:p>
          <w:pPr>
            <w:pStyle w:val="TOCHeading"/>
            <w:spacing w:lineRule="auto" w:line="276"/>
            <w:jc w:val="center"/>
            <w:rPr>
              <w:lang w:val="en-IN"/>
            </w:rPr>
          </w:pPr>
          <w:r>
            <w:rPr>
              <w:lang w:val="en-IN"/>
            </w:rPr>
            <w:t>Table of Contents</w:t>
          </w:r>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r>
            <w:rPr/>
          </w:r>
        </w:p>
      </w:sdtContent>
    </w:sdt>
    <w:p>
      <w:pPr>
        <w:pStyle w:val="Normal"/>
        <w:spacing w:lineRule="auto" w:line="276"/>
        <w:rPr>
          <w:color w:themeColor="accent1" w:themeShade="80" w:val="1F3864"/>
        </w:rPr>
      </w:pPr>
      <w:r>
        <w:rPr>
          <w:color w:themeColor="accent1" w:themeShade="80" w:val="1F3864"/>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Heading1"/>
        <w:spacing w:lineRule="auto" w:line="276"/>
        <w:jc w:val="center"/>
        <w:rPr>
          <w:sz w:val="30"/>
          <w:szCs w:val="30"/>
        </w:rPr>
      </w:pPr>
      <w:bookmarkStart w:id="1" w:name="_Toc224113228"/>
      <w:r>
        <w:rPr>
          <w:sz w:val="30"/>
          <w:szCs w:val="30"/>
        </w:rPr>
        <w:t>List of Figures</w:t>
      </w:r>
      <w:bookmarkEnd w:id="1"/>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r>
        <w:fldChar w:fldCharType="begin"/>
      </w:r>
      <w:r>
        <w:rPr>
          <w:rStyle w:val="IndexLink"/>
        </w:rPr>
        <w:instrText xml:space="preserve"> TOC \c "Figure" \h </w:instrText>
      </w:r>
      <w:r>
        <w:rPr>
          <w:rStyle w:val="IndexLink"/>
        </w:rPr>
        <w:fldChar w:fldCharType="separate"/>
      </w:r>
      <w:hyperlink w:anchor="_Toc224113291">
        <w:r>
          <w:rPr>
            <w:rStyle w:val="IndexLink"/>
          </w:rPr>
          <w:t>Figure 1: The Health Belief Model - Original Framework (Rosenstock, 1974)</w:t>
        </w:r>
        <w:r>
          <w:rPr>
            <w:webHidden/>
          </w:rPr>
          <w:fldChar w:fldCharType="begin"/>
        </w:r>
        <w:r>
          <w:rPr>
            <w:webHidden/>
          </w:rPr>
          <w:instrText xml:space="preserve">PAGEREF _Toc224113291 \h</w:instrText>
        </w:r>
        <w:r>
          <w:rPr>
            <w:webHidden/>
          </w:rPr>
          <w:fldChar w:fldCharType="separate"/>
        </w:r>
        <w:r>
          <w:rPr>
            <w:rStyle w:val="IndexLink"/>
            <w:vanish w:val="false"/>
          </w:rPr>
          <w:tab/>
          <w:t>7</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2">
        <w:r>
          <w:rPr>
            <w:rStyle w:val="IndexLink"/>
          </w:rPr>
          <w:t>Figure 2: The Extended Health Belief Model with Self-Efficacy (Rosenstock et al., 1988)</w:t>
        </w:r>
        <w:r>
          <w:rPr>
            <w:webHidden/>
          </w:rPr>
          <w:fldChar w:fldCharType="begin"/>
        </w:r>
        <w:r>
          <w:rPr>
            <w:webHidden/>
          </w:rPr>
          <w:instrText xml:space="preserve">PAGEREF _Toc224113292 \h</w:instrText>
        </w:r>
        <w:r>
          <w:rPr>
            <w:webHidden/>
          </w:rPr>
          <w:fldChar w:fldCharType="separate"/>
        </w:r>
        <w:r>
          <w:rPr>
            <w:rStyle w:val="IndexLink"/>
            <w:vanish w:val="false"/>
          </w:rPr>
          <w:tab/>
          <w:t>7</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3">
        <w:r>
          <w:rPr>
            <w:rStyle w:val="IndexLink"/>
          </w:rPr>
          <w:t>Figure 3: Scaled Dot-Product Self-Attention Mechanism</w:t>
        </w:r>
        <w:r>
          <w:rPr>
            <w:webHidden/>
          </w:rPr>
          <w:fldChar w:fldCharType="begin"/>
        </w:r>
        <w:r>
          <w:rPr>
            <w:webHidden/>
          </w:rPr>
          <w:instrText xml:space="preserve">PAGEREF _Toc224113293 \h</w:instrText>
        </w:r>
        <w:r>
          <w:rPr>
            <w:webHidden/>
          </w:rPr>
          <w:fldChar w:fldCharType="separate"/>
        </w:r>
        <w:r>
          <w:rPr>
            <w:rStyle w:val="IndexLink"/>
            <w:vanish w:val="false"/>
          </w:rPr>
          <w:tab/>
          <w:t>11</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4">
        <w:r>
          <w:rPr>
            <w:rStyle w:val="IndexLink"/>
          </w:rPr>
          <w:t>Figure 4: BERT Pre-Training and Fine-Tuning Architecture (Devlin et al., 2018)</w:t>
        </w:r>
        <w:r>
          <w:rPr>
            <w:webHidden/>
          </w:rPr>
          <w:fldChar w:fldCharType="begin"/>
        </w:r>
        <w:r>
          <w:rPr>
            <w:webHidden/>
          </w:rPr>
          <w:instrText xml:space="preserve">PAGEREF _Toc224113294 \h</w:instrText>
        </w:r>
        <w:r>
          <w:rPr>
            <w:webHidden/>
          </w:rPr>
          <w:fldChar w:fldCharType="separate"/>
        </w:r>
        <w:r>
          <w:rPr>
            <w:rStyle w:val="IndexLink"/>
            <w:vanish w:val="false"/>
          </w:rPr>
          <w:tab/>
          <w:t>12</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5">
        <w:r>
          <w:rPr>
            <w:rStyle w:val="IndexLink"/>
          </w:rPr>
          <w:t>Figure 5: Three-Stage Domain-Adaptive Pre-Training Pipeline</w:t>
        </w:r>
        <w:r>
          <w:rPr>
            <w:webHidden/>
          </w:rPr>
          <w:fldChar w:fldCharType="begin"/>
        </w:r>
        <w:r>
          <w:rPr>
            <w:webHidden/>
          </w:rPr>
          <w:instrText xml:space="preserve">PAGEREF _Toc224113295 \h</w:instrText>
        </w:r>
        <w:r>
          <w:rPr>
            <w:webHidden/>
          </w:rPr>
          <w:fldChar w:fldCharType="separate"/>
        </w:r>
        <w:r>
          <w:rPr>
            <w:rStyle w:val="IndexLink"/>
            <w:vanish w:val="false"/>
          </w:rPr>
          <w:tab/>
          <w:t>13</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6">
        <w:r>
          <w:rPr>
            <w:rStyle w:val="IndexLink"/>
          </w:rPr>
          <w:t>Figure 6: Multi-Task Learning Architecture with Shared Encoder and 7 Classification Heads</w:t>
        </w:r>
        <w:r>
          <w:rPr>
            <w:webHidden/>
          </w:rPr>
          <w:fldChar w:fldCharType="begin"/>
        </w:r>
        <w:r>
          <w:rPr>
            <w:webHidden/>
          </w:rPr>
          <w:instrText xml:space="preserve">PAGEREF _Toc224113296 \h</w:instrText>
        </w:r>
        <w:r>
          <w:rPr>
            <w:webHidden/>
          </w:rPr>
          <w:fldChar w:fldCharType="separate"/>
        </w:r>
        <w:r>
          <w:rPr>
            <w:rStyle w:val="IndexLink"/>
            <w:vanish w:val="false"/>
          </w:rPr>
          <w:tab/>
          <w:t>15</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7">
        <w:r>
          <w:rPr>
            <w:rStyle w:val="IndexLink"/>
          </w:rPr>
          <w:t>Figure 7: Back-Translation Data Augmentation Pipeline</w:t>
        </w:r>
        <w:r>
          <w:rPr>
            <w:webHidden/>
          </w:rPr>
          <w:fldChar w:fldCharType="begin"/>
        </w:r>
        <w:r>
          <w:rPr>
            <w:webHidden/>
          </w:rPr>
          <w:instrText xml:space="preserve">PAGEREF _Toc224113297 \h</w:instrText>
        </w:r>
        <w:r>
          <w:rPr>
            <w:webHidden/>
          </w:rPr>
          <w:fldChar w:fldCharType="separate"/>
        </w:r>
        <w:r>
          <w:rPr>
            <w:rStyle w:val="IndexLink"/>
            <w:vanish w:val="false"/>
          </w:rPr>
          <w:tab/>
          <w:t>19</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8">
        <w:r>
          <w:rPr>
            <w:rStyle w:val="IndexLink"/>
          </w:rPr>
          <w:t>Figure 8: Research Gap Positioning: Dataset Scale vs. HBM Components Covered</w:t>
        </w:r>
        <w:r>
          <w:rPr>
            <w:webHidden/>
          </w:rPr>
          <w:fldChar w:fldCharType="begin"/>
        </w:r>
        <w:r>
          <w:rPr>
            <w:webHidden/>
          </w:rPr>
          <w:instrText xml:space="preserve">PAGEREF _Toc224113298 \h</w:instrText>
        </w:r>
        <w:r>
          <w:rPr>
            <w:webHidden/>
          </w:rPr>
          <w:fldChar w:fldCharType="separate"/>
        </w:r>
        <w:r>
          <w:rPr>
            <w:rStyle w:val="IndexLink"/>
            <w:vanish w:val="false"/>
          </w:rPr>
          <w:tab/>
          <w:t>23</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299">
        <w:r>
          <w:rPr>
            <w:rStyle w:val="IndexLink"/>
          </w:rPr>
          <w:t>Figure 9: Text Preprocessing Pipeline</w:t>
        </w:r>
        <w:r>
          <w:rPr>
            <w:webHidden/>
          </w:rPr>
          <w:fldChar w:fldCharType="begin"/>
        </w:r>
        <w:r>
          <w:rPr>
            <w:webHidden/>
          </w:rPr>
          <w:instrText xml:space="preserve">PAGEREF _Toc224113299 \h</w:instrText>
        </w:r>
        <w:r>
          <w:rPr>
            <w:webHidden/>
          </w:rPr>
          <w:fldChar w:fldCharType="separate"/>
        </w:r>
        <w:r>
          <w:rPr>
            <w:rStyle w:val="IndexLink"/>
            <w:vanish w:val="false"/>
          </w:rPr>
          <w:tab/>
          <w:t>25</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0">
        <w:r>
          <w:rPr>
            <w:rStyle w:val="IndexLink"/>
          </w:rPr>
          <w:t>Figure 10: Data Augmentation Strategy (Training Split Only)</w:t>
        </w:r>
        <w:r>
          <w:rPr>
            <w:webHidden/>
          </w:rPr>
          <w:fldChar w:fldCharType="begin"/>
        </w:r>
        <w:r>
          <w:rPr>
            <w:webHidden/>
          </w:rPr>
          <w:instrText xml:space="preserve">PAGEREF _Toc224113300 \h</w:instrText>
        </w:r>
        <w:r>
          <w:rPr>
            <w:webHidden/>
          </w:rPr>
          <w:fldChar w:fldCharType="separate"/>
        </w:r>
        <w:r>
          <w:rPr>
            <w:rStyle w:val="IndexLink"/>
            <w:vanish w:val="false"/>
          </w:rPr>
          <w:tab/>
          <w:t>28</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1">
        <w:r>
          <w:rPr>
            <w:rStyle w:val="IndexLink"/>
          </w:rPr>
          <w:t>Figure 11: Input sequence construction (subreddit + title + body concatenation)</w:t>
        </w:r>
        <w:r>
          <w:rPr>
            <w:webHidden/>
          </w:rPr>
          <w:fldChar w:fldCharType="begin"/>
        </w:r>
        <w:r>
          <w:rPr>
            <w:webHidden/>
          </w:rPr>
          <w:instrText xml:space="preserve">PAGEREF _Toc224113301 \h</w:instrText>
        </w:r>
        <w:r>
          <w:rPr>
            <w:webHidden/>
          </w:rPr>
          <w:fldChar w:fldCharType="separate"/>
        </w:r>
        <w:r>
          <w:rPr>
            <w:rStyle w:val="IndexLink"/>
            <w:vanish w:val="false"/>
          </w:rPr>
          <w:tab/>
          <w:t>34</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2">
        <w:r>
          <w:rPr>
            <w:rStyle w:val="IndexLink"/>
          </w:rPr>
          <w:t>Figure 12: Macro F1 Heatmap: Architecture x Component (Per-Component Setup)</w:t>
        </w:r>
        <w:r>
          <w:rPr>
            <w:webHidden/>
          </w:rPr>
          <w:fldChar w:fldCharType="begin"/>
        </w:r>
        <w:r>
          <w:rPr>
            <w:webHidden/>
          </w:rPr>
          <w:instrText xml:space="preserve">PAGEREF _Toc224113302 \h</w:instrText>
        </w:r>
        <w:r>
          <w:rPr>
            <w:webHidden/>
          </w:rPr>
          <w:fldChar w:fldCharType="separate"/>
        </w:r>
        <w:r>
          <w:rPr>
            <w:rStyle w:val="IndexLink"/>
            <w:vanish w:val="false"/>
          </w:rPr>
          <w:tab/>
          <w:t>36</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3">
        <w:r>
          <w:rPr>
            <w:rStyle w:val="IndexLink"/>
          </w:rPr>
          <w:t>Figure 13: Per-component fine-tuning loop</w:t>
        </w:r>
        <w:r>
          <w:rPr>
            <w:webHidden/>
          </w:rPr>
          <w:fldChar w:fldCharType="begin"/>
        </w:r>
        <w:r>
          <w:rPr>
            <w:webHidden/>
          </w:rPr>
          <w:instrText xml:space="preserve">PAGEREF _Toc224113303 \h</w:instrText>
        </w:r>
        <w:r>
          <w:rPr>
            <w:webHidden/>
          </w:rPr>
          <w:fldChar w:fldCharType="separate"/>
        </w:r>
        <w:r>
          <w:rPr>
            <w:rStyle w:val="IndexLink"/>
            <w:vanish w:val="false"/>
          </w:rPr>
          <w:tab/>
          <w:t>37</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4">
        <w:r>
          <w:rPr>
            <w:rStyle w:val="IndexLink"/>
          </w:rPr>
          <w:t>Figure 14: Domain-Specific vs General-Purpose Model Comparison</w:t>
        </w:r>
        <w:r>
          <w:rPr>
            <w:webHidden/>
          </w:rPr>
          <w:fldChar w:fldCharType="begin"/>
        </w:r>
        <w:r>
          <w:rPr>
            <w:webHidden/>
          </w:rPr>
          <w:instrText xml:space="preserve">PAGEREF _Toc224113304 \h</w:instrText>
        </w:r>
        <w:r>
          <w:rPr>
            <w:webHidden/>
          </w:rPr>
          <w:fldChar w:fldCharType="separate"/>
        </w:r>
        <w:r>
          <w:rPr>
            <w:rStyle w:val="IndexLink"/>
            <w:vanish w:val="false"/>
          </w:rPr>
          <w:tab/>
          <w:t>38</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5">
        <w:r>
          <w:rPr>
            <w:rStyle w:val="IndexLink"/>
          </w:rPr>
          <w:t>Figure 15: Unified MTL model definition</w:t>
        </w:r>
        <w:r>
          <w:rPr>
            <w:webHidden/>
          </w:rPr>
          <w:fldChar w:fldCharType="begin"/>
        </w:r>
        <w:r>
          <w:rPr>
            <w:webHidden/>
          </w:rPr>
          <w:instrText xml:space="preserve">PAGEREF _Toc224113305 \h</w:instrText>
        </w:r>
        <w:r>
          <w:rPr>
            <w:webHidden/>
          </w:rPr>
          <w:fldChar w:fldCharType="separate"/>
        </w:r>
        <w:r>
          <w:rPr>
            <w:rStyle w:val="IndexLink"/>
            <w:vanish w:val="false"/>
          </w:rPr>
          <w:tab/>
          <w:t>43</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6">
        <w:r>
          <w:rPr>
            <w:rStyle w:val="IndexLink"/>
          </w:rPr>
          <w:t>Figure 16: Ensemble vs Best Individual Model Macro F1 per Component</w:t>
        </w:r>
        <w:r>
          <w:rPr>
            <w:webHidden/>
          </w:rPr>
          <w:fldChar w:fldCharType="begin"/>
        </w:r>
        <w:r>
          <w:rPr>
            <w:webHidden/>
          </w:rPr>
          <w:instrText xml:space="preserve">PAGEREF _Toc224113306 \h</w:instrText>
        </w:r>
        <w:r>
          <w:rPr>
            <w:webHidden/>
          </w:rPr>
          <w:fldChar w:fldCharType="separate"/>
        </w:r>
        <w:r>
          <w:rPr>
            <w:rStyle w:val="IndexLink"/>
            <w:vanish w:val="false"/>
          </w:rPr>
          <w:tab/>
          <w:t>45</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7">
        <w:r>
          <w:rPr>
            <w:rStyle w:val="IndexLink"/>
          </w:rPr>
          <w:t>Figure 17: Ensemble implementation showing top-3 model selection</w:t>
        </w:r>
        <w:r>
          <w:rPr>
            <w:webHidden/>
          </w:rPr>
          <w:fldChar w:fldCharType="begin"/>
        </w:r>
        <w:r>
          <w:rPr>
            <w:webHidden/>
          </w:rPr>
          <w:instrText xml:space="preserve">PAGEREF _Toc224113307 \h</w:instrText>
        </w:r>
        <w:r>
          <w:rPr>
            <w:webHidden/>
          </w:rPr>
          <w:fldChar w:fldCharType="separate"/>
        </w:r>
        <w:r>
          <w:rPr>
            <w:rStyle w:val="IndexLink"/>
            <w:vanish w:val="false"/>
          </w:rPr>
          <w:tab/>
          <w:t>47</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8">
        <w:r>
          <w:rPr>
            <w:rStyle w:val="IndexLink"/>
          </w:rPr>
          <w:t>Figure 18: Augmentation Ablation: Synonym Replacement vs Back-Translation</w:t>
        </w:r>
        <w:r>
          <w:rPr>
            <w:webHidden/>
          </w:rPr>
          <w:fldChar w:fldCharType="begin"/>
        </w:r>
        <w:r>
          <w:rPr>
            <w:webHidden/>
          </w:rPr>
          <w:instrText xml:space="preserve">PAGEREF _Toc224113308 \h</w:instrText>
        </w:r>
        <w:r>
          <w:rPr>
            <w:webHidden/>
          </w:rPr>
          <w:fldChar w:fldCharType="separate"/>
        </w:r>
        <w:r>
          <w:rPr>
            <w:rStyle w:val="IndexLink"/>
            <w:vanish w:val="false"/>
          </w:rPr>
          <w:tab/>
          <w:t>49</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09">
        <w:r>
          <w:rPr>
            <w:rStyle w:val="IndexLink"/>
          </w:rPr>
          <w:t>Figure 19: Back-translation pipeline using MarianMT (EN→DE→EN)</w:t>
        </w:r>
        <w:r>
          <w:rPr>
            <w:webHidden/>
          </w:rPr>
          <w:fldChar w:fldCharType="begin"/>
        </w:r>
        <w:r>
          <w:rPr>
            <w:webHidden/>
          </w:rPr>
          <w:instrText xml:space="preserve">PAGEREF _Toc224113309 \h</w:instrText>
        </w:r>
        <w:r>
          <w:rPr>
            <w:webHidden/>
          </w:rPr>
          <w:fldChar w:fldCharType="separate"/>
        </w:r>
        <w:r>
          <w:rPr>
            <w:rStyle w:val="IndexLink"/>
            <w:vanish w:val="false"/>
          </w:rPr>
          <w:tab/>
          <w:t>51</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0">
        <w:r>
          <w:rPr>
            <w:rStyle w:val="IndexLink"/>
          </w:rPr>
          <w:t>Figure 20: Confusion Matrices: Perceived Severity (All Five Architectures)</w:t>
        </w:r>
        <w:r>
          <w:rPr>
            <w:webHidden/>
          </w:rPr>
          <w:fldChar w:fldCharType="begin"/>
        </w:r>
        <w:r>
          <w:rPr>
            <w:webHidden/>
          </w:rPr>
          <w:instrText xml:space="preserve">PAGEREF _Toc224113310 \h</w:instrText>
        </w:r>
        <w:r>
          <w:rPr>
            <w:webHidden/>
          </w:rPr>
          <w:fldChar w:fldCharType="separate"/>
        </w:r>
        <w:r>
          <w:rPr>
            <w:rStyle w:val="IndexLink"/>
            <w:vanish w:val="false"/>
          </w:rPr>
          <w:tab/>
          <w:t>52</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1">
        <w:r>
          <w:rPr>
            <w:rStyle w:val="IndexLink"/>
          </w:rPr>
          <w:t>Figure 21: Confusion Matrices: Perceived Barriers (All Five Architectures)</w:t>
        </w:r>
        <w:r>
          <w:rPr>
            <w:webHidden/>
          </w:rPr>
          <w:fldChar w:fldCharType="begin"/>
        </w:r>
        <w:r>
          <w:rPr>
            <w:webHidden/>
          </w:rPr>
          <w:instrText xml:space="preserve">PAGEREF _Toc224113311 \h</w:instrText>
        </w:r>
        <w:r>
          <w:rPr>
            <w:webHidden/>
          </w:rPr>
          <w:fldChar w:fldCharType="separate"/>
        </w:r>
        <w:r>
          <w:rPr>
            <w:rStyle w:val="IndexLink"/>
            <w:vanish w:val="false"/>
          </w:rPr>
          <w:tab/>
          <w:t>54</w:t>
        </w:r>
        <w:r>
          <w:rPr>
            <w:webHidden/>
          </w:rPr>
          <w:fldChar w:fldCharType="end"/>
        </w:r>
      </w:hyperlink>
      <w:r>
        <w:rPr>
          <w:rStyle w:val="IndexLink"/>
          <w:vanish w:val="false"/>
        </w:rPr>
        <w:fldChar w:fldCharType="end"/>
      </w:r>
    </w:p>
    <w:p>
      <w:pPr>
        <w:pStyle w:val="Normal"/>
        <w:spacing w:lineRule="auto" w:line="276"/>
        <w:rPr>
          <w:rFonts w:eastAsia="Times New Roman"/>
          <w:b/>
          <w:sz w:val="24"/>
          <w:szCs w:val="24"/>
        </w:rPr>
      </w:pPr>
      <w:r>
        <w:rPr/>
      </w:r>
      <w:r>
        <w:br w:type="page"/>
      </w:r>
    </w:p>
    <w:p>
      <w:pPr>
        <w:pStyle w:val="Heading1"/>
        <w:spacing w:lineRule="auto" w:line="276" w:before="0" w:after="320"/>
        <w:jc w:val="center"/>
        <w:rPr>
          <w:rFonts w:ascii="Times New Roman" w:hAnsi="Times New Roman"/>
          <w:sz w:val="30"/>
          <w:szCs w:val="30"/>
        </w:rPr>
      </w:pPr>
      <w:r>
        <w:rPr>
          <w:rFonts w:ascii="Times New Roman" w:hAnsi="Times New Roman"/>
          <w:sz w:val="30"/>
          <w:szCs w:val="30"/>
        </w:rPr>
        <w:t>List of Figures</w:t>
      </w:r>
    </w:p>
    <w:p>
      <w:pPr>
        <w:pStyle w:val="Normal"/>
        <w:spacing w:lineRule="auto" w:line="276" w:before="0" w:after="120"/>
        <w:rPr>
          <w:rFonts w:ascii="Times New Roman" w:hAnsi="Times New Roman"/>
        </w:rPr>
      </w:pPr>
      <w:r>
        <w:rPr>
          <w:rFonts w:ascii="Times New Roman" w:hAnsi="Times New Roman"/>
        </w:rPr>
        <w:t>Figure 4.1 — Spearman correlation heatmap of numerical features</w:t>
      </w:r>
    </w:p>
    <w:p>
      <w:pPr>
        <w:pStyle w:val="Normal"/>
        <w:spacing w:lineRule="auto" w:line="276" w:before="0" w:after="120"/>
        <w:rPr>
          <w:rFonts w:ascii="Times New Roman" w:hAnsi="Times New Roman"/>
        </w:rPr>
      </w:pPr>
      <w:r>
        <w:rPr>
          <w:rFonts w:ascii="Times New Roman" w:hAnsi="Times New Roman"/>
        </w:rPr>
        <w:t>Figure 5.1 — ROC curve for the final XGBoost model on the test set</w:t>
      </w:r>
    </w:p>
    <w:p>
      <w:pPr>
        <w:pStyle w:val="Normal"/>
        <w:spacing w:lineRule="auto" w:line="276" w:before="0" w:after="120"/>
        <w:rPr>
          <w:rFonts w:ascii="Times New Roman" w:hAnsi="Times New Roman"/>
        </w:rPr>
      </w:pPr>
      <w:r>
        <w:rPr>
          <w:rFonts w:ascii="Times New Roman" w:hAnsi="Times New Roman"/>
        </w:rPr>
        <w:t>Figure 5.2 — SHAP waterfall plot for a representative false-negative applicant</w:t>
      </w:r>
    </w:p>
    <w:p>
      <w:pPr>
        <w:pStyle w:val="Normal"/>
        <w:spacing w:lineRule="auto" w:line="276" w:before="0" w:after="120"/>
        <w:rPr>
          <w:rFonts w:ascii="Times New Roman" w:hAnsi="Times New Roman"/>
        </w:rPr>
      </w:pPr>
      <w:r>
        <w:rPr>
          <w:rFonts w:ascii="Times New Roman" w:hAnsi="Times New Roman"/>
        </w:rPr>
        <w:t>Figure 5.3 — Hyperparameter grid-search results: validation AUC and FP/FN trade-off across candidate models</w:t>
      </w:r>
    </w:p>
    <w:p>
      <w:pPr>
        <w:pStyle w:val="Normal"/>
        <w:spacing w:lineRule="auto" w:line="276" w:before="0" w:after="120"/>
        <w:rPr>
          <w:rFonts w:ascii="Times New Roman" w:hAnsi="Times New Roman"/>
        </w:rPr>
      </w:pPr>
      <w:r>
        <w:rPr>
          <w:rFonts w:ascii="Times New Roman" w:hAnsi="Times New Roman"/>
        </w:rPr>
        <w:t>Figure 5.4 — Top 15 XGBoost feature importances for the final model</w:t>
      </w:r>
    </w:p>
    <w:p>
      <w:pPr>
        <w:pStyle w:val="Normal"/>
        <w:spacing w:lineRule="auto" w:line="276" w:before="0" w:after="120"/>
        <w:rPr>
          <w:rFonts w:ascii="Times New Roman" w:hAnsi="Times New Roman"/>
        </w:rPr>
      </w:pPr>
      <w:r>
        <w:rPr>
          <w:rFonts w:ascii="Times New Roman" w:hAnsi="Times New Roman"/>
        </w:rPr>
        <w:t>Figure 5.5 — Global SHAP summary (beeswarm) plot of feature importance</w:t>
      </w:r>
    </w:p>
    <w:p>
      <w:pPr>
        <w:pStyle w:val="Normal"/>
        <w:spacing w:lineRule="auto" w:line="276" w:before="0" w:after="120"/>
        <w:rPr>
          <w:rFonts w:ascii="Times New Roman" w:hAnsi="Times New Roman"/>
        </w:rPr>
      </w:pPr>
      <w:r>
        <w:rPr>
          <w:rFonts w:ascii="Times New Roman" w:hAnsi="Times New Roman"/>
        </w:rPr>
        <w:t>Figure 5.6 — Predicted-probability distribution with selective-prediction decision zones, decision distribution, and cost/trade-off diagnostics</w:t>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Heading1"/>
        <w:spacing w:lineRule="auto" w:line="276"/>
        <w:jc w:val="center"/>
        <w:rPr>
          <w:sz w:val="30"/>
          <w:szCs w:val="30"/>
        </w:rPr>
      </w:pPr>
      <w:bookmarkStart w:id="2" w:name="_Toc224113229"/>
      <w:r>
        <w:rPr>
          <w:sz w:val="30"/>
          <w:szCs w:val="30"/>
        </w:rPr>
        <w:t>List of Tables</w:t>
      </w:r>
      <w:bookmarkEnd w:id="2"/>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r>
        <w:fldChar w:fldCharType="begin"/>
      </w:r>
      <w:r>
        <w:rPr>
          <w:rStyle w:val="IndexLink"/>
        </w:rPr>
        <w:instrText xml:space="preserve"> TOC \c "Tabel" \h </w:instrText>
      </w:r>
      <w:r>
        <w:rPr>
          <w:rStyle w:val="IndexLink"/>
        </w:rPr>
        <w:fldChar w:fldCharType="separate"/>
      </w:r>
      <w:hyperlink w:anchor="_Toc224113312">
        <w:r>
          <w:rPr>
            <w:rStyle w:val="IndexLink"/>
          </w:rPr>
          <w:t>Table 1: Comparison of Transformer Architectures Evaluated in This Study</w:t>
        </w:r>
        <w:r>
          <w:rPr>
            <w:webHidden/>
          </w:rPr>
          <w:fldChar w:fldCharType="begin"/>
        </w:r>
        <w:r>
          <w:rPr>
            <w:webHidden/>
          </w:rPr>
          <w:instrText xml:space="preserve">PAGEREF _Toc224113312 \h</w:instrText>
        </w:r>
        <w:r>
          <w:rPr>
            <w:webHidden/>
          </w:rPr>
          <w:fldChar w:fldCharType="separate"/>
        </w:r>
        <w:r>
          <w:rPr>
            <w:rStyle w:val="IndexLink"/>
            <w:vanish w:val="false"/>
          </w:rPr>
          <w:tab/>
          <w:t>14</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3">
        <w:r>
          <w:rPr>
            <w:rStyle w:val="IndexLink"/>
          </w:rPr>
          <w:t>Table 2: Augmentation Statistics per HBM Component</w:t>
        </w:r>
        <w:r>
          <w:rPr>
            <w:webHidden/>
          </w:rPr>
          <w:fldChar w:fldCharType="begin"/>
        </w:r>
        <w:r>
          <w:rPr>
            <w:webHidden/>
          </w:rPr>
          <w:instrText xml:space="preserve">PAGEREF _Toc224113313 \h</w:instrText>
        </w:r>
        <w:r>
          <w:rPr>
            <w:webHidden/>
          </w:rPr>
          <w:fldChar w:fldCharType="separate"/>
        </w:r>
        <w:r>
          <w:rPr>
            <w:rStyle w:val="IndexLink"/>
            <w:vanish w:val="false"/>
          </w:rPr>
          <w:tab/>
          <w:t>27</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4">
        <w:r>
          <w:rPr>
            <w:rStyle w:val="IndexLink"/>
          </w:rPr>
          <w:t>Table 3: Evaluation protocol summary. MTL = unified multi-task learning configuration.</w:t>
        </w:r>
        <w:r>
          <w:rPr>
            <w:webHidden/>
          </w:rPr>
          <w:fldChar w:fldCharType="begin"/>
        </w:r>
        <w:r>
          <w:rPr>
            <w:webHidden/>
          </w:rPr>
          <w:instrText xml:space="preserve">PAGEREF _Toc224113314 \h</w:instrText>
        </w:r>
        <w:r>
          <w:rPr>
            <w:webHidden/>
          </w:rPr>
          <w:fldChar w:fldCharType="separate"/>
        </w:r>
        <w:r>
          <w:rPr>
            <w:rStyle w:val="IndexLink"/>
            <w:vanish w:val="false"/>
          </w:rPr>
          <w:tab/>
          <w:t>31</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5">
        <w:r>
          <w:rPr>
            <w:rStyle w:val="IndexLink"/>
          </w:rPr>
          <w:t>Table 4: Per-Component Macro F1-Scores by Architecture</w:t>
        </w:r>
        <w:r>
          <w:rPr>
            <w:webHidden/>
          </w:rPr>
          <w:fldChar w:fldCharType="begin"/>
        </w:r>
        <w:r>
          <w:rPr>
            <w:webHidden/>
          </w:rPr>
          <w:instrText xml:space="preserve">PAGEREF _Toc224113315 \h</w:instrText>
        </w:r>
        <w:r>
          <w:rPr>
            <w:webHidden/>
          </w:rPr>
          <w:fldChar w:fldCharType="separate"/>
        </w:r>
        <w:r>
          <w:rPr>
            <w:rStyle w:val="IndexLink"/>
            <w:vanish w:val="false"/>
          </w:rPr>
          <w:tab/>
          <w:t>35</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6">
        <w:r>
          <w:rPr>
            <w:rStyle w:val="IndexLink"/>
          </w:rPr>
          <w:t>Table 5: Per-Component Accuracy by Architecture</w:t>
        </w:r>
        <w:r>
          <w:rPr>
            <w:webHidden/>
          </w:rPr>
          <w:fldChar w:fldCharType="begin"/>
        </w:r>
        <w:r>
          <w:rPr>
            <w:webHidden/>
          </w:rPr>
          <w:instrText xml:space="preserve">PAGEREF _Toc224113316 \h</w:instrText>
        </w:r>
        <w:r>
          <w:rPr>
            <w:webHidden/>
          </w:rPr>
          <w:fldChar w:fldCharType="separate"/>
        </w:r>
        <w:r>
          <w:rPr>
            <w:rStyle w:val="IndexLink"/>
            <w:vanish w:val="false"/>
          </w:rPr>
          <w:tab/>
          <w:t>35</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7">
        <w:r>
          <w:rPr>
            <w:rStyle w:val="IndexLink"/>
          </w:rPr>
          <w:t>Table 6: General-Purpose vs Domain-Specific Model Comparison</w:t>
        </w:r>
        <w:r>
          <w:rPr>
            <w:webHidden/>
          </w:rPr>
          <w:fldChar w:fldCharType="begin"/>
        </w:r>
        <w:r>
          <w:rPr>
            <w:webHidden/>
          </w:rPr>
          <w:instrText xml:space="preserve">PAGEREF _Toc224113317 \h</w:instrText>
        </w:r>
        <w:r>
          <w:rPr>
            <w:webHidden/>
          </w:rPr>
          <w:fldChar w:fldCharType="separate"/>
        </w:r>
        <w:r>
          <w:rPr>
            <w:rStyle w:val="IndexLink"/>
            <w:vanish w:val="false"/>
          </w:rPr>
          <w:tab/>
          <w:t>38</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8">
        <w:r>
          <w:rPr>
            <w:rStyle w:val="IndexLink"/>
          </w:rPr>
          <w:t>Table 7: Unified MTL Macro F1-Scores by Architecture</w:t>
        </w:r>
        <w:r>
          <w:rPr>
            <w:webHidden/>
          </w:rPr>
          <w:fldChar w:fldCharType="begin"/>
        </w:r>
        <w:r>
          <w:rPr>
            <w:webHidden/>
          </w:rPr>
          <w:instrText xml:space="preserve">PAGEREF _Toc224113318 \h</w:instrText>
        </w:r>
        <w:r>
          <w:rPr>
            <w:webHidden/>
          </w:rPr>
          <w:fldChar w:fldCharType="separate"/>
        </w:r>
        <w:r>
          <w:rPr>
            <w:rStyle w:val="IndexLink"/>
            <w:vanish w:val="false"/>
          </w:rPr>
          <w:tab/>
          <w:t>40</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19">
        <w:r>
          <w:rPr>
            <w:rStyle w:val="IndexLink"/>
          </w:rPr>
          <w:t>Table 8: F1 Delta: Per-Component vs Unified MTL</w:t>
        </w:r>
        <w:r>
          <w:rPr>
            <w:webHidden/>
          </w:rPr>
          <w:fldChar w:fldCharType="begin"/>
        </w:r>
        <w:r>
          <w:rPr>
            <w:webHidden/>
          </w:rPr>
          <w:instrText xml:space="preserve">PAGEREF _Toc224113319 \h</w:instrText>
        </w:r>
        <w:r>
          <w:rPr>
            <w:webHidden/>
          </w:rPr>
          <w:fldChar w:fldCharType="separate"/>
        </w:r>
        <w:r>
          <w:rPr>
            <w:rStyle w:val="IndexLink"/>
            <w:vanish w:val="false"/>
          </w:rPr>
          <w:tab/>
          <w:t>40</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20">
        <w:r>
          <w:rPr>
            <w:rStyle w:val="IndexLink"/>
          </w:rPr>
          <w:t>Table 9: Three-Way Comparison: Best Individual vs Ensemble vs Paper [12]</w:t>
        </w:r>
        <w:r>
          <w:rPr>
            <w:webHidden/>
          </w:rPr>
          <w:fldChar w:fldCharType="begin"/>
        </w:r>
        <w:r>
          <w:rPr>
            <w:webHidden/>
          </w:rPr>
          <w:instrText xml:space="preserve">PAGEREF _Toc224113320 \h</w:instrText>
        </w:r>
        <w:r>
          <w:rPr>
            <w:webHidden/>
          </w:rPr>
          <w:fldChar w:fldCharType="separate"/>
        </w:r>
        <w:r>
          <w:rPr>
            <w:rStyle w:val="IndexLink"/>
            <w:vanish w:val="false"/>
          </w:rPr>
          <w:tab/>
          <w:t>44</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21">
        <w:r>
          <w:rPr>
            <w:rStyle w:val="IndexLink"/>
          </w:rPr>
          <w:t>Table 10: Ensemble Composition per Component</w:t>
        </w:r>
        <w:r>
          <w:rPr>
            <w:webHidden/>
          </w:rPr>
          <w:fldChar w:fldCharType="begin"/>
        </w:r>
        <w:r>
          <w:rPr>
            <w:webHidden/>
          </w:rPr>
          <w:instrText xml:space="preserve">PAGEREF _Toc224113321 \h</w:instrText>
        </w:r>
        <w:r>
          <w:rPr>
            <w:webHidden/>
          </w:rPr>
          <w:fldChar w:fldCharType="separate"/>
        </w:r>
        <w:r>
          <w:rPr>
            <w:rStyle w:val="IndexLink"/>
            <w:vanish w:val="false"/>
          </w:rPr>
          <w:tab/>
          <w:t>44</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22">
        <w:r>
          <w:rPr>
            <w:rStyle w:val="IndexLink"/>
          </w:rPr>
          <w:t>Table 11: Augmentation Ablation Results: Synonym vs Back-Translation</w:t>
        </w:r>
        <w:r>
          <w:rPr>
            <w:webHidden/>
          </w:rPr>
          <w:fldChar w:fldCharType="begin"/>
        </w:r>
        <w:r>
          <w:rPr>
            <w:webHidden/>
          </w:rPr>
          <w:instrText xml:space="preserve">PAGEREF _Toc224113322 \h</w:instrText>
        </w:r>
        <w:r>
          <w:rPr>
            <w:webHidden/>
          </w:rPr>
          <w:fldChar w:fldCharType="separate"/>
        </w:r>
        <w:r>
          <w:rPr>
            <w:rStyle w:val="IndexLink"/>
            <w:vanish w:val="false"/>
          </w:rPr>
          <w:tab/>
          <w:t>48</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23">
        <w:r>
          <w:rPr>
            <w:rStyle w:val="IndexLink"/>
          </w:rPr>
          <w:t>Table 12: Summary of Key Experimental Findings</w:t>
        </w:r>
        <w:r>
          <w:rPr>
            <w:webHidden/>
          </w:rPr>
          <w:fldChar w:fldCharType="begin"/>
        </w:r>
        <w:r>
          <w:rPr>
            <w:webHidden/>
          </w:rPr>
          <w:instrText xml:space="preserve">PAGEREF _Toc224113323 \h</w:instrText>
        </w:r>
        <w:r>
          <w:rPr>
            <w:webHidden/>
          </w:rPr>
          <w:fldChar w:fldCharType="separate"/>
        </w:r>
        <w:r>
          <w:rPr>
            <w:rStyle w:val="IndexLink"/>
            <w:vanish w:val="false"/>
          </w:rPr>
          <w:tab/>
          <w:t>56</w:t>
        </w:r>
        <w:r>
          <w:rPr>
            <w:webHidden/>
          </w:rPr>
          <w:fldChar w:fldCharType="end"/>
        </w:r>
      </w:hyperlink>
    </w:p>
    <w:p>
      <w:pPr>
        <w:pStyle w:val="TableofFigures"/>
        <w:tabs>
          <w:tab w:val="clear" w:pos="720"/>
          <w:tab w:val="right" w:pos="9016" w:leader="dot"/>
        </w:tabs>
        <w:rPr>
          <w:rFonts w:ascii="Calibri" w:hAnsi="Calibri" w:eastAsia="" w:cs="" w:asciiTheme="minorHAnsi" w:cstheme="minorBidi" w:eastAsiaTheme="minorEastAsia" w:hAnsiTheme="minorHAnsi"/>
          <w:kern w:val="2"/>
          <w:sz w:val="24"/>
          <w:szCs w:val="24"/>
          <w:lang w:eastAsia="en-IN"/>
          <w14:ligatures w14:val="standardContextual"/>
        </w:rPr>
      </w:pPr>
      <w:hyperlink w:anchor="_Toc224113324">
        <w:r>
          <w:rPr>
            <w:rStyle w:val="IndexLink"/>
          </w:rPr>
          <w:t>Table 13: Performance Gap: This Study vs Nguyen et al. [12] by Component</w:t>
        </w:r>
        <w:r>
          <w:rPr>
            <w:webHidden/>
          </w:rPr>
          <w:fldChar w:fldCharType="begin"/>
        </w:r>
        <w:r>
          <w:rPr>
            <w:webHidden/>
          </w:rPr>
          <w:instrText xml:space="preserve">PAGEREF _Toc224113324 \h</w:instrText>
        </w:r>
        <w:r>
          <w:rPr>
            <w:webHidden/>
          </w:rPr>
          <w:fldChar w:fldCharType="separate"/>
        </w:r>
        <w:r>
          <w:rPr>
            <w:rStyle w:val="IndexLink"/>
            <w:vanish w:val="false"/>
          </w:rPr>
          <w:tab/>
          <w:t>60</w:t>
        </w:r>
        <w:r>
          <w:rPr>
            <w:webHidden/>
          </w:rPr>
          <w:fldChar w:fldCharType="end"/>
        </w:r>
      </w:hyperlink>
      <w:r>
        <w:rPr>
          <w:rStyle w:val="IndexLink"/>
          <w:vanish w:val="false"/>
        </w:rPr>
        <w:fldChar w:fldCharType="end"/>
      </w:r>
    </w:p>
    <w:p>
      <w:pPr>
        <w:pStyle w:val="Normal"/>
        <w:spacing w:lineRule="auto" w:line="276"/>
        <w:rPr>
          <w:rFonts w:eastAsia="Times New Roman"/>
          <w:sz w:val="24"/>
          <w:szCs w:val="24"/>
        </w:rPr>
      </w:pPr>
      <w:r>
        <w:rPr>
          <w:rFonts w:eastAsia="Times New Roman"/>
          <w:sz w:val="24"/>
          <w:szCs w:val="24"/>
        </w:rPr>
      </w:r>
      <w:r>
        <w:br w:type="page"/>
      </w:r>
    </w:p>
    <w:p>
      <w:pPr>
        <w:pStyle w:val="Heading1"/>
        <w:spacing w:lineRule="auto" w:line="276" w:before="0" w:after="320"/>
        <w:jc w:val="center"/>
        <w:rPr>
          <w:rFonts w:ascii="Times New Roman" w:hAnsi="Times New Roman"/>
          <w:sz w:val="30"/>
          <w:szCs w:val="30"/>
        </w:rPr>
      </w:pPr>
      <w:r>
        <w:rPr>
          <w:rFonts w:ascii="Times New Roman" w:hAnsi="Times New Roman"/>
          <w:sz w:val="30"/>
          <w:szCs w:val="30"/>
        </w:rPr>
        <w:t>List of Tables</w:t>
      </w:r>
    </w:p>
    <w:p>
      <w:pPr>
        <w:pStyle w:val="Normal"/>
        <w:spacing w:lineRule="auto" w:line="276" w:before="0" w:after="120"/>
        <w:rPr>
          <w:rFonts w:ascii="Times New Roman" w:hAnsi="Times New Roman"/>
        </w:rPr>
      </w:pPr>
      <w:r>
        <w:rPr>
          <w:rFonts w:ascii="Times New Roman" w:hAnsi="Times New Roman"/>
        </w:rPr>
        <w:t>Table 4.1 – Summary of dataset features by category</w:t>
      </w:r>
    </w:p>
    <w:p>
      <w:pPr>
        <w:pStyle w:val="Normal"/>
        <w:spacing w:lineRule="auto" w:line="276" w:before="0" w:after="120"/>
        <w:rPr>
          <w:rFonts w:ascii="Times New Roman" w:hAnsi="Times New Roman"/>
        </w:rPr>
      </w:pPr>
      <w:r>
        <w:rPr>
          <w:rFonts w:ascii="Times New Roman" w:hAnsi="Times New Roman"/>
        </w:rPr>
        <w:t>Table 4.2 – Data-cleaning validation rules and outcomes</w:t>
      </w:r>
    </w:p>
    <w:p>
      <w:pPr>
        <w:pStyle w:val="Normal"/>
        <w:spacing w:lineRule="auto" w:line="276" w:before="0" w:after="120"/>
        <w:rPr>
          <w:rFonts w:ascii="Times New Roman" w:hAnsi="Times New Roman"/>
        </w:rPr>
      </w:pPr>
      <w:r>
        <w:rPr>
          <w:rFonts w:ascii="Times New Roman" w:hAnsi="Times New Roman"/>
        </w:rPr>
        <w:t>Table 4.3 – Hyperparameter search space for the XGBoost grid search</w:t>
      </w:r>
    </w:p>
    <w:p>
      <w:pPr>
        <w:pStyle w:val="Normal"/>
        <w:spacing w:lineRule="auto" w:line="276" w:before="0" w:after="120"/>
        <w:rPr>
          <w:rFonts w:ascii="Times New Roman" w:hAnsi="Times New Roman"/>
        </w:rPr>
      </w:pPr>
      <w:r>
        <w:rPr>
          <w:rFonts w:ascii="Times New Roman" w:hAnsi="Times New Roman"/>
        </w:rPr>
        <w:t>Table 5.1 – Test-set confusion matrix at the cost-optimal threshold</w:t>
      </w:r>
    </w:p>
    <w:p>
      <w:pPr>
        <w:pStyle w:val="Normal"/>
        <w:spacing w:lineRule="auto" w:line="276" w:before="0" w:after="120"/>
        <w:rPr>
          <w:rFonts w:ascii="Times New Roman" w:hAnsi="Times New Roman"/>
        </w:rPr>
      </w:pPr>
      <w:r>
        <w:rPr>
          <w:rFonts w:ascii="Times New Roman" w:hAnsi="Times New Roman"/>
        </w:rPr>
        <w:t>Table 5.2 – Classification metrics on the training, validation, and test sets</w:t>
      </w:r>
    </w:p>
    <w:p>
      <w:pPr>
        <w:pStyle w:val="Normal"/>
        <w:spacing w:lineRule="auto" w:line="276" w:before="0" w:after="120"/>
        <w:rPr>
          <w:rFonts w:ascii="Times New Roman" w:hAnsi="Times New Roman"/>
        </w:rPr>
      </w:pPr>
      <w:r>
        <w:rPr>
          <w:rFonts w:ascii="Times New Roman" w:hAnsi="Times New Roman"/>
        </w:rPr>
        <w:t>Table 5.3 – Global SHAP feature-importance ranking (top ten features)</w:t>
      </w:r>
    </w:p>
    <w:p>
      <w:pPr>
        <w:pStyle w:val="Normal"/>
        <w:spacing w:lineRule="auto" w:line="276" w:before="0" w:after="120"/>
        <w:rPr>
          <w:rFonts w:ascii="Times New Roman" w:hAnsi="Times New Roman"/>
        </w:rPr>
      </w:pPr>
      <w:r>
        <w:rPr>
          <w:rFonts w:ascii="Times New Roman" w:hAnsi="Times New Roman"/>
        </w:rPr>
        <w:t>Table 5.4 – Reliability-monitoring results: feature-level PSI and KS statistics</w:t>
      </w:r>
    </w:p>
    <w:p>
      <w:pPr>
        <w:pStyle w:val="Normal"/>
        <w:spacing w:lineRule="auto" w:line="276" w:before="0" w:after="120"/>
        <w:rPr>
          <w:rFonts w:ascii="Times New Roman" w:hAnsi="Times New Roman"/>
        </w:rPr>
      </w:pPr>
      <w:r>
        <w:rPr>
          <w:rFonts w:ascii="Times New Roman" w:hAnsi="Times New Roman"/>
        </w:rPr>
        <w:t>Table 5.5 – Comparison of single-threshold and selective prediction results</w:t>
      </w:r>
    </w:p>
    <w:p>
      <w:pPr>
        <w:pStyle w:val="Normal"/>
        <w:spacing w:lineRule="auto" w:line="276"/>
        <w:rPr>
          <w:rFonts w:eastAsia="Times New Roman"/>
          <w:sz w:val="24"/>
          <w:szCs w:val="24"/>
        </w:rPr>
      </w:pPr>
      <w:r>
        <w:rPr>
          <w:rFonts w:eastAsia="Times New Roman"/>
          <w:sz w:val="24"/>
          <w:szCs w:val="24"/>
        </w:rPr>
      </w:r>
    </w:p>
    <w:p>
      <w:pPr>
        <w:pStyle w:val="Normal"/>
        <w:spacing w:lineRule="auto" w:line="276"/>
        <w:rPr>
          <w:rFonts w:eastAsia="Times New Roman"/>
          <w:sz w:val="24"/>
          <w:szCs w:val="24"/>
        </w:rPr>
      </w:pPr>
      <w:r>
        <w:rPr/>
      </w:r>
    </w:p>
    <w:p>
      <w:pPr>
        <w:pStyle w:val="Normal"/>
        <w:spacing w:lineRule="auto" w:line="276"/>
        <w:rPr/>
      </w:pPr>
      <w:r>
        <w:rPr/>
      </w:r>
    </w:p>
    <w:p>
      <w:pPr>
        <w:pStyle w:val="Normal"/>
        <w:spacing w:lineRule="auto" w:line="276"/>
        <w:rPr/>
      </w:pPr>
      <w:r>
        <w:rPr/>
      </w:r>
      <w:r>
        <w:br w:type="page"/>
      </w:r>
    </w:p>
    <w:p>
      <w:pPr>
        <w:pStyle w:val="Heading1"/>
        <w:spacing w:lineRule="auto" w:line="276" w:before="0" w:after="320"/>
        <w:jc w:val="center"/>
        <w:rPr>
          <w:rFonts w:ascii="Times New Roman" w:hAnsi="Times New Roman"/>
          <w:sz w:val="30"/>
          <w:szCs w:val="30"/>
        </w:rPr>
      </w:pPr>
      <w:r>
        <w:rPr>
          <w:rFonts w:ascii="Times New Roman" w:hAnsi="Times New Roman"/>
          <w:sz w:val="30"/>
          <w:szCs w:val="30"/>
        </w:rPr>
        <w:t>Abbreviations</w:t>
      </w:r>
    </w:p>
    <w:tbl>
      <w:tblPr>
        <w:tblStyle w:val="TableGrid"/>
        <w:tblW w:w="7637"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487"/>
        <w:gridCol w:w="6150"/>
      </w:tblGrid>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 xml:space="preserve">AUC </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Area Under the (ROC) Curve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CART</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Classification and Regression Tree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EDA</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Exploratory Data Analysis</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 xml:space="preserve">FN </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False Negative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FP</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False Positive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F1</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F1-Score (harmonic mean of precision and recall)</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IQR</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Interquartile Range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KS</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Kolmogorov–Smirnov (statistic)</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ML</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Machine Learning</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MLOps</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Machine Learning Operations</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PSI</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Population Stability Index</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RFE</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Recursive Feature Elimination</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ROC</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Receiver Operating Characteristic</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SHAP</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SHapley Additive exPlanations</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SMOTE</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Synthetic Minority Over-sampling Technique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TN</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True Negative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TP</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True Positive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 xml:space="preserve">XAI </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Explainable Artificial Intelligence</w:t>
            </w:r>
          </w:p>
        </w:tc>
      </w:tr>
      <w:tr>
        <w:trPr>
          <w:trHeight w:val="567" w:hRule="atLeast"/>
        </w:trPr>
        <w:tc>
          <w:tcPr>
            <w:tcW w:w="1487"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b/>
                <w:bCs/>
                <w:sz w:val="24"/>
                <w:szCs w:val="24"/>
              </w:rPr>
              <w:t>XGBoost</w:t>
            </w:r>
          </w:p>
        </w:tc>
        <w:tc>
          <w:tcPr>
            <w:tcW w:w="6150" w:type="dxa"/>
            <w:tcBorders>
              <w:top w:val="nil"/>
              <w:left w:val="nil"/>
              <w:bottom w:val="nil"/>
              <w:right w:val="nil"/>
            </w:tcBorders>
            <w:vAlign w:val="center"/>
          </w:tcPr>
          <w:p>
            <w:pPr>
              <w:pStyle w:val="Normal"/>
              <w:spacing w:lineRule="auto" w:line="276" w:before="0" w:after="120"/>
              <w:rPr>
                <w:rFonts w:ascii="Times New Roman" w:hAnsi="Times New Roman"/>
                <w:sz w:val="24"/>
                <w:szCs w:val="24"/>
              </w:rPr>
            </w:pPr>
            <w:r>
              <w:rPr>
                <w:rFonts w:ascii="Times New Roman" w:hAnsi="Times New Roman"/>
                <w:sz w:val="24"/>
                <w:szCs w:val="24"/>
              </w:rPr>
              <w:t>Extreme Gradient Boosting</w:t>
            </w:r>
          </w:p>
        </w:tc>
      </w:tr>
    </w:tbl>
    <w:p>
      <w:pPr>
        <w:pStyle w:val="Normal"/>
        <w:spacing w:lineRule="auto" w:line="276" w:before="0" w:after="320"/>
        <w:jc w:val="center"/>
        <w:rPr/>
      </w:pPr>
      <w:r>
        <w:rPr/>
      </w:r>
    </w:p>
    <w:sdt>
      <w:sdtPr>
        <w:docPartObj>
          <w:docPartGallery w:val="Table of Contents"/>
          <w:docPartUnique w:val="true"/>
        </w:docPartObj>
      </w:sdtPr>
      <w:sdtContent>
        <w:p>
          <w:pPr>
            <w:pStyle w:val="Normal"/>
            <w:rPr/>
          </w:pPr>
          <w:r>
            <w:rPr/>
          </w:r>
          <w:r>
            <w:br w:type="page"/>
          </w:r>
        </w:p>
        <w:p>
          <w:pPr>
            <w:pStyle w:val="Heading1"/>
            <w:spacing w:lineRule="auto" w:line="276" w:before="0" w:after="200"/>
            <w:jc w:val="both"/>
            <w:rPr/>
          </w:pPr>
          <w:r>
            <w:rPr/>
            <w:t>1. Introduction</w:t>
          </w:r>
        </w:p>
        <w:p>
          <w:pPr>
            <w:pStyle w:val="Heading2"/>
            <w:spacing w:lineRule="auto" w:line="276" w:before="300" w:after="150"/>
            <w:jc w:val="both"/>
            <w:rPr/>
          </w:pPr>
          <w:r>
            <w:rPr/>
            <w:t>1.1 Background and Motivation</w:t>
          </w:r>
        </w:p>
        <w:p>
          <w:pPr>
            <w:pStyle w:val="Normal"/>
            <w:spacing w:lineRule="auto" w:line="276" w:before="0" w:after="180"/>
            <w:jc w:val="both"/>
            <w:rPr/>
          </w:pPr>
          <w:r>
            <w:rPr/>
            <w:t xml:space="preserve">Access to credit is one of the central mechanisms through which modern financial systems allocate capital to households and businesses. Banks, credit unions, and other lending institutions must continuously decide whether an applicant for a personal loan, credit card, or line of credit is likely to repay the borrowed amount. This decision, commonly referred to as credit risk assessment, has historically relied on the judgement of loan officers supported by relatively simple scoring rules. Over the past three decades, however, the scale of consumer lending, the availability of </w:t>
          </w:r>
          <w:r>
            <w:rPr>
              <w:lang w:val="en-US"/>
            </w:rPr>
            <w:t>digitized</w:t>
          </w:r>
          <w:r>
            <w:rPr/>
            <w:t xml:space="preserve"> financial records, and the competitive pressure to automate decision-making have driven a shift toward statistical and, more recently, machine-learning-based credit scoring systems.</w:t>
          </w:r>
        </w:p>
        <w:p>
          <w:pPr>
            <w:pStyle w:val="Normal"/>
            <w:spacing w:lineRule="auto" w:line="276" w:before="0" w:after="180"/>
            <w:jc w:val="both"/>
            <w:rPr/>
          </w:pPr>
          <w:r>
            <w:rPr/>
            <w:t>The motivation for the present study stems from the observation that although many machine learning models achieve high predictive accuracy on credit risk datasets, accuracy alone is an incomplete criterion for a system that will be deployed in a real banking environment. A model that predicts loan_status with 95% accuracy may still be commercially unacceptable if the errors it does make are concentrated on the costliest cases, that is, applicants who are incorrectly classified as safe borrowers and subsequently default. Conversely, a model that is overly conservative may reject a large proportion of creditworthy applicants, causing the bank to lose profitable business. This tension between statistical performance and business cost is a recurring theme throughout this thesis.</w:t>
          </w:r>
        </w:p>
        <w:p>
          <w:pPr>
            <w:pStyle w:val="Normal"/>
            <w:spacing w:lineRule="auto" w:line="276" w:before="0" w:after="180"/>
            <w:jc w:val="both"/>
            <w:rPr/>
          </w:pPr>
          <w:r>
            <w:rPr/>
            <w:t>A second motivation concerns trust and transparency. Regulators, auditors, and loan applicants increasingly expect financial institutions to be able to explain individual credit decisions rather than treating the underlying model as a black box. Explainable artificial intelligence techniques, and in particular SHAP (SHapley Additive exPlanations), provide a principled way of attributing a prediction to the contribution of each input feature, both globally across the portfolio and locally for a single applicant.</w:t>
          </w:r>
        </w:p>
        <w:p>
          <w:pPr>
            <w:pStyle w:val="Normal"/>
            <w:spacing w:lineRule="auto" w:line="276" w:before="0" w:after="180"/>
            <w:jc w:val="both"/>
            <w:rPr/>
          </w:pPr>
          <w:r>
            <w:rPr/>
            <w:t>A third motivation concerns the fact that a model which performs well at the moment of deployment does not necessarily continue to perform well as time passes. Economic conditions change, the mix of applicants shifts, and the statistical relationship between features and default outcomes can drift. This motivates the design of a reliability monitoring framework capable of detecting data drift, prediction drift, and performance degradation before they translate into financial losses.</w:t>
          </w:r>
        </w:p>
        <w:p>
          <w:pPr>
            <w:pStyle w:val="Normal"/>
            <w:spacing w:lineRule="auto" w:line="276" w:before="0" w:after="180"/>
            <w:jc w:val="both"/>
            <w:rPr/>
          </w:pPr>
          <w:r>
            <w:rPr/>
            <w:t>Finally, the recognition that some applicants are inherently difficult to classify with confidence motivates the introduction of a selective prediction framework, in which the model is permitted to abstain from an automatic decision and instead refer borderline cases to a human loan officer. Taken together, these four motivations, predictive performance, cost-sensitivity, explainability, and reliability, define the scope of the present thesis, which develops and evaluates an end-to-end credit risk decision system built around an XGBoost classifier trained on a dataset of 50,000 loan applications.</w:t>
          </w:r>
        </w:p>
        <w:p>
          <w:pPr>
            <w:pStyle w:val="Heading2"/>
            <w:spacing w:lineRule="auto" w:line="276" w:before="300" w:after="150"/>
            <w:jc w:val="both"/>
            <w:rPr/>
          </w:pPr>
          <w:r>
            <w:rPr/>
            <w:t>1.2 Problem Statement</w:t>
          </w:r>
        </w:p>
        <w:p>
          <w:pPr>
            <w:pStyle w:val="Normal"/>
            <w:spacing w:lineRule="auto" w:line="276" w:before="0" w:after="180"/>
            <w:jc w:val="both"/>
            <w:rPr/>
          </w:pPr>
          <w:r>
            <w:rPr/>
            <w:t>The central problem addressed in this thesis can be stated as follows: given a set of demographic, financial, and credit-history attributes describing a loan applicant, how can a predictive model be designed, trained, and calibrated so that it (i) accurately distinguishes between applicants who will default and applicants who will repay, (ii) explicitly accounts for the asymmetric financial cost of false negatives (approving a defaulting customer) relative to false positives (rejecting a creditworthy customer), (iii) remains interpretable to stakeholders who are not machine learning specialists, and (iv) continues to operate reliably after deployment, even as the characteristics of incoming applicants evolve over time.</w:t>
          </w:r>
        </w:p>
        <w:p>
          <w:pPr>
            <w:pStyle w:val="Normal"/>
            <w:spacing w:lineRule="auto" w:line="276" w:before="0" w:after="180"/>
            <w:jc w:val="both"/>
            <w:rPr/>
          </w:pPr>
          <w:r>
            <w:rPr/>
            <w:t xml:space="preserve">Conventional classification pipelines typically </w:t>
          </w:r>
          <w:r>
            <w:rPr>
              <w:lang w:val="en-US"/>
            </w:rPr>
            <w:t>optimize</w:t>
          </w:r>
          <w:r>
            <w:rPr/>
            <w:t xml:space="preserve"> a symmetric loss function and apply a fixed decision threshold of 0.5 to the predicted probability of default. This approach ignores the fact that, in a lending context, the financial consequence of a missed default is usually far greater than the consequence of rejecting a good applicant. It also implicitly assumes that every prediction should be resolved automatically, even when the model itself is uncertain, and it provides no mechanism for detecting when the deployed model's assumptions no longer hold. The problem addressed by this thesis is therefore not simply 'build an accurate classifier', but 'build a classification and decision-making pipeline that is accurate, cost-aware, explainable, and monitorable', using the loan application dataset described in Chapter 4 as the empirical setting.</w:t>
          </w:r>
        </w:p>
        <w:p>
          <w:pPr>
            <w:pStyle w:val="Heading2"/>
            <w:spacing w:lineRule="auto" w:line="276" w:before="300" w:after="150"/>
            <w:jc w:val="both"/>
            <w:rPr/>
          </w:pPr>
          <w:r>
            <w:rPr/>
            <w:t>1.3 Research Gap</w:t>
          </w:r>
        </w:p>
        <w:p>
          <w:pPr>
            <w:pStyle w:val="Normal"/>
            <w:spacing w:lineRule="auto" w:line="276" w:before="0" w:after="180"/>
            <w:jc w:val="both"/>
            <w:rPr/>
          </w:pPr>
          <w:r>
            <w:rPr/>
            <w:t xml:space="preserve">A review of the credit-scoring literature (elaborated in Chapter 2) reveals that although individual components of the proposed pipeline, gradient boosting classifiers, cost-sensitive threshold selection, SHAP-based explainability, and drift monitoring, have each been studied extensively in isolation, comparatively few studies integrate all of these components into a single, coherent, end-to-end system and evaluate them jointly on the same dataset. Much of the published work on credit scoring focuses narrowly on </w:t>
          </w:r>
          <w:r>
            <w:rPr>
              <w:lang w:val="en-US"/>
            </w:rPr>
            <w:t>maximizing</w:t>
          </w:r>
          <w:r>
            <w:rPr/>
            <w:t xml:space="preserve"> discrimination metrics such as AUC or the Gini coefficient, without explicitly modeling the asymmetric business cost of classification errors. Where cost-sensitive methods are discussed, they are frequently limited to class-weighting during training rather than post-hoc threshold </w:t>
          </w:r>
          <w:r>
            <w:rPr>
              <w:lang w:val="en-US"/>
            </w:rPr>
            <w:t>optimization</w:t>
          </w:r>
          <w:r>
            <w:rPr/>
            <w:t xml:space="preserve"> informed by an explicit cost function.</w:t>
          </w:r>
        </w:p>
        <w:p>
          <w:pPr>
            <w:pStyle w:val="Normal"/>
            <w:spacing w:lineRule="auto" w:line="276" w:before="0" w:after="180"/>
            <w:jc w:val="both"/>
            <w:rPr/>
          </w:pPr>
          <w:r>
            <w:rPr/>
            <w:t>Similarly, although SHAP has become a popular explainability tool for tree-based credit models, many studies stop at reporting global feature-importance rankings and do not connect the explainability analysis back to the business decision (for example, by examining SHAP values for the specific applicants that the model misclassifies). Literature on data drift and model monitoring is comparatively mature in the general machine-learning-operations community but is less frequently applied specifically to credit risk, where regulatory expectations for ongoing model validation are particularly stringent. Finally, selective prediction, that is, allowing a classifier to defer uncertain cases to a human reviewer rather than forcing a binary decision, has been explored in the broader pattern-recognition literature but is rarely combined with cost-sensitive threshold optimisation and drift monitoring in a single, unified banking application.</w:t>
          </w:r>
        </w:p>
        <w:p>
          <w:pPr>
            <w:pStyle w:val="Normal"/>
            <w:spacing w:lineRule="auto" w:line="276" w:before="0" w:after="180"/>
            <w:jc w:val="both"/>
            <w:rPr/>
          </w:pPr>
          <w:r>
            <w:rPr/>
            <w:t>The research gap addressed by this thesis is therefore the absence, in the applied credit-risk literature, of a single empirical study that (a) builds a high-performing gradient-boosting model on a realistic loan-application dataset, (b) rigorously cleans and validates the underlying data, (c) selects features using three complementary importance techniques, (d) optimises the decision threshold against an explicit, asymmetric business cost function, (e) explains the resulting model both globally and locally using SHAP, (f) implements a quantitative reliability-monitoring framework based on the Population Stability Index and the Kolmogorov–Smirnov statistic, and (g) extends the single-threshold decision rule into a three-zone selective prediction framework with automatic approval, automatic rejection, and human review. This thesis fills that gap.</w:t>
          </w:r>
        </w:p>
        <w:p>
          <w:pPr>
            <w:pStyle w:val="Heading2"/>
            <w:spacing w:lineRule="auto" w:line="276" w:before="300" w:after="150"/>
            <w:jc w:val="both"/>
            <w:rPr/>
          </w:pPr>
          <w:r>
            <w:rPr/>
            <w:t>1.4 Research Objectives</w:t>
          </w:r>
        </w:p>
        <w:p>
          <w:pPr>
            <w:pStyle w:val="Normal"/>
            <w:spacing w:lineRule="auto" w:line="276" w:before="0" w:after="180"/>
            <w:jc w:val="both"/>
            <w:rPr/>
          </w:pPr>
          <w:r>
            <w:rPr/>
            <w:t>The research objectives pursued in this thesis are:</w:t>
          </w:r>
        </w:p>
        <w:p>
          <w:pPr>
            <w:pStyle w:val="ListParagraph"/>
            <w:numPr>
              <w:ilvl w:val="0"/>
              <w:numId w:val="0"/>
            </w:numPr>
            <w:spacing w:lineRule="auto" w:line="276" w:before="0" w:after="120"/>
            <w:ind w:hanging="0" w:left="720"/>
            <w:jc w:val="both"/>
            <w:rPr/>
          </w:pPr>
          <w:r>
            <w:rPr/>
            <w:t>To design and implement a rigorous data-cleaning and validation pipeline for a large (50,000-record) loan-application dataset, capable of detecting corrupted, logically inconsistent, or out-of-range records.</w:t>
          </w:r>
        </w:p>
        <w:p>
          <w:pPr>
            <w:pStyle w:val="ListParagraph"/>
            <w:numPr>
              <w:ilvl w:val="0"/>
              <w:numId w:val="0"/>
            </w:numPr>
            <w:spacing w:lineRule="auto" w:line="276" w:before="0" w:after="120"/>
            <w:ind w:hanging="0" w:left="720"/>
            <w:jc w:val="both"/>
            <w:rPr/>
          </w:pPr>
          <w:r>
            <w:rPr/>
            <w:t xml:space="preserve">To conduct a thorough exploratory data analysis of the cleaned dataset, </w:t>
          </w:r>
          <w:r>
            <w:rPr>
              <w:lang w:val="en-US"/>
            </w:rPr>
            <w:t>characterizing</w:t>
          </w:r>
          <w:r>
            <w:rPr/>
            <w:t xml:space="preserve"> the distribution, skewness, correlation structure, and class balance of the available features.</w:t>
          </w:r>
        </w:p>
        <w:p>
          <w:pPr>
            <w:pStyle w:val="ListParagraph"/>
            <w:numPr>
              <w:ilvl w:val="0"/>
              <w:numId w:val="0"/>
            </w:numPr>
            <w:spacing w:lineRule="auto" w:line="276" w:before="0" w:after="120"/>
            <w:ind w:hanging="0" w:left="720"/>
            <w:jc w:val="both"/>
            <w:rPr/>
          </w:pPr>
          <w:r>
            <w:rPr/>
            <w:t xml:space="preserve">To engineer and select a compact, informative feature set using logarithmic transformation, </w:t>
          </w:r>
          <w:r>
            <w:rPr>
              <w:lang w:val="en-US"/>
            </w:rPr>
            <w:t>standardization</w:t>
          </w:r>
          <w:r>
            <w:rPr/>
            <w:t>, categorical encoding, and three feature-selection techniques (XGBoost importance, permutation importance, and SHAP).</w:t>
          </w:r>
        </w:p>
        <w:p>
          <w:pPr>
            <w:pStyle w:val="ListParagraph"/>
            <w:numPr>
              <w:ilvl w:val="0"/>
              <w:numId w:val="0"/>
            </w:numPr>
            <w:spacing w:lineRule="auto" w:line="276" w:before="0" w:after="120"/>
            <w:ind w:hanging="0" w:left="720"/>
            <w:jc w:val="both"/>
            <w:rPr/>
          </w:pPr>
          <w:r>
            <w:rPr/>
            <w:t>To train and hyper-parameter-tune an XGBoost classifier for the binary prediction of loan default, using class weighting to address the observed class imbalance.</w:t>
          </w:r>
        </w:p>
        <w:p>
          <w:pPr>
            <w:pStyle w:val="ListParagraph"/>
            <w:numPr>
              <w:ilvl w:val="0"/>
              <w:numId w:val="0"/>
            </w:numPr>
            <w:spacing w:lineRule="auto" w:line="276" w:before="0" w:after="120"/>
            <w:ind w:hanging="0" w:left="720"/>
            <w:jc w:val="both"/>
            <w:rPr/>
          </w:pPr>
          <w:r>
            <w:rPr/>
            <w:t xml:space="preserve">To design and </w:t>
          </w:r>
          <w:r>
            <w:rPr>
              <w:lang w:val="en-US"/>
            </w:rPr>
            <w:t>optimize</w:t>
          </w:r>
          <w:r>
            <w:rPr/>
            <w:t xml:space="preserve"> a cost-sensitive decision threshold that explicitly </w:t>
          </w:r>
          <w:r>
            <w:rPr>
              <w:lang w:val="en-US"/>
            </w:rPr>
            <w:t>minimizes</w:t>
          </w:r>
          <w:r>
            <w:rPr/>
            <w:t xml:space="preserve"> a business cost function reflecting the asymmetric cost of false negatives and false positives.</w:t>
          </w:r>
        </w:p>
        <w:p>
          <w:pPr>
            <w:pStyle w:val="ListParagraph"/>
            <w:numPr>
              <w:ilvl w:val="0"/>
              <w:numId w:val="0"/>
            </w:numPr>
            <w:spacing w:lineRule="auto" w:line="276" w:before="0" w:after="120"/>
            <w:ind w:hanging="0" w:left="720"/>
            <w:jc w:val="both"/>
            <w:rPr/>
          </w:pPr>
          <w:r>
            <w:rPr/>
            <w:t>To explain the resulting model using SHAP, at both the global (portfolio) and local (individual applicant) level.</w:t>
          </w:r>
        </w:p>
        <w:p>
          <w:pPr>
            <w:pStyle w:val="ListParagraph"/>
            <w:numPr>
              <w:ilvl w:val="0"/>
              <w:numId w:val="0"/>
            </w:numPr>
            <w:spacing w:lineRule="auto" w:line="276" w:before="0" w:after="120"/>
            <w:ind w:hanging="0" w:left="720"/>
            <w:jc w:val="both"/>
            <w:rPr/>
          </w:pPr>
          <w:r>
            <w:rPr/>
            <w:t>To design and evaluate a quantitative reliability-monitoring framework capable of detecting data drift, prediction drift, and performance degradation in production.</w:t>
          </w:r>
        </w:p>
        <w:p>
          <w:pPr>
            <w:pStyle w:val="ListParagraph"/>
            <w:numPr>
              <w:ilvl w:val="0"/>
              <w:numId w:val="0"/>
            </w:numPr>
            <w:spacing w:lineRule="auto" w:line="276" w:before="0" w:after="120"/>
            <w:ind w:hanging="0" w:left="720"/>
            <w:jc w:val="both"/>
            <w:rPr/>
          </w:pPr>
          <w:r>
            <w:rPr/>
            <w:t>To design and evaluate a selective prediction framework that introduces a manual-review zone between automatic approval and automatic rejection, and to quantify its benefit relative to a conventional single-threshold classifier.</w:t>
          </w:r>
        </w:p>
        <w:p>
          <w:pPr>
            <w:pStyle w:val="Heading2"/>
            <w:spacing w:lineRule="auto" w:line="276" w:before="300" w:after="150"/>
            <w:jc w:val="both"/>
            <w:rPr/>
          </w:pPr>
          <w:r>
            <w:rPr/>
            <w:t>1.5 Research Questions</w:t>
          </w:r>
        </w:p>
        <w:p>
          <w:pPr>
            <w:pStyle w:val="Normal"/>
            <w:spacing w:lineRule="auto" w:line="276" w:before="0" w:after="180"/>
            <w:jc w:val="both"/>
            <w:rPr/>
          </w:pPr>
          <w:r>
            <w:rPr/>
            <w:t>The following research questions guide the empirical work reported in Chapters 4 and 5:</w:t>
          </w:r>
        </w:p>
        <w:p>
          <w:pPr>
            <w:pStyle w:val="ListParagraph"/>
            <w:numPr>
              <w:ilvl w:val="0"/>
              <w:numId w:val="0"/>
            </w:numPr>
            <w:spacing w:lineRule="auto" w:line="276" w:before="0" w:after="120"/>
            <w:ind w:hanging="0" w:left="720"/>
            <w:jc w:val="both"/>
            <w:rPr/>
          </w:pPr>
          <w:r>
            <w:rPr>
              <w:b/>
              <w:bCs/>
            </w:rPr>
            <w:t>RQ1:</w:t>
          </w:r>
          <w:r>
            <w:rPr/>
            <w:t xml:space="preserve"> How does systematic data cleaning and validation affect the quality and reliability of a large loan-application dataset, and what proportion of records are affected by corrupted or inconsistent values?</w:t>
          </w:r>
        </w:p>
        <w:p>
          <w:pPr>
            <w:pStyle w:val="ListParagraph"/>
            <w:numPr>
              <w:ilvl w:val="0"/>
              <w:numId w:val="0"/>
            </w:numPr>
            <w:spacing w:lineRule="auto" w:line="276" w:before="0" w:after="120"/>
            <w:ind w:hanging="0" w:left="720"/>
            <w:jc w:val="both"/>
            <w:rPr/>
          </w:pPr>
          <w:r>
            <w:rPr>
              <w:b/>
              <w:bCs/>
            </w:rPr>
            <w:t>RQ2:</w:t>
          </w:r>
          <w:r>
            <w:rPr/>
            <w:t xml:space="preserve"> Which applicant features are most strongly associated with loan default, and do the rankings produced by correlation analysis, XGBoost importance, permutation importance, and SHAP agree with one another?</w:t>
          </w:r>
        </w:p>
        <w:p>
          <w:pPr>
            <w:pStyle w:val="ListParagraph"/>
            <w:numPr>
              <w:ilvl w:val="0"/>
              <w:numId w:val="0"/>
            </w:numPr>
            <w:spacing w:lineRule="auto" w:line="276" w:before="0" w:after="120"/>
            <w:ind w:hanging="0" w:left="720"/>
            <w:jc w:val="both"/>
            <w:rPr/>
          </w:pPr>
          <w:r>
            <w:rPr>
              <w:b/>
              <w:bCs/>
            </w:rPr>
            <w:t>RQ3:</w:t>
          </w:r>
          <w:r>
            <w:rPr/>
            <w:t xml:space="preserve"> To what extent does an XGBoost classifier, trained on the engineered feature set, achieve strong discrimination (AUC) and classification performance (accuracy, precision, recall, F1) on held-out validation and test data?</w:t>
          </w:r>
        </w:p>
        <w:p>
          <w:pPr>
            <w:pStyle w:val="ListParagraph"/>
            <w:numPr>
              <w:ilvl w:val="0"/>
              <w:numId w:val="0"/>
            </w:numPr>
            <w:spacing w:lineRule="auto" w:line="276" w:before="0" w:after="120"/>
            <w:ind w:hanging="0" w:left="720"/>
            <w:jc w:val="both"/>
            <w:rPr/>
          </w:pPr>
          <w:r>
            <w:rPr>
              <w:b/>
              <w:bCs/>
            </w:rPr>
            <w:t>RQ4:</w:t>
          </w:r>
          <w:r>
            <w:rPr/>
            <w:t xml:space="preserve"> How does optimising the classification threshold against an explicit business cost function change the trade-off between false positives and false negatives relative to the default 0.5 threshold?</w:t>
          </w:r>
        </w:p>
        <w:p>
          <w:pPr>
            <w:pStyle w:val="ListParagraph"/>
            <w:numPr>
              <w:ilvl w:val="0"/>
              <w:numId w:val="0"/>
            </w:numPr>
            <w:spacing w:lineRule="auto" w:line="276" w:before="0" w:after="120"/>
            <w:ind w:hanging="0" w:left="720"/>
            <w:jc w:val="both"/>
            <w:rPr/>
          </w:pPr>
          <w:r>
            <w:rPr>
              <w:b/>
              <w:bCs/>
            </w:rPr>
            <w:t>RQ5:</w:t>
          </w:r>
          <w:r>
            <w:rPr/>
            <w:t xml:space="preserve"> What do global and local SHAP explanations reveal about the drivers of the model's predictions, and how do these explanations align with domain knowledge about credit risk?</w:t>
          </w:r>
        </w:p>
        <w:p>
          <w:pPr>
            <w:pStyle w:val="ListParagraph"/>
            <w:numPr>
              <w:ilvl w:val="0"/>
              <w:numId w:val="0"/>
            </w:numPr>
            <w:spacing w:lineRule="auto" w:line="276" w:before="0" w:after="120"/>
            <w:ind w:hanging="0" w:left="720"/>
            <w:jc w:val="both"/>
            <w:rPr/>
          </w:pPr>
          <w:r>
            <w:rPr>
              <w:b/>
              <w:bCs/>
            </w:rPr>
            <w:t>RQ6:</w:t>
          </w:r>
          <w:r>
            <w:rPr/>
            <w:t xml:space="preserve"> Can a quantitative monitoring framework based on the Population Stability Index, the Kolmogorov–Smirnov statistic, and ongoing performance tracking reliably detect the presence or absence of data drift, prediction drift, and performance degradation?</w:t>
          </w:r>
        </w:p>
        <w:p>
          <w:pPr>
            <w:pStyle w:val="ListParagraph"/>
            <w:numPr>
              <w:ilvl w:val="0"/>
              <w:numId w:val="0"/>
            </w:numPr>
            <w:spacing w:lineRule="auto" w:line="276" w:before="0" w:after="120"/>
            <w:ind w:hanging="0" w:left="720"/>
            <w:jc w:val="both"/>
            <w:rPr/>
          </w:pPr>
          <w:r>
            <w:rPr>
              <w:b/>
              <w:bCs/>
            </w:rPr>
            <w:t>RQ7:</w:t>
          </w:r>
          <w:r>
            <w:rPr/>
            <w:t xml:space="preserve"> Does a selective prediction framework, in which uncertain applicants are referred to manual review, reduce the business cost and the number of false negatives relative to a single-threshold decision rule, and what proportion of applicants can be handled automatically?</w:t>
          </w:r>
        </w:p>
        <w:p>
          <w:pPr>
            <w:pStyle w:val="Heading2"/>
            <w:spacing w:lineRule="auto" w:line="276" w:before="300" w:after="150"/>
            <w:jc w:val="both"/>
            <w:rPr/>
          </w:pPr>
          <w:r>
            <w:rPr/>
            <w:t>1.6 Research Contributions</w:t>
          </w:r>
        </w:p>
        <w:p>
          <w:pPr>
            <w:pStyle w:val="Normal"/>
            <w:spacing w:lineRule="auto" w:line="276" w:before="0" w:after="180"/>
            <w:jc w:val="both"/>
            <w:rPr/>
          </w:pPr>
          <w:r>
            <w:rPr/>
            <w:t xml:space="preserve">This thesis makes the following contributions to the applied credit-risk and machine-learning literature. First, it presents a detailed, reproducible data-cleaning methodology for loan-application data that explicitly distinguishes between genuine data corruption and </w:t>
          </w:r>
          <w:r>
            <w:rPr>
              <w:lang w:val="en-US"/>
            </w:rPr>
            <w:t>artifacts</w:t>
          </w:r>
          <w:r>
            <w:rPr/>
            <w:t xml:space="preserve"> introduced by inconsistent unit scaling, an issue that, if left </w:t>
          </w:r>
          <w:r>
            <w:rPr>
              <w:lang w:val="en-US"/>
            </w:rPr>
            <w:t>undiagnoed</w:t>
          </w:r>
          <w:r>
            <w:rPr/>
            <w:t xml:space="preserve">, can lead a researcher to discard the majority of an otherwise usable dataset. Second, it presents a comparative feature-selection study using three independent importance techniques on the same feature set, allowing convergent and divergent findings to be identified and discussed. Third, it presents a fully worked example of cost-sensitive threshold </w:t>
          </w:r>
          <w:r>
            <w:rPr>
              <w:lang w:val="en-US"/>
            </w:rPr>
            <w:t>optimization</w:t>
          </w:r>
          <w:r>
            <w:rPr/>
            <w:t xml:space="preserve"> for a credit-scoring model, including the explicit definition of a business cost function and a systematic search over candidate thresholds. Fourth, it presents a SHAP-based explainability analysis that goes beyond global feature ranking to examine local explanations for individual, including misclassified, applicants. Fifth, it presents a lightweight but quantitatively grounded reliability-monitoring framework suitable for ongoing production use, combining the Population Stability Index and the Kolmogorov–Smirnov statistic for feature-level and prediction-level drift detection with direct performance tracking against a held-out labelled sample. Sixth, and most novel, it presents a selective prediction framework that extends the conventional single-threshold decision rule into a three-zone system (automatic approval, manual review, automatic rejection), and empirically quantifies the reduction in business cost and false negatives that this framework achieves relative to the conventional approach. Collectively, these contributions provide a template that other researchers and practitioners can adapt when building end-to-end, business-aware credit risk decision systems.</w:t>
          </w:r>
        </w:p>
        <w:p>
          <w:pPr>
            <w:pStyle w:val="Heading2"/>
            <w:spacing w:lineRule="auto" w:line="276" w:before="300" w:after="150"/>
            <w:jc w:val="both"/>
            <w:rPr/>
          </w:pPr>
          <w:r>
            <w:rPr/>
            <w:t>1.7 Thesis Structure</w:t>
          </w:r>
        </w:p>
        <w:p>
          <w:pPr>
            <w:pStyle w:val="Normal"/>
            <w:spacing w:lineRule="auto" w:line="276" w:before="0" w:after="180"/>
            <w:jc w:val="both"/>
            <w:rPr/>
          </w:pPr>
          <w:r>
            <w:rPr/>
            <w:t xml:space="preserve">The remainder of this thesis is </w:t>
          </w:r>
          <w:r>
            <w:rPr>
              <w:lang w:val="en-US"/>
            </w:rPr>
            <w:t>organized</w:t>
          </w:r>
          <w:r>
            <w:rPr/>
            <w:t xml:space="preserve"> as follows. Chapter 2 reviews the related work in credit risk assessment, machine learning for credit scoring, data quality and preprocessing, feature engineering and selection, cost-sensitive classification, threshold </w:t>
          </w:r>
          <w:r>
            <w:rPr>
              <w:lang w:val="en-US"/>
            </w:rPr>
            <w:t>optimization</w:t>
          </w:r>
          <w:r>
            <w:rPr/>
            <w:t xml:space="preserve">, explainable artificial intelligence, model reliability and distribution shift, and selective prediction, before positioning the present study relative to this literature. Chapter 3 introduces the technical background required to understand the methodology, covering binary classification, gradient boosting and XGBoost, data preprocessing techniques, exploratory data analysis methods, feature importance techniques, evaluation metrics, cost-sensitive decision making, SHAP-based explainability, reliability monitoring, and selective prediction. Chapter 4 describes the methodology applied in this study in detail, including the dataset, the data-cleaning pipeline, exploratory analysis, feature engineering and selection, model development, threshold </w:t>
          </w:r>
          <w:r>
            <w:rPr>
              <w:lang w:val="en-US"/>
            </w:rPr>
            <w:t>optimization</w:t>
          </w:r>
          <w:r>
            <w:rPr/>
            <w:t xml:space="preserve">, explainability analysis, reliability monitoring, and the selective prediction framework. Chapter 5 reports the experimental results obtained at each stage of the pipeline. Chapter 6 discusses the findings in light of the research questions and objectives, and considers the practical implications and limitations of the study. Chapter 7 concludes the thesis, </w:t>
          </w:r>
          <w:r>
            <w:rPr>
              <w:lang w:val="en-US"/>
            </w:rPr>
            <w:t>summarizing</w:t>
          </w:r>
          <w:r>
            <w:rPr/>
            <w:t xml:space="preserve"> the contributions, revisiting the research questions, and proposing directions for future research.</w:t>
          </w:r>
        </w:p>
        <w:p>
          <w:pPr>
            <w:pStyle w:val="Normal"/>
            <w:spacing w:lineRule="auto" w:line="276"/>
            <w:jc w:val="both"/>
            <w:rPr/>
          </w:pPr>
          <w:r>
            <w:rPr/>
          </w:r>
          <w:r>
            <w:br w:type="page"/>
          </w:r>
        </w:p>
        <w:p>
          <w:pPr>
            <w:pStyle w:val="Heading1"/>
            <w:spacing w:lineRule="auto" w:line="276" w:before="0" w:after="200"/>
            <w:jc w:val="both"/>
            <w:rPr/>
          </w:pPr>
          <w:r>
            <w:rPr/>
            <w:t>2. Related Work</w:t>
          </w:r>
        </w:p>
        <w:p>
          <w:pPr>
            <w:pStyle w:val="Heading2"/>
            <w:spacing w:lineRule="auto" w:line="276" w:before="300" w:after="150"/>
            <w:jc w:val="both"/>
            <w:rPr/>
          </w:pPr>
          <w:r>
            <w:rPr/>
            <w:t>2.1 Credit Risk Assessment</w:t>
          </w:r>
        </w:p>
        <w:p>
          <w:pPr>
            <w:pStyle w:val="Normal"/>
            <w:spacing w:lineRule="auto" w:line="276" w:before="0" w:after="180"/>
            <w:jc w:val="both"/>
            <w:rPr/>
          </w:pPr>
          <w:r>
            <w:rPr/>
            <w:t>Credit risk assessment is the process by which a lender estimates the likelihood that a borrower will fail to meet the contractual obligations of a loan. Traditionally, credit risk was assessed through expert judgment, in which experienced loan officers evaluated an applicant's character, capacity, capital, collateral, and prevailing economic conditions, the so-called 'five Cs of credit'. As consumer lending grew in scale during the second half of the twentieth century, statistical scoring systems, most notably the FICO score in the United States, were introduced to standardize and automate this judgment, using logistic regression models fitted to historical repayment data. (Hand &amp; Henley, 1997; Thomas, 2000).</w:t>
          </w:r>
        </w:p>
        <w:p>
          <w:pPr>
            <w:pStyle w:val="Normal"/>
            <w:spacing w:lineRule="auto" w:line="276" w:before="0" w:after="180"/>
            <w:jc w:val="both"/>
            <w:rPr/>
          </w:pPr>
          <w:r>
            <w:rPr/>
            <w:t xml:space="preserve">The literature identifies several recurring themes in credit risk assessment research: the choice of predictive features (demographic, behavioural, and transactional), the treatment of censored and imbalanced outcome data, the trade-off between model </w:t>
          </w:r>
          <w:r>
            <w:rPr>
              <w:lang w:val="en-US"/>
            </w:rPr>
            <w:t>interpretability</w:t>
          </w:r>
          <w:r>
            <w:rPr/>
            <w:t xml:space="preserve"> and predictive power, and the increasing regulatory scrutiny applied to automated credit decisions under frameworks such as the Equal Credit Opportunity Act and, in the European context, the General Data Protection Regulation's provisions on automated decision-making. The dataset used in this thesis, comprising demographic, financial, credit-history, and loan-specific attributes together with engineered financial ratios, is representative of the feature categories commonly used in this literature. (Lessmann et al., 2015; Dastile, Celik, &amp; Potsane, 2020; Aggarwal, 2021).</w:t>
          </w:r>
        </w:p>
        <w:p>
          <w:pPr>
            <w:pStyle w:val="Heading2"/>
            <w:spacing w:lineRule="auto" w:line="276" w:before="300" w:after="150"/>
            <w:jc w:val="both"/>
            <w:rPr/>
          </w:pPr>
          <w:r>
            <w:rPr/>
            <w:t>2.2 Machine Learning for Credit Risk Prediction</w:t>
          </w:r>
        </w:p>
        <w:p>
          <w:pPr>
            <w:pStyle w:val="Normal"/>
            <w:spacing w:lineRule="auto" w:line="276" w:before="0" w:after="180"/>
            <w:jc w:val="both"/>
            <w:rPr/>
          </w:pPr>
          <w:r>
            <w:rPr/>
            <w:t>Since the early 2000</w:t>
          </w:r>
          <w:r>
            <w:rPr>
              <w:lang w:val="en-US"/>
            </w:rPr>
            <w:t>s</w:t>
          </w:r>
          <w:r>
            <w:rPr/>
            <w:t>, the credit-scoring literature has progressively adopted machine learning methods, including decision trees, random forests, support vector machines, and, more recently, gradient boosting frameworks such as XGBoost, LightGBM, and CatBoost, as alternatives to logistic regression. Empirical comparisons generally find that gradient boosting methods achieve equal or superior discrimination performance (commonly measured by the area under the receiver operating characteristic curve) relative to logistic regression, particularly when the relationship between features and the target is non-linear or involves complex interactions among variables such as income, debt, and credit history. (Chen &amp; Guestrin, 2016; Lessmann et al., 2015; Xia, Liu, Li, &amp; Liu, 2017).</w:t>
          </w:r>
        </w:p>
        <w:p>
          <w:pPr>
            <w:pStyle w:val="Normal"/>
            <w:spacing w:lineRule="auto" w:line="276" w:before="0" w:after="180"/>
            <w:jc w:val="both"/>
            <w:rPr/>
          </w:pPr>
          <w:r>
            <w:rPr/>
            <w:t>Neural network architectures, including feed-forward networks and, for datasets containing sequential or transactional information, recurrent architectures, have also been applied to credit scoring, though their advantage over gradient boosting on structured, tabular data of the kind used in this thesis is less consistently observed. A recurring finding across this literature is that tree-based ensemble methods offer an attractive balance of predictive performance, computational efficiency, robustness to outliers and unscaled features, and, through techniques such as SHAP, a reasonable degree of interpretability, which motivates the choice of XGBoost as the primary model in this thesis. (Shwartz-Ziv &amp; Armon, 2022; Grinsztajn, Oyallon, &amp; Varoquaux, 2022).</w:t>
          </w:r>
        </w:p>
        <w:p>
          <w:pPr>
            <w:pStyle w:val="Heading2"/>
            <w:spacing w:lineRule="auto" w:line="276" w:before="300" w:after="150"/>
            <w:jc w:val="both"/>
            <w:rPr/>
          </w:pPr>
          <w:r>
            <w:rPr/>
            <w:t xml:space="preserve">2.3 Data Quality and Preprocessing in Credit Risk </w:t>
          </w:r>
          <w:r>
            <w:rPr>
              <w:lang w:val="en-US"/>
            </w:rPr>
            <w:t>Modeling</w:t>
          </w:r>
        </w:p>
        <w:p>
          <w:pPr>
            <w:pStyle w:val="Normal"/>
            <w:spacing w:lineRule="auto" w:line="276" w:before="0" w:after="180"/>
            <w:jc w:val="both"/>
            <w:rPr/>
          </w:pPr>
          <w:r>
            <w:rPr/>
            <w:t xml:space="preserve">Data quality is widely </w:t>
          </w:r>
          <w:r>
            <w:rPr>
              <w:lang w:val="en-US"/>
            </w:rPr>
            <w:t>recognized</w:t>
          </w:r>
          <w:r>
            <w:rPr/>
            <w:t xml:space="preserve"> in the applied machine learning literature as a first-order determinant of model performance, often exceeding the marginal benefit obtained from algorithmic sophistication. In the credit-scoring domain specifically, prior work has documented the prevalence of missing values arising from incomplete applications, inconsistent encoding of categorical variables (for example, differing capitalisation or terminology for employment status), illogical or out-of-range values arising from data entry error, and, less commonly discussed but empirically important, inconsistencies in the scale or units used to record derived variables such as financial ratios. (Gudivada, Apon, &amp; Ding, 2017).</w:t>
          </w:r>
        </w:p>
        <w:p>
          <w:pPr>
            <w:pStyle w:val="Normal"/>
            <w:spacing w:lineRule="auto" w:line="276" w:before="0" w:after="180"/>
            <w:jc w:val="both"/>
            <w:rPr/>
          </w:pPr>
          <w:r>
            <w:rPr/>
            <w:t>This thesis contributes to this literature by documenting a case in which a naive range-validation rule applied to financial ratio variables flagged the overwhelming majority of records (48,901 out of 50,000) as invalid, not because the underlying data were corrupted, but because the ratios had been stored on an inconsistent scale. This finding echoes cautionary observations elsewhere in the literature that automated data-quality rules must be applied with an understanding of how each variable was constructed, since a superficially reasonable validation rule can produce misleading conclusions if the scale or units of a variable are not verified first. (Gudivada, Apon, &amp; Ding, 2017; Siddiqi, 2012).</w:t>
          </w:r>
        </w:p>
        <w:p>
          <w:pPr>
            <w:pStyle w:val="Heading2"/>
            <w:spacing w:lineRule="auto" w:line="276" w:before="300" w:after="150"/>
            <w:jc w:val="both"/>
            <w:rPr/>
          </w:pPr>
          <w:r>
            <w:rPr/>
            <w:t>2.4 Feature Engineering and Feature Selection</w:t>
          </w:r>
        </w:p>
        <w:p>
          <w:pPr>
            <w:pStyle w:val="Normal"/>
            <w:spacing w:lineRule="auto" w:line="276" w:before="0" w:after="180"/>
            <w:jc w:val="both"/>
            <w:rPr/>
          </w:pPr>
          <w:r>
            <w:rPr/>
            <w:t>Feature engineering in credit scoring typically involves the construction of ratio variables (such as debt-to-income, loan-to-income, and payment-to-income ratios) that are believed, on the basis of domain knowledge, to summarize an applicant's financial capacity more effectively than the underlying raw variables considered individually. The literature also documents the routine use of logarithmic or Box–Cox transformations to reduce the skewness commonly observed in monetary variables such as income, debt, and loan amount, and the use of standardization or min–max scaling prior to training scale-sensitive algorithms. (Kuhn &amp; Johnson, 2019).</w:t>
          </w:r>
        </w:p>
        <w:p>
          <w:pPr>
            <w:pStyle w:val="Normal"/>
            <w:spacing w:lineRule="auto" w:line="276" w:before="0" w:after="180"/>
            <w:jc w:val="both"/>
            <w:rPr/>
          </w:pPr>
          <w:r>
            <w:rPr/>
            <w:t>Feature selection techniques applied in the credit-scoring literature range from simple filter methods, such as correlation analysis and variance thresholding, through wrapper methods, such as recursive feature elimination, to embedded and post-hoc methods, such as tree-based importance scores, permutation importance, and, increasingly, SHAP-based importance. A recurring finding is that these methods often agree on a core set of highly informative features (typically credit history and debt-related variables) while disagreeing on the ranking of secondary features, a pattern that is also observed in the present study. (Guyon &amp; Elisseeff, 2003; Lundberg &amp; Lee, 2017).</w:t>
          </w:r>
        </w:p>
        <w:p>
          <w:pPr>
            <w:pStyle w:val="Heading2"/>
            <w:spacing w:lineRule="auto" w:line="276" w:before="300" w:after="150"/>
            <w:jc w:val="both"/>
            <w:rPr/>
          </w:pPr>
          <w:r>
            <w:rPr/>
            <w:t>2.5 Cost-Sensitive Classification</w:t>
          </w:r>
        </w:p>
        <w:p>
          <w:pPr>
            <w:pStyle w:val="Normal"/>
            <w:spacing w:lineRule="auto" w:line="276" w:before="0" w:after="180"/>
            <w:jc w:val="both"/>
            <w:rPr/>
          </w:pPr>
          <w:r>
            <w:rPr/>
            <w:t>Cost-sensitive classification addresses the observation that, in many real-world applications, the cost of different types of classification error is not symmetric. In credit risk specifically, the cost of a false negative (approving an applicant who subsequently defaults) is typically substantially higher than the cost of a false positive (rejecting an applicant who would have repaid), because a default can result in the loss of the entire outstanding principal, whereas a rejected good applicant represents only a foregone profit margin. The literature proposes several strategies for incorporating this asymmetry into model training and deployment, including class weighting during training, cost-sensitive loss functions, and post-hoc adjustment of the decision threshold applied to predicted probabilities. (Elkan, 2001).</w:t>
          </w:r>
        </w:p>
        <w:p>
          <w:pPr>
            <w:pStyle w:val="Normal"/>
            <w:spacing w:lineRule="auto" w:line="276" w:before="0" w:after="180"/>
            <w:jc w:val="both"/>
            <w:rPr/>
          </w:pPr>
          <w:r>
            <w:rPr/>
            <w:t>This thesis adopts a combination of these strategies: class weighting is used during XGBoost training to address the moderate class imbalance observed in the dataset (an imbalance ratio of approximately 1.22), and a separate, explicit business cost function is subsequently used to select the operating decision threshold, following the threshold-search approach discussed further in Section 2.6. (Chawla, Bowyer, Hall, &amp; Kegelmeyer, 2002; He &amp; Garcia, 2009).</w:t>
          </w:r>
        </w:p>
        <w:p>
          <w:pPr>
            <w:pStyle w:val="Heading2"/>
            <w:spacing w:lineRule="auto" w:line="276" w:before="300" w:after="150"/>
            <w:jc w:val="both"/>
            <w:rPr/>
          </w:pPr>
          <w:r>
            <w:rPr/>
            <w:t>2.6 Decision Threshold Optimization</w:t>
          </w:r>
        </w:p>
        <w:p>
          <w:pPr>
            <w:pStyle w:val="Normal"/>
            <w:spacing w:lineRule="auto" w:line="276" w:before="0" w:after="180"/>
            <w:jc w:val="both"/>
            <w:rPr/>
          </w:pPr>
          <w:r>
            <w:rPr/>
            <w:t xml:space="preserve">A binary classifier such as XGBoost produces a continuous predicted probability of the positive class, which must be converted into a discrete decision through comparison with a threshold. The conventional default of 0.5 implicitly assumes that false positives and false negatives are equally costly and that the two classes are balanced, assumptions that rarely hold in credit risk applications. The literature on threshold </w:t>
          </w:r>
          <w:r>
            <w:rPr>
              <w:lang w:val="en-US"/>
            </w:rPr>
            <w:t>optimization</w:t>
          </w:r>
          <w:r>
            <w:rPr/>
            <w:t xml:space="preserve"> proposes several alternative criteria, including </w:t>
          </w:r>
          <w:r>
            <w:rPr>
              <w:lang w:val="en-US"/>
            </w:rPr>
            <w:t>maximizing</w:t>
          </w:r>
          <w:r>
            <w:rPr/>
            <w:t xml:space="preserve"> the F1-score, maximising Youden's J statistic (sensitivity plus specificity minus one), and, most relevant to this thesis, </w:t>
          </w:r>
          <w:r>
            <w:rPr>
              <w:lang w:val="en-US"/>
            </w:rPr>
            <w:t>minimizing</w:t>
          </w:r>
          <w:r>
            <w:rPr/>
            <w:t xml:space="preserve"> an explicit expected cost function that assigns different weights to false positives and false negatives. (Youden, 1950; Freeman &amp; Moisen, 2008).</w:t>
          </w:r>
        </w:p>
        <w:p>
          <w:pPr>
            <w:pStyle w:val="Normal"/>
            <w:spacing w:lineRule="auto" w:line="276" w:before="0" w:after="180"/>
            <w:jc w:val="both"/>
            <w:rPr/>
          </w:pPr>
          <w:r>
            <w:rPr/>
            <w:t xml:space="preserve">Threshold </w:t>
          </w:r>
          <w:r>
            <w:rPr>
              <w:lang w:val="en-US"/>
            </w:rPr>
            <w:t>optimization</w:t>
          </w:r>
          <w:r>
            <w:rPr/>
            <w:t xml:space="preserve"> is typically performed by evaluating the chosen criterion across a fine grid of candidate thresholds on a held-out validation set and selecting the threshold that </w:t>
          </w:r>
          <w:r>
            <w:rPr>
              <w:lang w:val="en-US"/>
            </w:rPr>
            <w:t>minimizes</w:t>
          </w:r>
          <w:r>
            <w:rPr/>
            <w:t xml:space="preserve"> the criterion. This thesis follows this established approach, searching over a grid of candidate thresholds and selecting the threshold that </w:t>
          </w:r>
          <w:r>
            <w:rPr>
              <w:lang w:val="en-US"/>
            </w:rPr>
            <w:t>minimizes</w:t>
          </w:r>
          <w:r>
            <w:rPr/>
            <w:t xml:space="preserve"> the total weighted business cost, rather than </w:t>
          </w:r>
          <w:r>
            <w:rPr>
              <w:lang w:val="en-US"/>
            </w:rPr>
            <w:t>optimizing</w:t>
          </w:r>
          <w:r>
            <w:rPr/>
            <w:t xml:space="preserve"> a purely statistical criterion such as F1. (Elkan, 2001; Freeman &amp; Moisen, 2008).</w:t>
          </w:r>
        </w:p>
        <w:p>
          <w:pPr>
            <w:pStyle w:val="Heading2"/>
            <w:spacing w:lineRule="auto" w:line="276" w:before="300" w:after="150"/>
            <w:jc w:val="both"/>
            <w:rPr/>
          </w:pPr>
          <w:r>
            <w:rPr/>
            <w:t>2.7 Explainable Artificial Intelligence in Credit Risk</w:t>
          </w:r>
        </w:p>
        <w:p>
          <w:pPr>
            <w:pStyle w:val="Normal"/>
            <w:spacing w:lineRule="auto" w:line="276" w:before="0" w:after="180"/>
            <w:jc w:val="both"/>
            <w:rPr/>
          </w:pPr>
          <w:r>
            <w:rPr/>
            <w:t>The adoption of complex, non-linear machine learning models in credit scoring has been accompanied by growing demand, from regulators, auditors, and applicants alike, for these models to be explainable. Explainability techniques applied in the credit-scoring literature include model-intrinsic approaches (such as the coefficients of a logistic regression model or the split-based importance of a decision tree), surrogate modelling (fitting an interpretable model to approximate a complex one), and, increasingly, SHAP, which is grounded in cooperative game theory and provides an additive attribution of each feature's contribution to an individual prediction, consistent with a well-defined set of theoretical properties (local accuracy, missingness, and consistency). (Doshi-Velez &amp; Kim, 2017; Lundberg &amp; Lee, 2017).</w:t>
          </w:r>
        </w:p>
        <w:p>
          <w:pPr>
            <w:pStyle w:val="Normal"/>
            <w:spacing w:lineRule="auto" w:line="276" w:before="0" w:after="180"/>
            <w:jc w:val="both"/>
            <w:rPr/>
          </w:pPr>
          <w:r>
            <w:rPr/>
            <w:t>SHAP has become particularly popular for tree-based ensemble models such as XGBoost because the TreeExplainer algorithm computes exact Shapley values efficiently, without the approximation required for general model classes. This thesis applies SHAP both globally, to rank the overall contribution of each feature across the portfolio, and locally, to explain individual predictions, including a comparison of SHAP explanations for correctly and incorrectly classified applicants. (Lundberg et al., 2020).</w:t>
          </w:r>
        </w:p>
        <w:p>
          <w:pPr>
            <w:pStyle w:val="Heading2"/>
            <w:spacing w:lineRule="auto" w:line="276" w:before="300" w:after="150"/>
            <w:jc w:val="both"/>
            <w:rPr/>
          </w:pPr>
          <w:r>
            <w:rPr/>
            <w:t>2.8 Model Reliability and Distribution Shift</w:t>
          </w:r>
        </w:p>
        <w:p>
          <w:pPr>
            <w:pStyle w:val="Normal"/>
            <w:spacing w:lineRule="auto" w:line="276" w:before="0" w:after="180"/>
            <w:jc w:val="both"/>
            <w:rPr/>
          </w:pPr>
          <w:r>
            <w:rPr/>
            <w:t>A model that performs well on the data available at training time is not guaranteed to continue performing well once deployed, because the statistical relationship between features and the target, or the distribution of the features themselves, may change over time, a phenomenon generically referred to as distribution shift or drift. The machine-learning-operations literature distinguishes between covariate (feature) drift, label drift, and concept drift, and proposes a range of statistical techniques for detecting each, including the Population Stability Index (PSI), commonly used in the credit-scoring industry to monitor whether the distribution of a scored population has shifted relative to a reference population, and the Kolmogorov–Smirnov (KS) statistic, which quantifies the maximum distance between two empirical cumulative distribution functions. (Gama, Zliobaite, Bifet, Pechenizkiy, &amp; Bouchachia, 2014; Siddiqi, 2012).</w:t>
          </w:r>
        </w:p>
        <w:p>
          <w:pPr>
            <w:pStyle w:val="Normal"/>
            <w:spacing w:lineRule="auto" w:line="276" w:before="0" w:after="180"/>
            <w:jc w:val="both"/>
            <w:rPr/>
          </w:pPr>
          <w:r>
            <w:rPr/>
            <w:t>Although PSI and KS are well established in industry practice, particularly in credit risk model validation guidelines issued by banking regulators, they are comparatively underrepresented in academic machine-learning publications relative to more general drift-detection algorithms developed in the streaming-data literature. This thesis applies PSI and KS to monitor both feature-level and prediction-level drift, and supplements these with direct tracking of performance metrics (AUC, confusion matrix, and cost) on newly available labelled data, providing a monitoring framework that is simple to implement yet grounded in established industry practice. (Siddiqi, 2012; Gama et al., 2014).</w:t>
          </w:r>
        </w:p>
        <w:p>
          <w:pPr>
            <w:pStyle w:val="Heading2"/>
            <w:spacing w:before="300" w:after="150"/>
            <w:rPr/>
          </w:pPr>
          <w:r>
            <w:rPr/>
            <w:t>2.9 Selective Prediction and Human-in-the-Loop Decision Making</w:t>
          </w:r>
        </w:p>
        <w:p>
          <w:pPr>
            <w:pStyle w:val="Normal"/>
            <w:spacing w:before="0" w:after="180"/>
            <w:jc w:val="both"/>
            <w:rPr/>
          </w:pPr>
          <w:r>
            <w:rPr/>
            <w:t>Selective prediction, also referred to as classification with a reject option or learning to defer, allows a classifier to abstain from making a decision when its confidence is low, deferring the case to an alternative decision maker, typically a human expert. The theoretical foundations of this approach date to early work on the reject option in pattern recognition, and it has since been applied in domains including medical diagnosis, fraud detection, and, less commonly, credit risk. The central design choice in a selective prediction system is the definition of the rejection region, that is, the range of predicted probabilities for which the model defers rather than decides automatically. (Chow, 1970; Cortes, DeSalvo, &amp; Mohri, 2016; Geifman &amp; El-Yaniv, 2017).</w:t>
          </w:r>
        </w:p>
        <w:p>
          <w:pPr>
            <w:pStyle w:val="Normal"/>
            <w:spacing w:before="0" w:after="180"/>
            <w:jc w:val="both"/>
            <w:rPr/>
          </w:pPr>
          <w:r>
            <w:rPr/>
            <w:t>In credit risk specifically, selective prediction offers a natural fit with existing bank operations, which already employ human loan officers to review complex or high-value applications. This thesis contributes to this literature by combining selective prediction with the same explicit business cost function used for single-threshold optimi</w:t>
          </w:r>
          <w:r>
            <w:rPr/>
            <w:t>z</w:t>
          </w:r>
          <w:r>
            <w:rPr/>
            <w:t>ation, defining two thresholds (a lower acceptance threshold and an upper rejection threshold) that jointly minimi</w:t>
          </w:r>
          <w:r>
            <w:rPr/>
            <w:t>z</w:t>
          </w:r>
          <w:r>
            <w:rPr/>
            <w:t>e cost subject to a constraint on the proportion of applications referred for manual review, and by empirically quantifying the resulting reduction in cost and false negatives relative to the single-threshold baseline. (Cortes, DeSalvo, &amp; Mohri, 2016).</w:t>
          </w:r>
        </w:p>
        <w:p>
          <w:pPr>
            <w:pStyle w:val="Heading2"/>
            <w:spacing w:lineRule="auto" w:line="276" w:before="300" w:after="150"/>
            <w:jc w:val="both"/>
            <w:rPr/>
          </w:pPr>
          <w:r>
            <w:rPr/>
            <w:t>2.10 Research Gap and Positioning of the Present Study</w:t>
          </w:r>
        </w:p>
        <w:p>
          <w:pPr>
            <w:pStyle w:val="Normal"/>
            <w:spacing w:lineRule="auto" w:line="276" w:before="0" w:after="180"/>
            <w:jc w:val="both"/>
            <w:rPr/>
          </w:pPr>
          <w:r>
            <w:rPr/>
            <w:t xml:space="preserve">Building on the review presented in Sections 2.1 to 2.9, this section </w:t>
          </w:r>
          <w:r>
            <w:rPr>
              <w:lang w:val="en-US"/>
            </w:rPr>
            <w:t>summarizes</w:t>
          </w:r>
          <w:r>
            <w:rPr/>
            <w:t xml:space="preserve"> how the present study is positioned relative to the existing literature. While the individual techniques employed in this thesis, gradient boosting classification, cost-sensitive threshold search, SHAP explainability, PSI/KS-based drift monitoring, and selective prediction, are each established in isolation, this thesis integrates them into a single pipeline applied consistently to one dataset, allowing the interactions between these components to be studied jointly rather than in separate, disconnected studies. In particular, this thesis traces a single decision threshold, first optimised against a business cost function under the single-threshold framework, and then generalised into a two-threshold selective prediction framework, allowing a direct, like-for-like comparison of the two approaches on the same test data, a comparison that is uncommon in the reviewed literature. This positioning defines the specific contribution of the present study relative to prior work and motivates the methodological choices described in Chapter 4. (Lessmann et al., 2015; Cortes, DeSalvo, &amp; Mohri, 2016).</w:t>
          </w:r>
        </w:p>
        <w:p>
          <w:pPr>
            <w:pStyle w:val="Normal"/>
            <w:spacing w:lineRule="auto" w:line="276"/>
            <w:jc w:val="both"/>
            <w:rPr/>
          </w:pPr>
          <w:r>
            <w:rPr/>
          </w:r>
          <w:r>
            <w:br w:type="page"/>
          </w:r>
        </w:p>
        <w:p>
          <w:pPr>
            <w:pStyle w:val="Heading1"/>
            <w:spacing w:lineRule="auto" w:line="276" w:before="0" w:after="200"/>
            <w:jc w:val="both"/>
            <w:rPr/>
          </w:pPr>
          <w:r>
            <w:rPr/>
            <w:t>3. Technical Background</w:t>
          </w:r>
        </w:p>
        <w:p>
          <w:pPr>
            <w:pStyle w:val="Heading2"/>
            <w:spacing w:lineRule="auto" w:line="276" w:before="300" w:after="150"/>
            <w:jc w:val="both"/>
            <w:rPr/>
          </w:pPr>
          <w:r>
            <w:rPr/>
            <w:t>3.1 Credit Risk Prediction as a Binary Classification Problem</w:t>
          </w:r>
        </w:p>
        <w:p>
          <w:pPr>
            <w:pStyle w:val="Heading3"/>
            <w:spacing w:lineRule="auto" w:line="276" w:before="220" w:after="120"/>
            <w:jc w:val="both"/>
            <w:rPr/>
          </w:pPr>
          <w:r>
            <w:rPr/>
            <w:t>3.1.1 Loan Default and Credit Risk</w:t>
          </w:r>
        </w:p>
        <w:p>
          <w:pPr>
            <w:pStyle w:val="Normal"/>
            <w:spacing w:lineRule="auto" w:line="276" w:before="0" w:after="180"/>
            <w:jc w:val="both"/>
            <w:rPr/>
          </w:pPr>
          <w:r>
            <w:rPr/>
            <w:t>In this thesis, credit risk is operationalised through the binary target variable loan_status, where a value of 1 denotes an outcome associated with elevated risk (default or rejection, depending on the labeling convention adopted for the dataset) and a value of 0 denotes a safe outcome. Loan default occurs when a borrower fails to meet the scheduled repayment obligations of a loan for a sustained period, typically resulting in a write-off or collections process. Predicting this outcome ahead of time, at the point of application, is the fundamental task addressed by the model developed in this thesis.</w:t>
          </w:r>
        </w:p>
        <w:p>
          <w:pPr>
            <w:pStyle w:val="Heading3"/>
            <w:spacing w:lineRule="auto" w:line="276" w:before="220" w:after="120"/>
            <w:jc w:val="both"/>
            <w:rPr/>
          </w:pPr>
          <w:r>
            <w:rPr/>
            <w:t>3.1.2 Binary Classification Formulation</w:t>
          </w:r>
        </w:p>
        <w:p>
          <w:pPr>
            <w:pStyle w:val="Normal"/>
            <w:spacing w:lineRule="auto" w:line="276" w:before="0" w:after="180"/>
            <w:jc w:val="both"/>
            <w:rPr/>
          </w:pPr>
          <w:r>
            <w:rPr/>
            <w:t>Formally, given a feature vector x_i describing applicant i, the task is to learn a function f(x_i) that outputs an estimated probability p_i of default, p_i = P(loan_status_i = 1 | x_i). A classification rule then converts this probability into a discrete decision y_hat_i by comparing p_i to a threshold t: y_hat_i = 1 if p_i &gt;= t, else 0. The model is trained by minimising a loss function, typically the binary cross-entropy (log-loss), over a labelled training set, subject to the regularisation and boosting mechanics described in Section 3.2.</w:t>
          </w:r>
        </w:p>
        <w:p>
          <w:pPr>
            <w:pStyle w:val="Heading3"/>
            <w:spacing w:lineRule="auto" w:line="276" w:before="220" w:after="120"/>
            <w:jc w:val="both"/>
            <w:rPr/>
          </w:pPr>
          <w:r>
            <w:rPr/>
            <w:t>3.1.3 False Positives and False Negatives in Credit Decisions</w:t>
          </w:r>
        </w:p>
        <w:p>
          <w:pPr>
            <w:pStyle w:val="Normal"/>
            <w:spacing w:lineRule="auto" w:line="276" w:before="0" w:after="180"/>
            <w:jc w:val="both"/>
            <w:rPr/>
          </w:pPr>
          <w:r>
            <w:rPr/>
            <w:t>Given the binary decision rule above, four outcomes are possible for each applicant: a true negative (correctly approved), a true positive (correctly rejected as high risk), a false positive (a creditworthy applicant incorrectly rejected), and a false negative (a high-risk applicant incorrectly approved). As discussed in Section 2.5, these two error types carry different financial consequences: a false negative exposes the bank to the loss of principal and interest on a defaulted loan, while a false positive represents a foregone profit opportunity. This asymmetry is central to the cost-sensitive methodology developed in Chapter 4.</w:t>
          </w:r>
        </w:p>
        <w:p>
          <w:pPr>
            <w:pStyle w:val="Heading2"/>
            <w:spacing w:lineRule="auto" w:line="276" w:before="300" w:after="150"/>
            <w:jc w:val="both"/>
            <w:rPr/>
          </w:pPr>
          <w:r>
            <w:rPr/>
            <w:t xml:space="preserve">3.2 Gradient Boosting </w:t>
          </w:r>
          <w:r>
            <w:rPr>
              <w:lang w:val="en-US"/>
            </w:rPr>
            <w:t>(</w:t>
          </w:r>
          <w:r>
            <w:rPr/>
            <w:t>XGBoost</w:t>
          </w:r>
          <w:r>
            <w:rPr>
              <w:lang w:val="en-US"/>
            </w:rPr>
            <w:t>)</w:t>
          </w:r>
        </w:p>
        <w:p>
          <w:pPr>
            <w:pStyle w:val="Heading3"/>
            <w:spacing w:lineRule="auto" w:line="276" w:before="220" w:after="120"/>
            <w:jc w:val="both"/>
            <w:rPr/>
          </w:pPr>
          <w:r>
            <w:rPr/>
            <w:t>3.2.1 Gradient Boosting</w:t>
          </w:r>
        </w:p>
        <w:p>
          <w:pPr>
            <w:pStyle w:val="Normal"/>
            <w:spacing w:lineRule="auto" w:line="276" w:before="0" w:after="180"/>
            <w:jc w:val="both"/>
            <w:rPr/>
          </w:pPr>
          <w:r>
            <w:rPr/>
            <w:t>Gradient boosting is an ensemble learning technique that builds a strong predictive model by combining a sequence of weak learners, typically shallow decision trees, in an additive, stage-wise manner. At each boosting iteration, a new weak learner is fitted to the negative gradient (the pseudo-residuals) of the loss function with respect to the current ensemble's predictions, so that each successive tree focuses on correcting the errors of the trees that precede it. The final prediction is a weighted sum of the outputs of all trees in the ensemble.</w:t>
          </w:r>
        </w:p>
        <w:p>
          <w:pPr>
            <w:pStyle w:val="Heading3"/>
            <w:spacing w:lineRule="auto" w:line="276" w:before="220" w:after="120"/>
            <w:jc w:val="both"/>
            <w:rPr/>
          </w:pPr>
          <w:r>
            <w:rPr/>
            <w:t>3.2.2 Decision Trees</w:t>
          </w:r>
        </w:p>
        <w:p>
          <w:pPr>
            <w:pStyle w:val="Normal"/>
            <w:spacing w:lineRule="auto" w:line="276" w:before="0" w:after="180"/>
            <w:jc w:val="both"/>
            <w:rPr/>
          </w:pPr>
          <w:r>
            <w:rPr/>
            <w:t>The weak learners used in gradient boosting are typically Classification and Regression Trees (CART), which partition the feature space recursively by selecting, at each internal node, the feature and split point that most reduces an impurity measure such as the Gini index or, in the boosting context, the second-order approximation of the loss function. Each leaf of the tree is assigned a numeric output value. Decision trees are attractive as base learners because they can capture non-linear relationships and interactions between features without requiring explicit feature engineering of interaction terms.</w:t>
          </w:r>
        </w:p>
        <w:p>
          <w:pPr>
            <w:pStyle w:val="Heading3"/>
            <w:spacing w:lineRule="auto" w:line="276" w:before="220" w:after="120"/>
            <w:jc w:val="both"/>
            <w:rPr/>
          </w:pPr>
          <w:r>
            <w:rPr/>
            <w:t>3.2.3 XGBoost Classifier</w:t>
          </w:r>
        </w:p>
        <w:p>
          <w:pPr>
            <w:pStyle w:val="Normal"/>
            <w:spacing w:lineRule="auto" w:line="276" w:before="0" w:after="180"/>
            <w:jc w:val="both"/>
            <w:rPr/>
          </w:pPr>
          <w:r>
            <w:rPr/>
            <w:t xml:space="preserve">XGBoost (Extreme Gradient Boosting) is a scalable, </w:t>
          </w:r>
          <w:r>
            <w:rPr>
              <w:lang w:val="en-US"/>
            </w:rPr>
            <w:t>regularized</w:t>
          </w:r>
          <w:r>
            <w:rPr/>
            <w:t xml:space="preserve"> implementation of gradient boosting that incorporates a second-order Taylor expansion of the loss function, an explicit regularisation term </w:t>
          </w:r>
          <w:r>
            <w:rPr>
              <w:lang w:val="en-US"/>
            </w:rPr>
            <w:t>penalizing</w:t>
          </w:r>
          <w:r>
            <w:rPr/>
            <w:t xml:space="preserve"> tree complexity (the number of leaves and the magnitude of leaf weights), and system-level </w:t>
          </w:r>
          <w:r>
            <w:rPr>
              <w:lang w:val="en-US"/>
            </w:rPr>
            <w:t>optimizations</w:t>
          </w:r>
          <w:r>
            <w:rPr/>
            <w:t xml:space="preserve"> such as sparsity-aware split finding and parallelised tree construction. Key hyper-parameters relevant to this thesis include the learning rate (eta), the maximum tree depth, the minimum child weight, the subsample and colsample_bytree ratios, the number of boosting rounds, and the L1/L2 regularisation coefficients (alpha and lambda), all of which are tuned in the hyper-parameter search described in Chapter 4.</w:t>
          </w:r>
        </w:p>
        <w:p>
          <w:pPr>
            <w:pStyle w:val="Heading3"/>
            <w:spacing w:lineRule="auto" w:line="276" w:before="220" w:after="120"/>
            <w:jc w:val="both"/>
            <w:rPr/>
          </w:pPr>
          <w:r>
            <w:rPr/>
            <w:t>3.2.4 Class Weighting</w:t>
          </w:r>
        </w:p>
        <w:p>
          <w:pPr>
            <w:pStyle w:val="Normal"/>
            <w:spacing w:lineRule="auto" w:line="276" w:before="0" w:after="180"/>
            <w:jc w:val="both"/>
            <w:rPr/>
          </w:pPr>
          <w:r>
            <w:rPr/>
            <w:t>Because the dataset used in this thesis exhibits a moderate class imbalance (approximately 55% approved versus 45% rejected, an imbalance ratio of 1.22), class weighting is applied during training via the scale_pos_weight parameter (or equivalent per-sample weights), which increases the penalty associated with misclassifying the minority class. This encourages the boosting algorithm to allocate more of its fitting capacity toward correctly discriminating the minority class, without discarding data (as undersampling would) or introducing synthetic observations (as SMOTE-based oversampl</w:t>
          </w:r>
          <w:r>
            <w:drawing>
              <wp:anchor distT="0" distB="0" distL="0" distR="0" simplePos="0" relativeHeight="7" behindDoc="0" locked="0" layoutInCell="0" allowOverlap="1">
                <wp:simplePos x="0" y="0"/>
                <wp:positionH relativeFrom="column">
                  <wp:posOffset>660400</wp:posOffset>
                </wp:positionH>
                <wp:positionV relativeFrom="paragraph">
                  <wp:posOffset>2098040</wp:posOffset>
                </wp:positionV>
                <wp:extent cx="3683635" cy="3346450"/>
                <wp:effectExtent l="0" t="0" r="0" b="0"/>
                <wp:wrapSquare wrapText="largest"/>
                <wp:docPr id="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pic:cNvPicPr>
                          <a:picLocks noChangeAspect="1" noChangeArrowheads="1"/>
                        </pic:cNvPicPr>
                      </pic:nvPicPr>
                      <pic:blipFill>
                        <a:blip r:embed="rId3"/>
                        <a:stretch>
                          <a:fillRect/>
                        </a:stretch>
                      </pic:blipFill>
                      <pic:spPr bwMode="auto">
                        <a:xfrm>
                          <a:off x="0" y="0"/>
                          <a:ext cx="3683635" cy="3346450"/>
                        </a:xfrm>
                        <a:prstGeom prst="rect">
                          <a:avLst/>
                        </a:prstGeom>
                        <a:noFill/>
                      </pic:spPr>
                    </pic:pic>
                  </a:graphicData>
                </a:graphic>
              </wp:anchor>
            </w:drawing>
          </w:r>
          <w:r>
            <w:rPr/>
            <w:t>ing would).</w:t>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jc w:val="center"/>
            <w:rPr>
              <w:i/>
              <w:sz w:val="20"/>
            </w:rPr>
          </w:pPr>
          <w:r>
            <w:rPr>
              <w:i/>
              <w:sz w:val="20"/>
            </w:rPr>
          </w:r>
        </w:p>
        <w:p>
          <w:pPr>
            <w:pStyle w:val="Normal"/>
            <w:jc w:val="center"/>
            <w:rPr>
              <w:i/>
              <w:sz w:val="20"/>
            </w:rPr>
          </w:pPr>
          <w:r>
            <w:rPr>
              <w:i/>
              <w:sz w:val="20"/>
            </w:rPr>
          </w:r>
        </w:p>
        <w:p>
          <w:pPr>
            <w:pStyle w:val="Normal"/>
            <w:jc w:val="center"/>
            <w:rPr>
              <w:i/>
              <w:sz w:val="20"/>
            </w:rPr>
          </w:pPr>
          <w:r>
            <w:rPr>
              <w:i/>
              <w:sz w:val="20"/>
            </w:rPr>
            <w:t xml:space="preserve">Figure 3.1 — Class distribution of the target variable </w:t>
          </w:r>
        </w:p>
        <w:p>
          <w:pPr>
            <w:pStyle w:val="Heading2"/>
            <w:spacing w:lineRule="auto" w:line="276" w:before="300" w:after="150"/>
            <w:jc w:val="both"/>
            <w:rPr/>
          </w:pPr>
          <w:r>
            <w:rPr/>
            <w:t>3.3 Data Preprocessing and Feature Engineering</w:t>
          </w:r>
        </w:p>
        <w:p>
          <w:pPr>
            <w:pStyle w:val="Heading3"/>
            <w:spacing w:lineRule="auto" w:line="276" w:before="220" w:after="120"/>
            <w:jc w:val="both"/>
            <w:rPr/>
          </w:pPr>
          <w:r>
            <w:rPr/>
            <w:t>3.3.1 Data Type Handling</w:t>
          </w:r>
        </w:p>
        <w:p>
          <w:pPr>
            <w:pStyle w:val="Normal"/>
            <w:spacing w:lineRule="auto" w:line="276" w:before="0" w:after="180"/>
            <w:jc w:val="both"/>
            <w:rPr/>
          </w:pPr>
          <w:r>
            <w:rPr/>
            <w:t>Correct data typing ensures that numerical columns intended to represent integer counts (such as age, defaults_on_file, delinquencies_last_2yrs, derogatory_marks, and the binary target loan_status) are stored as integers rather than floating-point numbers, both to reduce memory consumption and to prevent spurious fractional values from appearing in downstream analysis or visualisation.</w:t>
          </w:r>
        </w:p>
        <w:p>
          <w:pPr>
            <w:pStyle w:val="Heading3"/>
            <w:spacing w:lineRule="auto" w:line="276" w:before="220" w:after="120"/>
            <w:jc w:val="both"/>
            <w:rPr/>
          </w:pPr>
          <w:r>
            <w:rPr/>
            <w:t>3.3.2 Missing-Value Handling</w:t>
          </w:r>
        </w:p>
        <w:p>
          <w:pPr>
            <w:pStyle w:val="Normal"/>
            <w:spacing w:lineRule="auto" w:line="276" w:before="0" w:after="180"/>
            <w:jc w:val="both"/>
            <w:rPr/>
          </w:pPr>
          <w:r>
            <w:rPr/>
            <w:t>Missing-value handling encompasses the detection of null or NaN entries (for example via isna().sum()), the choice of an appropriate imputation strategy where missing values are present (mean, median, mode, or model-based imputation), and, where imputation is not appropriate, the removal of affected rows via dropna(). In the dataset used in this thesis, this analysis confirmed the complete absence of missing values across all columns, obviating the need for imputation.</w:t>
          </w:r>
        </w:p>
        <w:p>
          <w:pPr>
            <w:pStyle w:val="Heading3"/>
            <w:spacing w:lineRule="auto" w:line="276" w:before="220" w:after="120"/>
            <w:jc w:val="both"/>
            <w:rPr/>
          </w:pPr>
          <w:r>
            <w:rPr/>
            <w:t>3.3.3 Duplicate Detection</w:t>
          </w:r>
        </w:p>
        <w:p>
          <w:pPr>
            <w:pStyle w:val="Normal"/>
            <w:spacing w:lineRule="auto" w:line="276" w:before="0" w:after="180"/>
            <w:jc w:val="both"/>
            <w:rPr/>
          </w:pPr>
          <w:r>
            <w:rPr/>
            <w:t>Duplicate detection identifies rows that are exact copies of one another, using the duplicated() function, which can indicate accidental double-counting of an application or a data-export error. Duplicate rows, if present, are typically removed prior to analysis, since retaining them would give the affected observation disproportionate influence during model training.</w:t>
          </w:r>
        </w:p>
        <w:p>
          <w:pPr>
            <w:pStyle w:val="Heading3"/>
            <w:spacing w:lineRule="auto" w:line="276" w:before="220" w:after="120"/>
            <w:jc w:val="both"/>
            <w:rPr/>
          </w:pPr>
          <w:r>
            <w:rPr/>
            <w:t>3.3.4 Business-Rule Validation</w:t>
          </w:r>
        </w:p>
        <w:p>
          <w:pPr>
            <w:pStyle w:val="Normal"/>
            <w:spacing w:lineRule="auto" w:line="276" w:before="0" w:after="180"/>
            <w:jc w:val="both"/>
            <w:rPr/>
          </w:pPr>
          <w:r>
            <w:rPr/>
            <w:t>Business-rule validation applies domain-specific constraints to each variable, for example that age must fall within a plausible adult range, that credit_score must lie within the conventional 300 to 850 range, that monetary variables must be non-negative, and that the three financial ratio variables must fall within a bounded, interpretable range. As discussed in Section 4.3, careful application of this technique is essential, since an incorrectly specified rule (for example, one that assumes a percentage scale for a ratio that was in fact stored on a different scale) can generate a very large number of false positives.</w:t>
          </w:r>
        </w:p>
        <w:p>
          <w:pPr>
            <w:pStyle w:val="Heading3"/>
            <w:spacing w:lineRule="auto" w:line="276" w:before="220" w:after="120"/>
            <w:jc w:val="both"/>
            <w:rPr/>
          </w:pPr>
          <w:r>
            <w:rPr/>
            <w:t>3.3.5 Outlier Detection Using the Interquartile Range</w:t>
          </w:r>
        </w:p>
        <w:p>
          <w:pPr>
            <w:pStyle w:val="Normal"/>
            <w:spacing w:lineRule="auto" w:line="276" w:before="0" w:after="180"/>
            <w:jc w:val="both"/>
            <w:rPr/>
          </w:pPr>
          <w:r>
            <w:rPr/>
            <w:t>The interquartile range (IQR) method identifies outliers as observations falling below Q1 minus k times the IQR or above Q3 plus k times the IQR, where Q1 and Q3 are the first and third quartiles and k is a multiplier, conventionally 1.5 for 'mild' outliers and 3.0 for 'extreme' outliers. This thesis applies both thresholds to characterise the prevalence of outliers in each numerical feature, as reported in Section 5.1.2.</w:t>
          </w:r>
        </w:p>
        <w:p>
          <w:pPr>
            <w:pStyle w:val="Normal"/>
            <w:spacing w:before="0" w:after="180"/>
            <w:jc w:val="both"/>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452110" cy="5347970"/>
                <wp:effectExtent l="0" t="0" r="0" b="0"/>
                <wp:wrapTopAndBottom/>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5452110" cy="5347970"/>
                        </a:xfrm>
                        <a:prstGeom prst="rect">
                          <a:avLst/>
                        </a:prstGeom>
                        <a:noFill/>
                      </pic:spPr>
                    </pic:pic>
                  </a:graphicData>
                </a:graphic>
              </wp:anchor>
            </w:drawing>
          </w:r>
        </w:p>
        <w:p>
          <w:pPr>
            <w:pStyle w:val="Normal"/>
            <w:spacing w:before="0" w:after="180"/>
            <w:jc w:val="center"/>
            <w:rPr/>
          </w:pPr>
          <w:r>
            <w:rPr>
              <w:sz w:val="20"/>
              <w:szCs w:val="20"/>
            </w:rPr>
            <w:t>Figure 3.</w:t>
          </w:r>
          <w:r>
            <w:rPr>
              <w:sz w:val="20"/>
              <w:szCs w:val="20"/>
              <w:lang w:val="en-US"/>
            </w:rPr>
            <w:t>2</w:t>
          </w:r>
          <w:r>
            <w:rPr>
              <w:sz w:val="20"/>
              <w:szCs w:val="20"/>
            </w:rPr>
            <w:t xml:space="preserve"> — Outlier Detection Using</w:t>
          </w:r>
          <w:r>
            <w:rPr>
              <w:sz w:val="20"/>
              <w:szCs w:val="20"/>
              <w:lang w:val="en-US"/>
            </w:rPr>
            <w:t xml:space="preserve"> IQR</w:t>
          </w:r>
          <w:r>
            <w:rPr>
              <w:lang w:val="en-US"/>
            </w:rPr>
            <w:t xml:space="preserve"> </w:t>
          </w:r>
        </w:p>
        <w:p>
          <w:pPr>
            <w:pStyle w:val="Heading3"/>
            <w:spacing w:lineRule="auto" w:line="276" w:before="220" w:after="120"/>
            <w:jc w:val="both"/>
            <w:rPr/>
          </w:pPr>
          <w:r>
            <w:rPr/>
            <w:t>3.3.6 Skewness Analysis and Logarithmic Transformation</w:t>
          </w:r>
        </w:p>
        <w:p>
          <w:pPr>
            <w:pStyle w:val="Normal"/>
            <w:spacing w:lineRule="auto" w:line="276" w:before="0" w:after="180"/>
            <w:jc w:val="both"/>
            <w:rPr/>
          </w:pPr>
          <w:r>
            <w:rPr/>
            <w:t>Skewness quantifies the asymmetry of a distribution; monetary variables such as income, debt, savings, and loan amount are typically right-skewed, with a long tail of high values. The logarithmic transformation, commonly implemented as log1p(x) = ln(1+x) to accommodate zero values, compresses this long tail, producing a distribution that is closer to symmetric and therefore more suitable for algorithms and diagnostic techniques that assume approximately normal or homoscedastic residuals.</w:t>
          </w:r>
        </w:p>
        <w:p>
          <w:pPr>
            <w:pStyle w:val="Heading3"/>
            <w:spacing w:lineRule="auto" w:line="276" w:before="220" w:after="120"/>
            <w:jc w:val="both"/>
            <w:rPr/>
          </w:pPr>
          <w:r>
            <w:rPr/>
            <w:t>3.3.7 Feature Scaling</w:t>
          </w:r>
        </w:p>
        <w:p>
          <w:pPr>
            <w:pStyle w:val="Normal"/>
            <w:spacing w:lineRule="auto" w:line="276" w:before="0" w:after="180"/>
            <w:jc w:val="both"/>
            <w:rPr/>
          </w:pPr>
          <w:r>
            <w:rPr/>
            <w:t>Feature scaling standardises continuous variables to a common numerical range, most commonly via the StandardScaler, which subtracts the mean and divides by the standard deviation so that each feature has zero mean and unit variance. Although tree-based models such as XGBoost are largely invariant to monotonic feature scaling, standardisation is nonetheless applied in this thesis to support downstream diagnostic analyses (such as modality inspection) and to maintain compatibility with the broader preprocessing pipeline.</w:t>
          </w:r>
        </w:p>
        <w:p>
          <w:pPr>
            <w:pStyle w:val="Heading3"/>
            <w:spacing w:lineRule="auto" w:line="276" w:before="220" w:after="120"/>
            <w:jc w:val="both"/>
            <w:rPr/>
          </w:pPr>
          <w:r>
            <w:rPr/>
            <w:t>3.3.8 Binary and Categorical Feature Encoding</w:t>
          </w:r>
        </w:p>
        <w:p>
          <w:pPr>
            <w:pStyle w:val="Normal"/>
            <w:spacing w:lineRule="auto" w:line="276" w:before="0" w:after="180"/>
            <w:jc w:val="both"/>
            <w:rPr/>
          </w:pPr>
          <w:r>
            <w:rPr/>
            <w:t>Categorical variables such as occupation_status, product_type, and loan_intent are converted into numerical form suitable for model training, typically via one-hot encoding, which creates a binary indicator column for each category. Count variables that are conceptually binary in effect, such as derogatory_marks and delinquencies_last_2yrs, are additionally represented as explicit binary indicators (zero versus one-or-more) to capture the qualitative distinction between having any adverse record at all and having none, in addition to the original count.</w:t>
          </w:r>
        </w:p>
        <w:p>
          <w:pPr>
            <w:pStyle w:val="Heading2"/>
            <w:spacing w:lineRule="auto" w:line="276" w:before="300" w:after="150"/>
            <w:jc w:val="both"/>
            <w:rPr/>
          </w:pPr>
          <w:r>
            <w:rPr/>
            <w:t>3.4 Exploratory Data Analysis</w:t>
          </w:r>
        </w:p>
        <w:p>
          <w:pPr>
            <w:pStyle w:val="Heading3"/>
            <w:spacing w:lineRule="auto" w:line="276" w:before="220" w:after="120"/>
            <w:jc w:val="both"/>
            <w:rPr/>
          </w:pPr>
          <w:r>
            <w:rPr/>
            <w:t>3.4.1 Descriptive Statistics</w:t>
          </w:r>
        </w:p>
        <w:p>
          <w:pPr>
            <w:pStyle w:val="Normal"/>
            <w:spacing w:lineRule="auto" w:line="276" w:before="0" w:after="180"/>
            <w:jc w:val="both"/>
            <w:rPr/>
          </w:pPr>
          <w:r>
            <w:rPr/>
            <w:t>Descriptive statistics, computed via the describe() function, summarise the central tendency (mean, median) and dispersion (standard deviation, interquartile range, minimum, and maximum) of each numerical feature, providing an initial characterisation of the dataset's scale and variability before any modelling is undertaken.</w:t>
          </w:r>
        </w:p>
        <w:p>
          <w:pPr>
            <w:pStyle w:val="Heading3"/>
            <w:spacing w:lineRule="auto" w:line="276" w:before="220" w:after="120"/>
            <w:jc w:val="both"/>
            <w:rPr/>
          </w:pPr>
          <w:r>
            <w:rPr/>
            <w:t>3.4.2 Feature Distributions</w:t>
          </w:r>
        </w:p>
        <w:p>
          <w:pPr>
            <w:pStyle w:val="Normal"/>
            <w:spacing w:lineRule="auto" w:line="276" w:before="0" w:after="180"/>
            <w:jc w:val="both"/>
            <w:rPr/>
          </w:pPr>
          <w:r>
            <w:rPr/>
            <w:t>Visualising the distribution of each feature, typically via histograms with an overlaid kernel density estimate, allows the analyst to identify skewness, modality (the number of peaks), and the presence of outliers or gaps in the data, informing the choice of subsequent transformations.</w:t>
          </w:r>
        </w:p>
        <w:p>
          <w:pPr>
            <w:pStyle w:val="Heading3"/>
            <w:spacing w:lineRule="auto" w:line="276" w:before="220" w:after="120"/>
            <w:jc w:val="both"/>
            <w:rPr/>
          </w:pPr>
          <w:r>
            <w:rPr/>
            <w:t>3.4.3 Correlation Analysis</w:t>
          </w:r>
        </w:p>
        <w:p>
          <w:pPr>
            <w:pStyle w:val="Normal"/>
            <w:spacing w:lineRule="auto" w:line="276" w:before="0" w:after="180"/>
            <w:jc w:val="both"/>
            <w:rPr/>
          </w:pPr>
          <w:r>
            <w:rPr/>
            <w:t>Correlation analysis quantifies the strength and direction of the linear (Pearson) or monotonic (Spearman) association between pairs of numerical variables. In this thesis, Spearman correlation is preferred for its robustness to skewed distributions and mild outliers, both of which are present in the raw financial variables prior to transformation. Correlation with the target variable provides an initial, univariate indication of feature relevance, while correlation among predictor variables highlights potential multicollinearity.</w:t>
          </w:r>
        </w:p>
        <w:p>
          <w:pPr>
            <w:pStyle w:val="Normal"/>
            <w:spacing w:before="0" w:after="180"/>
            <w:jc w:val="both"/>
            <w:rPr/>
          </w:pPr>
          <w:r>
            <w:rPr/>
            <w:drawing>
              <wp:anchor distT="0" distB="0" distL="0" distR="0" simplePos="0" relativeHeight="5" behindDoc="0" locked="0" layoutInCell="0" allowOverlap="1">
                <wp:simplePos x="0" y="0"/>
                <wp:positionH relativeFrom="column">
                  <wp:posOffset>222250</wp:posOffset>
                </wp:positionH>
                <wp:positionV relativeFrom="paragraph">
                  <wp:posOffset>69215</wp:posOffset>
                </wp:positionV>
                <wp:extent cx="4553585" cy="425958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4553585" cy="4259580"/>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center"/>
            <w:rPr>
              <w:sz w:val="20"/>
              <w:szCs w:val="20"/>
            </w:rPr>
          </w:pPr>
          <w:r>
            <w:rPr>
              <w:sz w:val="20"/>
              <w:szCs w:val="20"/>
            </w:rPr>
          </w:r>
        </w:p>
        <w:p>
          <w:pPr>
            <w:pStyle w:val="Normal"/>
            <w:spacing w:before="0" w:after="180"/>
            <w:jc w:val="center"/>
            <w:rPr/>
          </w:pPr>
          <w:r>
            <w:rPr>
              <w:sz w:val="20"/>
              <w:szCs w:val="20"/>
            </w:rPr>
            <w:t>Figure 3.</w:t>
          </w:r>
          <w:r>
            <w:rPr>
              <w:sz w:val="20"/>
              <w:szCs w:val="20"/>
              <w:lang w:val="en-US"/>
            </w:rPr>
            <w:t>3</w:t>
          </w:r>
          <w:r>
            <w:rPr>
              <w:sz w:val="20"/>
              <w:szCs w:val="20"/>
            </w:rPr>
            <w:t xml:space="preserve"> — Spearman Correlation Matrix for Feature Relationships</w:t>
          </w:r>
          <w:r>
            <w:rPr/>
            <w:t xml:space="preserve"> </w:t>
          </w:r>
        </w:p>
        <w:p>
          <w:pPr>
            <w:pStyle w:val="Heading3"/>
            <w:spacing w:lineRule="auto" w:line="276" w:before="220" w:after="120"/>
            <w:jc w:val="both"/>
            <w:rPr/>
          </w:pPr>
          <w:r>
            <w:rPr/>
            <w:t>3.4.4 Class Distribution and Class Imbalance</w:t>
          </w:r>
        </w:p>
        <w:p>
          <w:pPr>
            <w:pStyle w:val="Normal"/>
            <w:spacing w:lineRule="auto" w:line="276" w:before="0" w:after="180"/>
            <w:jc w:val="both"/>
            <w:rPr/>
          </w:pPr>
          <w:r>
            <w:rPr/>
            <w:t>The class distribution of the target variable is examined via a simple frequency count and the derived imbalance ratio (the ratio of the majority to the minority class count). An imbalance ratio close to 1.0 indicates a balanced dataset; ratios beyond approximately 1.5 to 2.0 are often considered to warrant explicit imbalance-handling techniques such as class weighting or resampling.</w:t>
          </w:r>
        </w:p>
        <w:p>
          <w:pPr>
            <w:pStyle w:val="Heading3"/>
            <w:spacing w:lineRule="auto" w:line="276" w:before="220" w:after="120"/>
            <w:jc w:val="both"/>
            <w:rPr/>
          </w:pPr>
          <w:r>
            <w:rPr/>
            <w:t>3.4.5 Multimodality Analysis</w:t>
          </w:r>
        </w:p>
        <w:p>
          <w:pPr>
            <w:pStyle w:val="Normal"/>
            <w:spacing w:lineRule="auto" w:line="276" w:before="0" w:after="180"/>
            <w:jc w:val="both"/>
            <w:rPr/>
          </w:pPr>
          <w:r>
            <w:rPr/>
            <w:t xml:space="preserve">Multimodality analysis examines whether a feature's distribution exhibits a single dominant peak (unimodal) or multiple distinct peaks (multimodal), the latter often indicating the presence of underlying subpopulations. In this thesis, this analysis revealed that the loan_amount variable retained a multimodal structure even after logarithmic transformation and </w:t>
          </w:r>
          <w:r>
            <w:rPr>
              <w:lang w:val="en-US"/>
            </w:rPr>
            <w:t>standardization</w:t>
          </w:r>
          <w:r>
            <w:rPr/>
            <w:t>, motivating its subsequent categorisation into discrete loan-size groups, as discussed in Section 4.5.</w:t>
          </w:r>
        </w:p>
        <w:p>
          <w:pPr>
            <w:pStyle w:val="Normal"/>
            <w:spacing w:before="0" w:after="180"/>
            <w:jc w:val="both"/>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394960" cy="356616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5394960" cy="3566160"/>
                        </a:xfrm>
                        <a:prstGeom prst="rect">
                          <a:avLst/>
                        </a:prstGeom>
                        <a:noFill/>
                      </pic:spPr>
                    </pic:pic>
                  </a:graphicData>
                </a:graphic>
              </wp:anchor>
            </w:drawing>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394960" cy="3566160"/>
                <wp:effectExtent l="0" t="0" r="0" b="0"/>
                <wp:wrapSquare wrapText="largest"/>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7"/>
                        <a:stretch>
                          <a:fillRect/>
                        </a:stretch>
                      </pic:blipFill>
                      <pic:spPr bwMode="auto">
                        <a:xfrm>
                          <a:off x="0" y="0"/>
                          <a:ext cx="5394960" cy="3566160"/>
                        </a:xfrm>
                        <a:prstGeom prst="rect">
                          <a:avLst/>
                        </a:prstGeom>
                        <a:noFill/>
                      </pic:spPr>
                    </pic:pic>
                  </a:graphicData>
                </a:graphic>
              </wp:anchor>
            </w:drawing>
          </w:r>
        </w:p>
        <w:p>
          <w:pPr>
            <w:pStyle w:val="Normal"/>
            <w:spacing w:before="0" w:after="180"/>
            <w:jc w:val="center"/>
            <w:rPr/>
          </w:pPr>
          <w:r>
            <w:rPr/>
          </w:r>
        </w:p>
        <w:p>
          <w:pPr>
            <w:pStyle w:val="Normal"/>
            <w:spacing w:before="0" w:after="180"/>
            <w:jc w:val="both"/>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4438015" cy="2933700"/>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4438015" cy="2933700"/>
                        </a:xfrm>
                        <a:prstGeom prst="rect">
                          <a:avLst/>
                        </a:prstGeom>
                        <a:noFill/>
                      </pic:spPr>
                    </pic:pic>
                  </a:graphicData>
                </a:graphic>
              </wp:anchor>
            </w:drawing>
          </w:r>
        </w:p>
        <w:p>
          <w:pPr>
            <w:pStyle w:val="Normal"/>
            <w:spacing w:before="0" w:after="180"/>
            <w:jc w:val="both"/>
            <w:rPr/>
          </w:pPr>
          <w:r>
            <w:rPr/>
          </w:r>
        </w:p>
        <w:p>
          <w:pPr>
            <w:pStyle w:val="Heading2"/>
            <w:spacing w:before="300" w:after="150"/>
            <w:rPr/>
          </w:pPr>
          <w:r>
            <w:rPr/>
            <w:t xml:space="preserve">3.5 </w:t>
          </w:r>
        </w:p>
        <w:p>
          <w:pPr>
            <w:pStyle w:val="Normal"/>
            <w:spacing w:before="0" w:after="180"/>
            <w:jc w:val="center"/>
            <w:rPr>
              <w:sz w:val="20"/>
              <w:szCs w:val="20"/>
            </w:rPr>
          </w:pPr>
          <w:r>
            <w:rPr>
              <w:sz w:val="20"/>
              <w:szCs w:val="20"/>
            </w:rPr>
            <w:t>Figure 3.</w:t>
          </w:r>
          <w:r>
            <w:rPr>
              <w:sz w:val="20"/>
              <w:szCs w:val="20"/>
              <w:lang w:val="en-US"/>
            </w:rPr>
            <w:t>4</w:t>
          </w:r>
          <w:r>
            <w:rPr>
              <w:sz w:val="20"/>
              <w:szCs w:val="20"/>
            </w:rPr>
            <w:t xml:space="preserve"> — Distribution of Loan Amount Revealing Multimodal Patterns</w:t>
          </w:r>
        </w:p>
        <w:p>
          <w:pPr>
            <w:pStyle w:val="Heading2"/>
            <w:spacing w:lineRule="auto" w:line="276" w:before="300" w:after="150"/>
            <w:jc w:val="both"/>
            <w:rPr/>
          </w:pPr>
          <w:r>
            <w:rPr/>
            <w:t>Feature Importance and Feature Selection</w:t>
          </w:r>
        </w:p>
        <w:p>
          <w:pPr>
            <w:pStyle w:val="Heading3"/>
            <w:spacing w:lineRule="auto" w:line="276" w:before="220" w:after="120"/>
            <w:jc w:val="both"/>
            <w:rPr/>
          </w:pPr>
          <w:r>
            <w:rPr/>
            <w:t>3.5.1 XGBoost Feature Importance</w:t>
          </w:r>
        </w:p>
        <w:p>
          <w:pPr>
            <w:pStyle w:val="Normal"/>
            <w:spacing w:lineRule="auto" w:line="276" w:before="0" w:after="180"/>
            <w:jc w:val="both"/>
            <w:rPr/>
          </w:pPr>
          <w:r>
            <w:rPr/>
            <w:t>XGBoost provides built-in feature-importance scores derived from the training process itself, most commonly the 'gain' metric, which measures the average improvement in the loss function attributable to splits on a given feature across all trees in the ensemble, and the 'weight' (or 'frequency') metric, which counts how often a feature is used to split. Gain-based importance is generally preferred as it more directly reflects a feature's contribution to predictive performance rather than merely its frequency of use.</w:t>
          </w:r>
        </w:p>
        <w:p>
          <w:pPr>
            <w:pStyle w:val="Normal"/>
            <w:spacing w:before="0" w:after="180"/>
            <w:jc w:val="center"/>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486400" cy="2725420"/>
                <wp:effectExtent l="0" t="0" r="0" b="0"/>
                <wp:wrapSquare wrapText="largest"/>
                <wp:docPr id="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pic:cNvPicPr>
                          <a:picLocks noChangeAspect="1" noChangeArrowheads="1"/>
                        </pic:cNvPicPr>
                      </pic:nvPicPr>
                      <pic:blipFill>
                        <a:blip r:embed="rId9"/>
                        <a:stretch>
                          <a:fillRect/>
                        </a:stretch>
                      </pic:blipFill>
                      <pic:spPr bwMode="auto">
                        <a:xfrm>
                          <a:off x="0" y="0"/>
                          <a:ext cx="5486400" cy="2725420"/>
                        </a:xfrm>
                        <a:prstGeom prst="rect">
                          <a:avLst/>
                        </a:prstGeom>
                        <a:noFill/>
                      </pic:spPr>
                    </pic:pic>
                  </a:graphicData>
                </a:graphic>
              </wp:anchor>
            </w:drawing>
          </w:r>
          <w:r>
            <w:rPr>
              <w:sz w:val="20"/>
              <w:szCs w:val="20"/>
            </w:rPr>
            <w:t>Figure 3.</w:t>
          </w:r>
          <w:r>
            <w:rPr>
              <w:sz w:val="20"/>
              <w:szCs w:val="20"/>
              <w:lang w:val="en-US"/>
            </w:rPr>
            <w:t>5</w:t>
          </w:r>
          <w:r>
            <w:rPr>
              <w:sz w:val="20"/>
              <w:szCs w:val="20"/>
            </w:rPr>
            <w:t xml:space="preserve"> — XGBoost Feature Importance Scores of the Predictor Variables</w:t>
          </w:r>
          <w:r>
            <w:rPr/>
            <w:t xml:space="preserve"> </w:t>
          </w:r>
        </w:p>
        <w:p>
          <w:pPr>
            <w:pStyle w:val="Heading3"/>
            <w:spacing w:lineRule="auto" w:line="276" w:before="220" w:after="120"/>
            <w:jc w:val="both"/>
            <w:rPr/>
          </w:pPr>
          <w:r>
            <w:rPr/>
            <w:t>3.5.2 Permutation Importance</w:t>
          </w:r>
        </w:p>
        <w:p>
          <w:pPr>
            <w:pStyle w:val="Normal"/>
            <w:spacing w:lineRule="auto" w:line="276" w:before="0" w:after="180"/>
            <w:jc w:val="both"/>
            <w:rPr/>
          </w:pPr>
          <w:r>
            <w:rPr/>
            <w:t>Permutation importance is a model-agnostic technique that estimates the importance of a feature by randomly shuffling its values in the validation set and measuring the resulting degradation in model performance (for example, the drop in AUC). A large performance drop indicates that the model relies heavily on that feature; a negligible drop indicates that the feature contributes little unique predictive information once other features are accounted for. Because it is computed on held-out data using the trained model directly, permutation importance is less susceptible than training-based importance metrics to overstating the value of high-cardinality or spuriously informative features.</w:t>
          </w:r>
        </w:p>
        <w:p>
          <w:pPr>
            <w:pStyle w:val="Heading3"/>
            <w:spacing w:lineRule="auto" w:line="276" w:before="220" w:after="120"/>
            <w:jc w:val="both"/>
            <w:rPr/>
          </w:pPr>
          <w:r>
            <w:rPr/>
            <w:t>3.5.3 SHAP-Based Feature Importance</w:t>
          </w:r>
        </w:p>
        <w:p>
          <w:pPr>
            <w:pStyle w:val="Normal"/>
            <w:spacing w:lineRule="auto" w:line="276" w:before="0" w:after="180"/>
            <w:jc w:val="both"/>
            <w:rPr/>
          </w:pPr>
          <w:r>
            <w:rPr/>
            <w:t>SHAP (SHapley Additive exPlanations) importance derives from cooperative game theory, treating each feature as a 'player' contributing to the 'payout' represented by the difference between an individual prediction and the average prediction across the dataset. For tree ensembles, the TreeExplainer algorithm computes exact Shapley values efficiently. Global SHAP importance is obtained by averaging the absolute Shapley value of each feature across all observations, while local SHAP values explain individual predictions. SHAP importance is generally regarded as the most theoretically grounded of the three feature-importance techniques applied in this thesis, since it satisfies well-defined axioms of fairness (efficiency, symmetry, dummy, and additivity) that neither gain-based nor permutation importance guarantee.</w:t>
          </w:r>
        </w:p>
        <w:p>
          <w:pPr>
            <w:pStyle w:val="Normal"/>
            <w:spacing w:before="0" w:after="180"/>
            <w:jc w:val="both"/>
            <w:rPr/>
          </w:pPr>
          <w: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4039870" cy="3578860"/>
                <wp:effectExtent l="0" t="0" r="0" b="0"/>
                <wp:wrapSquare wrapText="largest"/>
                <wp:docPr id="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pic:cNvPicPr>
                          <a:picLocks noChangeAspect="1" noChangeArrowheads="1"/>
                        </pic:cNvPicPr>
                      </pic:nvPicPr>
                      <pic:blipFill>
                        <a:blip r:embed="rId10"/>
                        <a:stretch>
                          <a:fillRect/>
                        </a:stretch>
                      </pic:blipFill>
                      <pic:spPr bwMode="auto">
                        <a:xfrm>
                          <a:off x="0" y="0"/>
                          <a:ext cx="4039870" cy="3578860"/>
                        </a:xfrm>
                        <a:prstGeom prst="rect">
                          <a:avLst/>
                        </a:prstGeom>
                        <a:noFill/>
                      </pic:spPr>
                    </pic:pic>
                  </a:graphicData>
                </a:graphic>
              </wp:anchor>
            </w:drawing>
          </w:r>
        </w:p>
        <w:p>
          <w:pPr>
            <w:pStyle w:val="Normal"/>
            <w:spacing w:before="0" w:after="180"/>
            <w:jc w:val="center"/>
            <w:rPr/>
          </w:pPr>
          <w: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4723765" cy="4860925"/>
                <wp:effectExtent l="0" t="0" r="0" b="0"/>
                <wp:wrapSquare wrapText="largest"/>
                <wp:docPr id="10"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pic:cNvPicPr>
                          <a:picLocks noChangeAspect="1" noChangeArrowheads="1"/>
                        </pic:cNvPicPr>
                      </pic:nvPicPr>
                      <pic:blipFill>
                        <a:blip r:embed="rId11"/>
                        <a:stretch>
                          <a:fillRect/>
                        </a:stretch>
                      </pic:blipFill>
                      <pic:spPr bwMode="auto">
                        <a:xfrm>
                          <a:off x="0" y="0"/>
                          <a:ext cx="4723765" cy="4860925"/>
                        </a:xfrm>
                        <a:prstGeom prst="rect">
                          <a:avLst/>
                        </a:prstGeom>
                        <a:noFill/>
                      </pic:spPr>
                    </pic:pic>
                  </a:graphicData>
                </a:graphic>
              </wp:anchor>
            </w:drawing>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486400" cy="4860925"/>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2"/>
                        <a:stretch>
                          <a:fillRect/>
                        </a:stretch>
                      </pic:blipFill>
                      <pic:spPr bwMode="auto">
                        <a:xfrm>
                          <a:off x="0" y="0"/>
                          <a:ext cx="5486400" cy="4860925"/>
                        </a:xfrm>
                        <a:prstGeom prst="rect">
                          <a:avLst/>
                        </a:prstGeom>
                        <a:noFill/>
                      </pic:spPr>
                    </pic:pic>
                  </a:graphicData>
                </a:graphic>
              </wp:anchor>
            </w:drawing>
          </w:r>
          <w:r>
            <w:rPr>
              <w:sz w:val="20"/>
              <w:szCs w:val="20"/>
            </w:rPr>
            <w:t>Figure 3.</w:t>
          </w:r>
          <w:r>
            <w:rPr>
              <w:sz w:val="20"/>
              <w:szCs w:val="20"/>
              <w:lang w:val="en-US"/>
            </w:rPr>
            <w:t>6</w:t>
          </w:r>
          <w:r>
            <w:rPr>
              <w:sz w:val="20"/>
              <w:szCs w:val="20"/>
            </w:rPr>
            <w:t xml:space="preserve"> — Global SHAP Feature Importance Based on Mean Absolute Shapley Values</w:t>
          </w:r>
          <w:r>
            <w:rPr/>
            <w:t xml:space="preserve"> </w:t>
          </w:r>
        </w:p>
        <w:p>
          <w:pPr>
            <w:pStyle w:val="Heading2"/>
            <w:spacing w:lineRule="auto" w:line="276" w:before="300" w:after="150"/>
            <w:jc w:val="both"/>
            <w:rPr/>
          </w:pPr>
          <w:r>
            <w:rPr/>
            <w:t>3.6 Model Evaluation</w:t>
          </w:r>
        </w:p>
        <w:p>
          <w:pPr>
            <w:pStyle w:val="Heading3"/>
            <w:spacing w:lineRule="auto" w:line="276" w:before="220" w:after="120"/>
            <w:jc w:val="both"/>
            <w:rPr/>
          </w:pPr>
          <w:r>
            <w:rPr/>
            <w:t>3.6.1 Confusion Matrix</w:t>
          </w:r>
        </w:p>
        <w:p>
          <w:pPr>
            <w:pStyle w:val="Normal"/>
            <w:spacing w:lineRule="auto" w:line="276" w:before="0" w:after="180"/>
            <w:jc w:val="both"/>
            <w:rPr/>
          </w:pPr>
          <w:r>
            <w:rPr/>
            <w:t>The confusion matrix cross-tabulates predicted against actual class labels, yielding the counts of true negatives, false positives, false negatives, and true positives. It is the foundation from which all of the classification metrics discussed below, as well as the business cost function introduced in Section 3.7, are derived.</w:t>
          </w:r>
        </w:p>
        <w:p>
          <w:pPr>
            <w:pStyle w:val="Heading3"/>
            <w:spacing w:lineRule="auto" w:line="276" w:before="220" w:after="120"/>
            <w:jc w:val="both"/>
            <w:rPr/>
          </w:pPr>
          <w:r>
            <w:rPr/>
            <w:t>3.6.2 Accuracy, Precision, Recall and F1-Score</w:t>
          </w:r>
        </w:p>
        <w:p>
          <w:pPr>
            <w:pStyle w:val="Normal"/>
            <w:spacing w:lineRule="auto" w:line="276" w:before="0" w:after="180"/>
            <w:jc w:val="both"/>
            <w:rPr/>
          </w:pPr>
          <w:r>
            <w:rPr/>
            <w:t>Accuracy is the proportion of all predictions that are correct. Precision is the proportion of predicted-positive cases that are truly positive (TP / (TP+FP)), reflecting the reliability of a positive prediction. Recall (sensitivity) is the proportion of truly positive cases that are correctly identified (TP / (TP+FN)), reflecting the model's ability to detect the condition of interest, in this case, default. The F1-score is the harmonic mean of precision and recall, providing a single balanced summary metric that is particularly informative under class imbalance.</w:t>
          </w:r>
        </w:p>
        <w:p>
          <w:pPr>
            <w:pStyle w:val="Heading3"/>
            <w:spacing w:lineRule="auto" w:line="276" w:before="220" w:after="120"/>
            <w:jc w:val="both"/>
            <w:rPr/>
          </w:pPr>
          <w:r>
            <w:rPr/>
            <w:t>3.6.3 Receiver Operating Characteristic and AUC</w:t>
          </w:r>
        </w:p>
        <w:p>
          <w:pPr>
            <w:pStyle w:val="Normal"/>
            <w:spacing w:lineRule="auto" w:line="276" w:before="0" w:after="180"/>
            <w:jc w:val="both"/>
            <w:rPr/>
          </w:pPr>
          <w:r>
            <w:rPr/>
            <w:t xml:space="preserve">The Receiver Operating Characteristic (ROC) curve plots the true positive rate (recall) against the false positive rate across the full range of possible classification thresholds, illustrating the trade-off between sensitivity and specificity independently of any single threshold choice. The area under this curve (AUC) </w:t>
          </w:r>
          <w:r>
            <w:rPr>
              <w:lang w:val="en-US"/>
            </w:rPr>
            <w:t>summarizes</w:t>
          </w:r>
          <w:r>
            <w:rPr/>
            <w:t xml:space="preserve"> the model's overall discrimination ability, with 0.5 corresponding to random guessing and 1.0 corresponding to perfect discrimination; values above 0.9 are generally considered excellent.</w:t>
          </w:r>
          <w:r>
            <w:br w:type="page"/>
          </w:r>
        </w:p>
        <w:p>
          <w:pPr>
            <w:pStyle w:val="Normal"/>
            <w:rPr/>
          </w:pPr>
          <w:r>
            <w:rPr/>
            <w:drawing>
              <wp:anchor distT="0" distB="0" distL="0" distR="0" simplePos="0" relativeHeight="2" behindDoc="0" locked="0" layoutInCell="0" allowOverlap="1">
                <wp:simplePos x="0" y="0"/>
                <wp:positionH relativeFrom="column">
                  <wp:align>center</wp:align>
                </wp:positionH>
                <wp:positionV relativeFrom="paragraph">
                  <wp:posOffset>-7239635</wp:posOffset>
                </wp:positionV>
                <wp:extent cx="4888230" cy="3651250"/>
                <wp:effectExtent l="0" t="0" r="0" b="0"/>
                <wp:wrapSquare wrapText="largest"/>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noChangeArrowheads="1"/>
                        </pic:cNvPicPr>
                      </pic:nvPicPr>
                      <pic:blipFill>
                        <a:blip r:embed="rId13"/>
                        <a:stretch>
                          <a:fillRect/>
                        </a:stretch>
                      </pic:blipFill>
                      <pic:spPr bwMode="auto">
                        <a:xfrm>
                          <a:off x="0" y="0"/>
                          <a:ext cx="4888230" cy="3651250"/>
                        </a:xfrm>
                        <a:prstGeom prst="rect">
                          <a:avLst/>
                        </a:prstGeom>
                        <a:noFill/>
                      </pic:spPr>
                    </pic:pic>
                  </a:graphicData>
                </a:graphic>
              </wp:anchor>
            </w:drawing>
          </w:r>
        </w:p>
        <w:p>
          <w:pPr>
            <w:pStyle w:val="Normal"/>
            <w:jc w:val="center"/>
            <w:rPr/>
          </w:pPr>
          <w:r>
            <w:rPr>
              <w:i/>
              <w:sz w:val="20"/>
            </w:rPr>
            <w:t xml:space="preserve">Figure </w:t>
          </w:r>
          <w:r>
            <w:rPr>
              <w:i/>
              <w:sz w:val="20"/>
              <w:lang w:val="en-US"/>
            </w:rPr>
            <w:t>3</w:t>
          </w:r>
          <w:r>
            <w:rPr>
              <w:i/>
              <w:sz w:val="20"/>
            </w:rPr>
            <w:t>.</w:t>
          </w:r>
          <w:r>
            <w:rPr>
              <w:i/>
              <w:sz w:val="20"/>
              <w:lang w:val="en-US"/>
            </w:rPr>
            <w:t>7</w:t>
          </w:r>
          <w:r>
            <w:rPr>
              <w:i/>
              <w:sz w:val="20"/>
            </w:rPr>
            <w:t xml:space="preserve"> — ROC curve for the final XGBoost model on the test set</w:t>
          </w:r>
        </w:p>
        <w:p>
          <w:pPr>
            <w:pStyle w:val="Heading3"/>
            <w:spacing w:lineRule="auto" w:line="276" w:before="220" w:after="120"/>
            <w:jc w:val="both"/>
            <w:rPr/>
          </w:pPr>
          <w:r>
            <w:rPr/>
            <w:t>3.6.4 False Positive and False Negative Analysis</w:t>
          </w:r>
        </w:p>
        <w:p>
          <w:pPr>
            <w:pStyle w:val="Normal"/>
            <w:spacing w:lineRule="auto" w:line="276" w:before="0" w:after="180"/>
            <w:jc w:val="both"/>
            <w:rPr/>
          </w:pPr>
          <w:r>
            <w:rPr/>
            <w:t>Beyond aggregate metrics, this thesis places particular emphasis on the disaggregated counts of false positives and false negatives, and their ratio, because these two error types carry different financial consequences in the credit-risk setting, as discussed in Sections 2.5 and 3.1.3. Tracking the FP/FN ratio alongside the confusion matrix allows the analyst to assess directly whether the model's error profile is aligned with the bank's risk appetite.</w:t>
          </w:r>
        </w:p>
        <w:p>
          <w:pPr>
            <w:pStyle w:val="Heading2"/>
            <w:spacing w:lineRule="auto" w:line="276" w:before="300" w:after="150"/>
            <w:jc w:val="both"/>
            <w:rPr/>
          </w:pPr>
          <w:r>
            <w:rPr/>
            <w:t>3.7 Cost-Sensitive Decision Making</w:t>
          </w:r>
        </w:p>
        <w:p>
          <w:pPr>
            <w:pStyle w:val="Heading3"/>
            <w:spacing w:lineRule="auto" w:line="276" w:before="220" w:after="120"/>
            <w:jc w:val="both"/>
            <w:rPr/>
          </w:pPr>
          <w:r>
            <w:rPr/>
            <w:t>3.7.1 Business Cost Function</w:t>
          </w:r>
        </w:p>
        <w:p>
          <w:pPr>
            <w:pStyle w:val="Normal"/>
            <w:spacing w:lineRule="auto" w:line="276" w:before="0" w:after="180"/>
            <w:jc w:val="both"/>
            <w:rPr/>
          </w:pPr>
          <w:r>
            <w:rPr/>
            <w:t>A business cost function assigns an explicit monetary or relative-unit penalty to each type of classification outcome, typically zero for true positives and true negatives, a moderate penalty c_FP for false positives, and a substantially larger penalty c_FN for false negatives, reflecting the asymmetric consequences discussed in Section 2.5. The total cost for a given threshold is then Cost = c_FP * FP + c_FN * FN, computed over the validation or test set.</w:t>
          </w:r>
        </w:p>
        <w:p>
          <w:pPr>
            <w:pStyle w:val="Heading3"/>
            <w:spacing w:lineRule="auto" w:line="276" w:before="220" w:after="120"/>
            <w:jc w:val="both"/>
            <w:rPr/>
          </w:pPr>
          <w:r>
            <w:rPr/>
            <w:t>3.7.2 Asymmetric Costs of Classification Errors</w:t>
          </w:r>
        </w:p>
        <w:p>
          <w:pPr>
            <w:pStyle w:val="Normal"/>
            <w:spacing w:lineRule="auto" w:line="276" w:before="0" w:after="180"/>
            <w:jc w:val="both"/>
            <w:rPr/>
          </w:pPr>
          <w:r>
            <w:rPr/>
            <w:t>The ratio c_FN / c_FP encodes the bank's relative risk aversion: a higher ratio biases the optimal threshold toward stricter approval criteria (fewer false negatives at the cost of more false positives), while a lower ratio biases the threshold toward a more lenient approval policy. This thesis follows standard practice in the credit-risk literature by setting c_FN substantially higher than c_FP, reflecting the fact that a defaulted loan typically represents a loss of principal, whereas a rejected good applicant represents only a foregone margin.</w:t>
          </w:r>
        </w:p>
        <w:p>
          <w:pPr>
            <w:pStyle w:val="Heading3"/>
            <w:spacing w:lineRule="auto" w:line="276" w:before="220" w:after="120"/>
            <w:jc w:val="both"/>
            <w:rPr/>
          </w:pPr>
          <w:r>
            <w:rPr/>
            <w:t>3.7.3 Threshold-Based Decision Optimization</w:t>
          </w:r>
        </w:p>
        <w:p>
          <w:pPr>
            <w:pStyle w:val="Normal"/>
            <w:spacing w:lineRule="auto" w:line="276" w:before="0" w:after="180"/>
            <w:jc w:val="both"/>
            <w:rPr/>
          </w:pPr>
          <w:r>
            <w:rPr/>
            <w:t>Given the business cost function, the optimal decision threshold t* is obtained by evaluating the total cost across a fine grid of candidate thresholds (for example, 0.01 to 0.99 in increments of 0.01) on a held-out validation set, and selecting the threshold that minimises total cost. This threshold is then fixed and applied to the independent test set to obtain an unbiased estimate of out-of-sample cost-sensitive performance, as reported in Section 5.4.5.</w:t>
          </w:r>
        </w:p>
        <w:p>
          <w:pPr>
            <w:pStyle w:val="Heading2"/>
            <w:spacing w:lineRule="auto" w:line="276" w:before="300" w:after="150"/>
            <w:jc w:val="both"/>
            <w:rPr/>
          </w:pPr>
          <w:r>
            <w:rPr/>
            <w:t>3.8 Explainable AI with SHAP</w:t>
          </w:r>
        </w:p>
        <w:p>
          <w:pPr>
            <w:pStyle w:val="Heading3"/>
            <w:spacing w:lineRule="auto" w:line="276" w:before="220" w:after="120"/>
            <w:jc w:val="both"/>
            <w:rPr/>
          </w:pPr>
          <w:r>
            <w:rPr/>
            <w:t>3.8.1 SHAP Theory</w:t>
          </w:r>
        </w:p>
        <w:p>
          <w:pPr>
            <w:pStyle w:val="Normal"/>
            <w:spacing w:lineRule="auto" w:line="276" w:before="0" w:after="180"/>
            <w:jc w:val="both"/>
            <w:rPr/>
          </w:pPr>
          <w:r>
            <w:rPr/>
            <w:t>SHAP assigns to each feature, for a given prediction, a Shapley value representing that feature's average marginal contribution to the prediction, computed over all possible orderings (coalitions) of the feature set. The sum of all Shapley values plus the average model output (the base value) equals the model's prediction for that observation, a property known as local accuracy or efficiency.</w:t>
          </w:r>
        </w:p>
        <w:p>
          <w:pPr>
            <w:pStyle w:val="Heading3"/>
            <w:spacing w:lineRule="auto" w:line="276" w:before="220" w:after="120"/>
            <w:jc w:val="both"/>
            <w:rPr/>
          </w:pPr>
          <w:r>
            <w:rPr/>
            <w:t>3.8.2 Global Feature Importance</w:t>
          </w:r>
        </w:p>
        <w:p>
          <w:pPr>
            <w:pStyle w:val="Normal"/>
            <w:spacing w:lineRule="auto" w:line="276" w:before="0" w:after="180"/>
            <w:jc w:val="both"/>
            <w:rPr/>
          </w:pPr>
          <w:r>
            <w:rPr/>
            <w:t>Global SHAP importance aggregates local Shapley values across the dataset, typically by averaging their absolute magnitude, to produce a ranking of features analogous to, but theoretically better grounded than, the gain-based importance discussed in Section 3.5.1. Summary (beeswarm) plots additionally show the direction of each feature's effect (whether high or low values of the feature push the prediction toward higher or lower risk).</w:t>
          </w:r>
        </w:p>
        <w:p>
          <w:pPr>
            <w:pStyle w:val="Heading3"/>
            <w:spacing w:lineRule="auto" w:line="276" w:before="220" w:after="120"/>
            <w:jc w:val="both"/>
            <w:rPr/>
          </w:pPr>
          <w:r>
            <w:rPr/>
            <w:t>3.8.3 Local Prediction Explanations</w:t>
          </w:r>
        </w:p>
        <w:p>
          <w:pPr>
            <w:pStyle w:val="Normal"/>
            <w:spacing w:lineRule="auto" w:line="276" w:before="0" w:after="180"/>
            <w:jc w:val="both"/>
            <w:rPr/>
          </w:pPr>
          <w:r>
            <w:rPr/>
            <w:t>Local SHAP explanations decompose an individual prediction into the additive contribution of each feature, commonly visualised via a waterfall or force plot. This allows a loan officer or auditor to understand, for a specific applicant, which features increased and which decreased the predicted probability of default, and by how much.</w:t>
          </w:r>
        </w:p>
        <w:p>
          <w:pPr>
            <w:pStyle w:val="Heading3"/>
            <w:spacing w:lineRule="auto" w:line="276" w:before="220" w:after="120"/>
            <w:jc w:val="both"/>
            <w:rPr/>
          </w:pPr>
          <w:r>
            <w:rPr/>
            <w:t>3.8.4 SHAP Dependence and Waterfall Analysis</w:t>
          </w:r>
        </w:p>
        <w:p>
          <w:pPr>
            <w:pStyle w:val="Normal"/>
            <w:spacing w:lineRule="auto" w:line="276" w:before="0" w:after="180"/>
            <w:jc w:val="both"/>
            <w:rPr/>
          </w:pPr>
          <w:r>
            <w:rPr/>
            <w:t>SHAP dependence plots show how the Shapley value of a single feature varies as a function of that feature's value across the dataset, revealing non-linear relationships and interaction effects (via colour-coding by a second feature) that a simple correlation coefficient cannot capture. Waterfall plots present a single prediction's explanation as a sequence of additive steps from the base value to the final predicted probability, ordered by the magnitude of each feature's contribution.</w:t>
          </w:r>
        </w:p>
        <w:p>
          <w:pPr>
            <w:pStyle w:val="Heading2"/>
            <w:spacing w:lineRule="auto" w:line="276" w:before="300" w:after="150"/>
            <w:jc w:val="both"/>
            <w:rPr/>
          </w:pPr>
          <w:r>
            <w:rPr/>
            <w:t>3.9 Reliability Monitoring and Distribution Shift</w:t>
          </w:r>
        </w:p>
        <w:p>
          <w:pPr>
            <w:pStyle w:val="Heading3"/>
            <w:spacing w:lineRule="auto" w:line="276" w:before="220" w:after="120"/>
            <w:jc w:val="both"/>
            <w:rPr/>
          </w:pPr>
          <w:r>
            <w:rPr/>
            <w:t>3.9.1 Concept of Data Drift</w:t>
          </w:r>
        </w:p>
        <w:p>
          <w:pPr>
            <w:pStyle w:val="Normal"/>
            <w:spacing w:lineRule="auto" w:line="276" w:before="0" w:after="180"/>
            <w:jc w:val="both"/>
            <w:rPr/>
          </w:pPr>
          <w:r>
            <w:rPr/>
            <w:t>Data drift refers to a change, over time, in the statistical distribution of the input features presented to a deployed model, arising from shifts in the applicant population, macroeconomic conditions, or changes in how data are collected or recorded. Undetected drift can silently degrade model performance even when the model itself has not been altered.</w:t>
          </w:r>
        </w:p>
        <w:p>
          <w:pPr>
            <w:pStyle w:val="Heading3"/>
            <w:spacing w:lineRule="auto" w:line="276" w:before="220" w:after="120"/>
            <w:jc w:val="both"/>
            <w:rPr/>
          </w:pPr>
          <w:r>
            <w:rPr/>
            <w:t>3.9.2 Population Stability Index</w:t>
          </w:r>
        </w:p>
        <w:p>
          <w:pPr>
            <w:pStyle w:val="Normal"/>
            <w:spacing w:lineRule="auto" w:line="276" w:before="0" w:after="180"/>
            <w:jc w:val="both"/>
            <w:rPr/>
          </w:pPr>
          <w:r>
            <w:rPr/>
            <w:t>The Population Stability Index (PSI) quantifies the divergence between a reference distribution (typically the training data) and a comparison distribution (typically newly observed data) for a given feature, by binning the variable and comparing the proportion of observations in each bin. PSI values below 0.10 are conventionally interpreted as indicating a stable feature with no significant change, values between 0.10 and 0.20 (inclusive of the lower bound) as indicating a moderate change that should be monitored, values of 0.20 or above as indicating a significant change warranting investigation or retraining, and values of 0.30 or above as indicating severe drift requiring immediate action. This four-tier interpretation scale was implemented as a dedicated PSI-calculation routine and applied consistently to every feature-level, prediction-level, and reference-baseline PSI computation reported in Chapters 4 and 5.</w:t>
          </w:r>
        </w:p>
        <w:p>
          <w:pPr>
            <w:pStyle w:val="Heading3"/>
            <w:spacing w:lineRule="auto" w:line="276" w:before="220" w:after="120"/>
            <w:jc w:val="both"/>
            <w:rPr/>
          </w:pPr>
          <w:r>
            <w:rPr/>
            <w:t>3.9.3 Kolmogorov–Smirnov Statistic</w:t>
          </w:r>
        </w:p>
        <w:p>
          <w:pPr>
            <w:pStyle w:val="Normal"/>
            <w:spacing w:lineRule="auto" w:line="276" w:before="0" w:after="180"/>
            <w:jc w:val="both"/>
            <w:rPr/>
          </w:pPr>
          <w:r>
            <w:rPr/>
            <w:t>The Kolmogorov–Smirnov (KS) statistic measures the maximum absolute difference between the empirical cumulative distribution functions of two samples. A KS value of zero indicates identical distributions, while larger values indicate greater divergence. In this thesis, KS is used alongside PSI to provide a complementary, non-parametric measure of feature-level drift that does not depend on the choice of binning used for PSI.</w:t>
          </w:r>
        </w:p>
        <w:p>
          <w:pPr>
            <w:pStyle w:val="Heading3"/>
            <w:spacing w:lineRule="auto" w:line="276" w:before="220" w:after="120"/>
            <w:jc w:val="both"/>
            <w:rPr/>
          </w:pPr>
          <w:r>
            <w:rPr/>
            <w:t>3.9.4 Prediction Drift</w:t>
          </w:r>
        </w:p>
        <w:p>
          <w:pPr>
            <w:pStyle w:val="Normal"/>
            <w:spacing w:lineRule="auto" w:line="276" w:before="0" w:after="180"/>
            <w:jc w:val="both"/>
            <w:rPr/>
          </w:pPr>
          <w:r>
            <w:rPr/>
            <w:t>Prediction drift monitors whether the distribution of the model's output probabilities has shifted over time, even in the absence of substantial feature-level drift, which can indicate subtle changes in the joint relationship between features that are not captured by univariate feature monitoring alone. This thesis quantifies prediction drift using the mean predicted probability, the implied approval rate, and the PSI computed on the predicted-probability distribution itself.</w:t>
          </w:r>
        </w:p>
        <w:p>
          <w:pPr>
            <w:pStyle w:val="Heading3"/>
            <w:spacing w:lineRule="auto" w:line="276" w:before="220" w:after="120"/>
            <w:jc w:val="both"/>
            <w:rPr/>
          </w:pPr>
          <w:r>
            <w:rPr/>
            <w:t>3.9.5 Model Performance Monitoring</w:t>
          </w:r>
        </w:p>
        <w:p>
          <w:pPr>
            <w:pStyle w:val="Normal"/>
            <w:spacing w:lineRule="auto" w:line="276" w:before="0" w:after="180"/>
            <w:jc w:val="both"/>
            <w:rPr/>
          </w:pPr>
          <w:r>
            <w:rPr/>
            <w:t>Where ground-truth labels become available for newly scored applicants (for example, after a sufficient repayment period has elapsed), model performance monitoring directly tracks classification metrics, AUC, the confusion matrix, and the business cost function, over time, providing the most direct evidence of whether a deployed model continues to perform as expected.</w:t>
          </w:r>
        </w:p>
        <w:p>
          <w:pPr>
            <w:pStyle w:val="Heading2"/>
            <w:spacing w:lineRule="auto" w:line="276" w:before="300" w:after="150"/>
            <w:jc w:val="both"/>
            <w:rPr/>
          </w:pPr>
          <w:r>
            <w:rPr/>
            <w:t>3.10 Selective Prediction</w:t>
          </w:r>
        </w:p>
        <w:p>
          <w:pPr>
            <w:pStyle w:val="Heading3"/>
            <w:spacing w:lineRule="auto" w:line="276" w:before="220" w:after="120"/>
            <w:jc w:val="both"/>
            <w:rPr/>
          </w:pPr>
          <w:r>
            <w:rPr/>
            <w:t>3.10.1 Selective Classification</w:t>
          </w:r>
        </w:p>
        <w:p>
          <w:pPr>
            <w:pStyle w:val="Normal"/>
            <w:spacing w:lineRule="auto" w:line="276" w:before="0" w:after="180"/>
            <w:jc w:val="both"/>
            <w:rPr/>
          </w:pPr>
          <w:r>
            <w:rPr/>
            <w:t>Selective classification, or classification with a reject option, extends a standard classifier by allowing it to abstain from providing a decision for inputs on which it is insufficiently confident, deferring these cases to an alternative decision process, typically human review. The design of a selective classifier requires specifying both a confidence measure (in this thesis, the predicted probability of default) and a rejection region within the range of that measure.</w:t>
          </w:r>
        </w:p>
        <w:p>
          <w:pPr>
            <w:pStyle w:val="Heading3"/>
            <w:spacing w:lineRule="auto" w:line="276" w:before="220" w:after="120"/>
            <w:jc w:val="both"/>
            <w:rPr/>
          </w:pPr>
          <w:r>
            <w:rPr/>
            <w:t>3.10.2 Confidence-Based Decision Zones</w:t>
          </w:r>
        </w:p>
        <w:p>
          <w:pPr>
            <w:pStyle w:val="Normal"/>
            <w:spacing w:lineRule="auto" w:line="276" w:before="0" w:after="180"/>
            <w:jc w:val="both"/>
            <w:rPr/>
          </w:pPr>
          <w:r>
            <w:rPr/>
            <w:t xml:space="preserve">In this thesis, the predicted-probability space [0, 1] is partitioned into three zones using two thresholds, t1 and t2 (t1 &lt; t2): an automatic-approval zone for predicted probabilities below t1, a manual-review zone for predicted probabilities between t1 and t2, and an automatic-rejection zone for predicted probabilities above t2. The two thresholds are jointly </w:t>
          </w:r>
          <w:r>
            <w:rPr>
              <w:lang w:val="en-US"/>
            </w:rPr>
            <w:t>optimized</w:t>
          </w:r>
          <w:r>
            <w:rPr/>
            <w:t xml:space="preserve">, as described in Section 4.13, to </w:t>
          </w:r>
          <w:r>
            <w:rPr>
              <w:lang w:val="en-US"/>
            </w:rPr>
            <w:t>minimize</w:t>
          </w:r>
          <w:r>
            <w:rPr/>
            <w:t xml:space="preserve"> the business cost function subject to a constraint on the maximum acceptable proportion of applications referred to manual review.</w:t>
          </w:r>
        </w:p>
        <w:p>
          <w:pPr>
            <w:pStyle w:val="Heading3"/>
            <w:spacing w:lineRule="auto" w:line="276" w:before="220" w:after="120"/>
            <w:jc w:val="both"/>
            <w:rPr/>
          </w:pPr>
          <w:r>
            <w:rPr/>
            <w:t>3.10.3 Automatic Approval, Automatic Rejection and Manual Review</w:t>
          </w:r>
        </w:p>
        <w:p>
          <w:pPr>
            <w:pStyle w:val="Normal"/>
            <w:spacing w:lineRule="auto" w:line="276" w:before="0" w:after="180"/>
            <w:jc w:val="both"/>
            <w:rPr/>
          </w:pPr>
          <w:r>
            <w:rPr/>
            <w:t>Applicants falling in the automatic-approval and automatic-rejection zones are processed entirely by the model, without human intervention, while applicants in the manual-review zone are referred to a human loan officer for a final decision informed by additional information not captured in the model's feature set. This design reflects standard practice in high-stakes automated decision systems, where full automation is reserved for the cases in which the model exhibits the highest confidence, and human expertise is concentrated on the residual, genuinely ambiguous cases.</w:t>
          </w:r>
        </w:p>
        <w:p>
          <w:pPr>
            <w:pStyle w:val="Normal"/>
            <w:spacing w:lineRule="auto" w:line="276"/>
            <w:jc w:val="both"/>
            <w:rPr/>
          </w:pPr>
          <w:r>
            <w:rPr/>
          </w:r>
          <w:r>
            <w:br w:type="page"/>
          </w:r>
        </w:p>
        <w:p>
          <w:pPr>
            <w:pStyle w:val="Heading1"/>
            <w:spacing w:lineRule="auto" w:line="276" w:before="0" w:after="200"/>
            <w:jc w:val="both"/>
            <w:rPr/>
          </w:pPr>
          <w:r>
            <w:rPr/>
            <w:t>4. Methodology</w:t>
          </w:r>
        </w:p>
        <w:p>
          <w:pPr>
            <w:pStyle w:val="Heading2"/>
            <w:spacing w:lineRule="auto" w:line="276" w:before="300" w:after="150"/>
            <w:jc w:val="both"/>
            <w:rPr/>
          </w:pPr>
          <w:r>
            <w:rPr/>
            <w:t>4.1 Research Design</w:t>
          </w:r>
        </w:p>
        <w:p>
          <w:pPr>
            <w:pStyle w:val="Normal"/>
            <w:spacing w:lineRule="auto" w:line="276" w:before="0" w:after="180"/>
            <w:jc w:val="both"/>
            <w:rPr/>
          </w:pPr>
          <w:r>
            <w:rPr/>
            <w:t xml:space="preserve">This study follows a quantitative, applied machine-learning research design, structured as a sequential pipeline: data acquisition and quality assessment, exploratory data analysis, feature engineering and selection, model development and hyper-parameter tuning, cost-sensitive threshold </w:t>
          </w:r>
          <w:r>
            <w:rPr>
              <w:lang w:val="en-US"/>
            </w:rPr>
            <w:t>optimization</w:t>
          </w:r>
          <w:r>
            <w:rPr/>
            <w:t xml:space="preserve">, explainability analysis, reliability-monitoring simulation, and, finally, the design and evaluation of a selective prediction framework. Each stage produces </w:t>
          </w:r>
          <w:r>
            <w:rPr>
              <w:lang w:val="en-US"/>
            </w:rPr>
            <w:t>artifacts</w:t>
          </w:r>
          <w:r>
            <w:rPr/>
            <w:t xml:space="preserve"> (cleaned data, engineered features, a trained model, a selected threshold, explanation outputs, and monitoring baselines) that feed directly into the next stage, and each stage is evaluated using explicit, quantitative criteria rather than qualitative judgment alone. All modeling was implemented in Python, using pandas and NumPy for data manipulation, scikit-learn for preprocessing and evaluation utilities, XGBoost for model training, and SHAP for explainability analysis.</w:t>
          </w:r>
        </w:p>
        <w:p>
          <w:pPr>
            <w:pStyle w:val="Heading2"/>
            <w:spacing w:lineRule="auto" w:line="276" w:before="300" w:after="150"/>
            <w:jc w:val="both"/>
            <w:rPr/>
          </w:pPr>
          <w:r>
            <w:rPr/>
            <w:t>4.2 Dataset Description</w:t>
          </w:r>
        </w:p>
        <w:p>
          <w:pPr>
            <w:pStyle w:val="Heading3"/>
            <w:spacing w:lineRule="auto" w:line="276" w:before="220" w:after="120"/>
            <w:jc w:val="both"/>
            <w:rPr/>
          </w:pPr>
          <w:r>
            <w:rPr/>
            <w:t>4.2.1 Dataset Structure</w:t>
          </w:r>
        </w:p>
        <w:p>
          <w:pPr>
            <w:pStyle w:val="Normal"/>
            <w:spacing w:lineRule="auto" w:line="276" w:before="0" w:after="180"/>
            <w:jc w:val="both"/>
            <w:rPr/>
          </w:pPr>
          <w:r>
            <w:rPr/>
            <w:t>The dataset used in this study comprises 50,000 loan application records, each described by 20 columns spanning customer demographics, financial situation, credit history, loan characteristics, and three engineered financial ratios, together with the binary target variable loan_status. Table 4.1 (reproduced from the project documentation) summarises the complete feature set.</w:t>
          </w:r>
        </w:p>
        <w:p>
          <w:pPr>
            <w:pStyle w:val="Normal"/>
            <w:spacing w:lineRule="auto" w:line="276" w:before="0" w:after="0"/>
            <w:jc w:val="both"/>
            <w:rPr/>
          </w:pPr>
          <w:r>
            <w:rPr/>
          </w:r>
        </w:p>
      </w:sdtContent>
    </w:sdt>
    <w:tbl>
      <w:tblPr>
        <w:tblW w:w="8640" w:type="dxa"/>
        <w:jc w:val="left"/>
        <w:tblInd w:w="113" w:type="dxa"/>
        <w:tblLayout w:type="fixed"/>
        <w:tblCellMar>
          <w:top w:w="0" w:type="dxa"/>
          <w:left w:w="108" w:type="dxa"/>
          <w:bottom w:w="0" w:type="dxa"/>
          <w:right w:w="108" w:type="dxa"/>
        </w:tblCellMar>
      </w:tblPr>
      <w:tblGrid>
        <w:gridCol w:w="2198"/>
        <w:gridCol w:w="1402"/>
        <w:gridCol w:w="5040"/>
      </w:tblGrid>
      <w:tr>
        <w:trPr/>
        <w:tc>
          <w:tcPr>
            <w:tcW w:w="2198"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Category</w:t>
            </w:r>
          </w:p>
        </w:tc>
        <w:tc>
          <w:tcPr>
            <w:tcW w:w="14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No. of Features</w:t>
            </w:r>
          </w:p>
        </w:tc>
        <w:tc>
          <w:tcPr>
            <w:tcW w:w="50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Representative Features</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Customer information</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customer_id, age, occupation_status, years_employed</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 situation</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annual_income, savings_assets, current_debt</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 history &amp; risk</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credit_score, credit_history_years, defaults_on_file, delinquencies_last_2yrs, derogatory_marks</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 information</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product_type, loan_intent, loan_amount, interest_rate</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 ratios</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debt_to_income_ratio, loan_to_income_ratio, payment_to_income_ratio</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Target variable</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loan_status</w:t>
            </w:r>
          </w:p>
        </w:tc>
      </w:tr>
    </w:tbl>
    <w:p>
      <w:pPr>
        <w:pStyle w:val="Normal"/>
        <w:spacing w:before="120" w:after="160"/>
        <w:jc w:val="center"/>
        <w:rPr/>
      </w:pPr>
      <w:r>
        <w:rPr>
          <w:i/>
          <w:sz w:val="20"/>
        </w:rPr>
        <w:t>Table 4.1 — Summary of dataset features by category</w:t>
      </w:r>
    </w:p>
    <w:p>
      <w:pPr>
        <w:pStyle w:val="Heading3"/>
        <w:spacing w:lineRule="auto" w:line="276" w:before="220" w:after="120"/>
        <w:jc w:val="both"/>
        <w:rPr/>
      </w:pPr>
      <w:r>
        <w:rPr/>
        <w:t>4.2.2 Predictor Variables</w:t>
      </w:r>
    </w:p>
    <w:p>
      <w:pPr>
        <w:pStyle w:val="Normal"/>
        <w:spacing w:lineRule="auto" w:line="276" w:before="0" w:after="180"/>
        <w:jc w:val="both"/>
        <w:rPr/>
      </w:pPr>
      <w:r>
        <w:rPr/>
        <w:t>The predictor variables are organised into five conceptual groups. Customer information comprises customer_id, age, occupation_status, and years_employed. Financial situation comprises annual_income, savings_assets, and current_debt. Credit history and risk comprise credit_score, credit_history_years, defaults_on_file, delinquencies_last_2yrs, and derogatory_marks. Loan information comprises product_type, loan_intent, loan_amount, and interest_rate. Finally, the financial-ratio group comprises debt_to_income_ratio, loan_to_income_ratio, and payment_to_income_ratio, each of which is a derived, rather than directly observed, quantity computed from the underlying financial variables.</w:t>
      </w:r>
    </w:p>
    <w:p>
      <w:pPr>
        <w:pStyle w:val="Heading3"/>
        <w:spacing w:lineRule="auto" w:line="276" w:before="220" w:after="120"/>
        <w:jc w:val="both"/>
        <w:rPr/>
      </w:pPr>
      <w:r>
        <w:rPr/>
        <w:t>4.2.3 Target Variable</w:t>
      </w:r>
    </w:p>
    <w:p>
      <w:pPr>
        <w:pStyle w:val="Normal"/>
        <w:spacing w:lineRule="auto" w:line="276" w:before="0" w:after="180"/>
        <w:jc w:val="both"/>
        <w:rPr/>
      </w:pPr>
      <w:r>
        <w:rPr/>
        <w:t>The target variable, loan_status, is binary, coded 1 for the higher-risk outcome (default, or, depending on the dataset's labeling convention, loan rejection on risk grounds) and 0 for the safe outcome. As reported in Section 4.4.4, the observed class distribution is moderately imbalanced, with 27,522 records (55.05%) in the majority class and 22,477 records (44.95%) in the minority class, corresponding to an imbalance ratio of 1.22.</w:t>
      </w:r>
    </w:p>
    <w:p>
      <w:pPr>
        <w:pStyle w:val="Heading3"/>
        <w:spacing w:lineRule="auto" w:line="276" w:before="220" w:after="120"/>
        <w:jc w:val="both"/>
        <w:rPr/>
      </w:pPr>
      <w:r>
        <w:rPr/>
        <w:t>4.2.4 Data Quality Characteristics</w:t>
      </w:r>
    </w:p>
    <w:p>
      <w:pPr>
        <w:pStyle w:val="Normal"/>
        <w:spacing w:lineRule="auto" w:line="276" w:before="0" w:after="180"/>
        <w:jc w:val="both"/>
        <w:rPr/>
      </w:pPr>
      <w:r>
        <w:rPr/>
        <w:t xml:space="preserve">Prior to cleaning, the raw dataset exhibited two notable data-quality characteristics: a very large number of records (48,901 of 50,000) initially appeared to violate a plausible-range validation rule applied to the three financial ratio variables, and one record was identified for removal during the cleaning process, leaving a final, cleaned dataset of 49,999 records. As detailed in Section 4.3, the first of these characteristics was ultimately determined to be an </w:t>
      </w:r>
      <w:r>
        <w:rPr>
          <w:lang w:val="en-US"/>
        </w:rPr>
        <w:t>artifact</w:t>
      </w:r>
      <w:r>
        <w:rPr/>
        <w:t xml:space="preserve"> of inconsistent ratio scaling rather than genuine data corruption.</w:t>
      </w:r>
    </w:p>
    <w:p>
      <w:pPr>
        <w:pStyle w:val="Heading2"/>
        <w:spacing w:lineRule="auto" w:line="276" w:before="300" w:after="150"/>
        <w:jc w:val="both"/>
        <w:rPr/>
      </w:pPr>
      <w:r>
        <w:rPr/>
        <w:t>4.3 Data Quality Assessment and Cleaning</w:t>
      </w:r>
    </w:p>
    <w:p>
      <w:pPr>
        <w:pStyle w:val="Heading3"/>
        <w:spacing w:lineRule="auto" w:line="276" w:before="220" w:after="120"/>
        <w:jc w:val="both"/>
        <w:rPr/>
      </w:pPr>
      <w:r>
        <w:rPr/>
        <w:t>4.3.1 Detection of Corrupted Records</w:t>
      </w:r>
    </w:p>
    <w:p>
      <w:pPr>
        <w:pStyle w:val="Normal"/>
        <w:spacing w:lineRule="auto" w:line="276" w:before="0" w:after="180"/>
        <w:jc w:val="both"/>
        <w:rPr/>
      </w:pPr>
      <w:r>
        <w:rPr/>
        <w:t xml:space="preserve">The data-cleaning pipeline began with a systematic search for corrupted or malformed records, including rows containing text </w:t>
      </w:r>
      <w:r>
        <w:rPr>
          <w:lang w:val="en-US"/>
        </w:rPr>
        <w:t>artifacts</w:t>
      </w:r>
      <w:r>
        <w:rPr/>
        <w:t xml:space="preserve"> (such as residual version-control merge markers), malformed numeric strings, and values that fell outside plausible business-defined ranges (for example, a credit score below 300 or above 850, or a negative age). Each validation rule was applied independently and the results were combined into a single boolean flag per row, allowing the total number and pattern of corrupted rows to be quantified before any records were removed.</w:t>
      </w:r>
    </w:p>
    <w:p>
      <w:pPr>
        <w:pStyle w:val="Heading3"/>
        <w:spacing w:lineRule="auto" w:line="276" w:before="220" w:after="120"/>
        <w:jc w:val="both"/>
        <w:rPr/>
      </w:pPr>
      <w:r>
        <w:rPr/>
        <w:t>4.3.2 Range and Validity Checks</w:t>
      </w:r>
    </w:p>
    <w:p>
      <w:pPr>
        <w:pStyle w:val="Normal"/>
        <w:spacing w:lineRule="auto" w:line="276" w:before="0" w:after="180"/>
        <w:jc w:val="both"/>
        <w:rPr/>
      </w:pPr>
      <w:r>
        <w:rPr/>
        <w:t>Numerical range checks were applied to age, credit_score, interest_rate, and the three financial-ratio variables, while non-negativity checks were applied to all monetary variables (annual_income, savings_assets, current_debt, and loan_amount). Applying the rule 0 &lt;= ratio &lt;= 100 to the three financial-ratio variables initially flagged 48,901 of the 50,000 records as invalid. Investigation revealed that this was not evidence of widespread corruption but rather the consequence of the stored ratio values having been recorded on an inconsistent scale (for example, as a raw multiple rather than a percentage). The ratios were therefore recalculated directly from the original financial variables (current_debt, loan_amount, annual_income, and the implied monthly payment), rather than relying on the originally stored values, after which the false-positive validation errors were eliminated entirely.</w:t>
      </w:r>
    </w:p>
    <w:p>
      <w:pPr>
        <w:pStyle w:val="Heading3"/>
        <w:spacing w:lineRule="auto" w:line="276" w:before="220" w:after="120"/>
        <w:jc w:val="both"/>
        <w:rPr/>
      </w:pPr>
      <w:r>
        <w:rPr/>
        <w:t>4.3.3 Logical Consistency Checks</w:t>
      </w:r>
    </w:p>
    <w:p>
      <w:pPr>
        <w:pStyle w:val="Normal"/>
        <w:spacing w:lineRule="auto" w:line="276" w:before="0" w:after="180"/>
        <w:jc w:val="both"/>
        <w:rPr/>
      </w:pPr>
      <w:r>
        <w:rPr/>
        <w:t>Logical consistency checks examined relationships between related variables that should not contradict one another under any plausible real-world scenario, for example, that years_employed should not exceed a value implausible given the applicant's age, and that credit_history_years should not exceed an applicant's total years since reaching legal age. No systematic violations of these logical constraints were identified in the cleaned dataset.</w:t>
      </w:r>
    </w:p>
    <w:p>
      <w:pPr>
        <w:pStyle w:val="Heading3"/>
        <w:spacing w:lineRule="auto" w:line="276" w:before="220" w:after="120"/>
        <w:jc w:val="both"/>
        <w:rPr/>
      </w:pPr>
      <w:r>
        <w:rPr/>
        <w:t>4.3.4 Missing-Value Treatment</w:t>
      </w:r>
    </w:p>
    <w:p>
      <w:pPr>
        <w:pStyle w:val="Normal"/>
        <w:spacing w:lineRule="auto" w:line="276" w:before="0" w:after="180"/>
        <w:jc w:val="both"/>
        <w:rPr/>
      </w:pPr>
      <w:r>
        <w:rPr/>
        <w:t>A row-level and column-level missing-value analysis, using isna().sum(), confirmed that every row and every column in the dataset contained zero missing values, both before and after the correction of the ratio-scaling issue described in Section 4.3.2. A precautionary dropna() call was applied as a defensive step but, consistent with this finding, removed no records, confirming that the dataset was already complete.</w:t>
      </w:r>
    </w:p>
    <w:p>
      <w:pPr>
        <w:pStyle w:val="Heading3"/>
        <w:spacing w:lineRule="auto" w:line="276" w:before="220" w:after="120"/>
        <w:jc w:val="both"/>
        <w:rPr/>
      </w:pPr>
      <w:r>
        <w:rPr/>
        <w:t>4.3.5 Duplicate Removal</w:t>
      </w:r>
    </w:p>
    <w:p>
      <w:pPr>
        <w:pStyle w:val="Normal"/>
        <w:spacing w:lineRule="auto" w:line="276" w:before="0" w:after="180"/>
        <w:jc w:val="both"/>
        <w:rPr/>
      </w:pPr>
      <w:r>
        <w:rPr/>
        <w:t>Duplicate-row detection, using duplicated().sum(), identified zero exact duplicate records among the 49,999 observations remaining after the ratio correction, confirming that each customer record was unique and that no loan application appeared more than once in the dataset. Combined with the missing-value findings of Section 4.3.4, this confirmed that the cleaned dataset of 49,999 complete, unique records required no further row-level remediation before proceeding to exploratory analysis.</w:t>
      </w:r>
    </w:p>
    <w:p>
      <w:pPr>
        <w:pStyle w:val="Normal"/>
        <w:spacing w:lineRule="auto" w:line="276" w:before="0" w:after="0"/>
        <w:jc w:val="both"/>
        <w:rPr/>
      </w:pPr>
      <w:r>
        <w:rPr/>
      </w:r>
    </w:p>
    <w:tbl>
      <w:tblPr>
        <w:tblW w:w="8640" w:type="dxa"/>
        <w:jc w:val="left"/>
        <w:tblInd w:w="113" w:type="dxa"/>
        <w:tblLayout w:type="fixed"/>
        <w:tblCellMar>
          <w:top w:w="0" w:type="dxa"/>
          <w:left w:w="108" w:type="dxa"/>
          <w:bottom w:w="0" w:type="dxa"/>
          <w:right w:w="108" w:type="dxa"/>
        </w:tblCellMar>
      </w:tblPr>
      <w:tblGrid>
        <w:gridCol w:w="2100"/>
        <w:gridCol w:w="2899"/>
        <w:gridCol w:w="1639"/>
        <w:gridCol w:w="2002"/>
      </w:tblGrid>
      <w:tr>
        <w:trPr/>
        <w:tc>
          <w:tcPr>
            <w:tcW w:w="21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Validation Check</w:t>
            </w:r>
          </w:p>
        </w:tc>
        <w:tc>
          <w:tcPr>
            <w:tcW w:w="2899"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Rule Applied</w:t>
            </w:r>
          </w:p>
        </w:tc>
        <w:tc>
          <w:tcPr>
            <w:tcW w:w="1639"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Records Flagged (of 50,000)</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Outcome</w:t>
            </w:r>
          </w:p>
        </w:tc>
      </w:tr>
      <w:tr>
        <w:trPr/>
        <w:tc>
          <w:tcPr>
            <w:tcW w:w="21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Financial-ratio range check (initial)</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0 ≤ ratio ≤ 100 applied to stored ratio values</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48,901 (97.8%)</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False positives; resolved by recalculating ratios from underlying financial variables</w:t>
            </w:r>
          </w:p>
        </w:tc>
      </w:tr>
      <w:tr>
        <w:trPr/>
        <w:tc>
          <w:tcPr>
            <w:tcW w:w="21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Financial-ratio range check (corrected)</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Ratios recalculated from current_debt, loan_amount, annual_income and implied payment</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Passed</w:t>
            </w:r>
          </w:p>
        </w:tc>
      </w:tr>
      <w:tr>
        <w:trPr/>
        <w:tc>
          <w:tcPr>
            <w:tcW w:w="21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Missing-value check</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isna().sum() across all 20 columns</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Passed — no missing values found</w:t>
            </w:r>
          </w:p>
        </w:tc>
      </w:tr>
      <w:tr>
        <w:trPr/>
        <w:tc>
          <w:tcPr>
            <w:tcW w:w="21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Duplicate-row check</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duplicated().sum()</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Passed — no exact duplicates found</w:t>
            </w:r>
          </w:p>
        </w:tc>
      </w:tr>
      <w:tr>
        <w:trPr/>
        <w:tc>
          <w:tcPr>
            <w:tcW w:w="21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Range/validity checks (age, credit_score, interest_rate)</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Business-defined plausible ranges</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 (after ratio correction)</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Passed</w:t>
            </w:r>
          </w:p>
        </w:tc>
      </w:tr>
      <w:tr>
        <w:trPr/>
        <w:tc>
          <w:tcPr>
            <w:tcW w:w="21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Overall record disposition</w:t>
            </w:r>
          </w:p>
        </w:tc>
        <w:tc>
          <w:tcPr>
            <w:tcW w:w="28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w:t>
            </w:r>
          </w:p>
        </w:tc>
        <w:tc>
          <w:tcPr>
            <w:tcW w:w="163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 record removed</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Final cleaned dataset: 49,999 records</w:t>
            </w:r>
          </w:p>
        </w:tc>
      </w:tr>
    </w:tbl>
    <w:p>
      <w:pPr>
        <w:pStyle w:val="Normal"/>
        <w:spacing w:before="120" w:after="160"/>
        <w:jc w:val="center"/>
        <w:rPr/>
      </w:pPr>
      <w:r>
        <w:rPr>
          <w:i/>
          <w:sz w:val="20"/>
        </w:rPr>
        <w:t>Table 4.2 — Data-cleaning validation rules and outcomes</w:t>
      </w:r>
    </w:p>
    <w:p>
      <w:pPr>
        <w:pStyle w:val="Heading2"/>
        <w:spacing w:lineRule="auto" w:line="276" w:before="300" w:after="150"/>
        <w:jc w:val="both"/>
        <w:rPr/>
      </w:pPr>
      <w:r>
        <w:rPr/>
        <w:t>4.4 Exploratory Data Analysis</w:t>
      </w:r>
    </w:p>
    <w:p>
      <w:pPr>
        <w:pStyle w:val="Heading3"/>
        <w:spacing w:lineRule="auto" w:line="276" w:before="220" w:after="120"/>
        <w:jc w:val="both"/>
        <w:rPr/>
      </w:pPr>
      <w:r>
        <w:rPr/>
        <w:t>4.4.1 Numerical Feature Analysis</w:t>
      </w:r>
    </w:p>
    <w:p>
      <w:pPr>
        <w:pStyle w:val="Normal"/>
        <w:spacing w:lineRule="auto" w:line="276" w:before="0" w:after="180"/>
        <w:jc w:val="both"/>
        <w:rPr/>
      </w:pPr>
      <w:r>
        <w:rPr/>
        <w:t>Descriptive statistics (count, mean, standard deviation, minimum, quartiles, and maximum) were computed for all numerical features using describe(). The results confirmed that financial variables such as annual_income, current_debt, and loan_amount exhibited substantially wider ranges and greater variability than demographic variables such as age, consistent with the naturally heterogeneous financial circumstances of loan applicants. For example, the recalculated payment_to_income_ratio exhibited a first quartile of 76, a median of 184, a third quartile of 318, and a maximum of 667 (on the recalculated scale), illustrating the substantial spread of this variable across the applicant population.</w:t>
      </w:r>
    </w:p>
    <w:p>
      <w:pPr>
        <w:pStyle w:val="Heading3"/>
        <w:spacing w:lineRule="auto" w:line="276" w:before="220" w:after="120"/>
        <w:jc w:val="both"/>
        <w:rPr/>
      </w:pPr>
      <w:r>
        <w:rPr/>
        <w:t>4.4.2 Categorical Feature Analysis</w:t>
      </w:r>
    </w:p>
    <w:p>
      <w:pPr>
        <w:pStyle w:val="Normal"/>
        <w:spacing w:lineRule="auto" w:line="276" w:before="0" w:after="180"/>
        <w:jc w:val="both"/>
        <w:rPr/>
      </w:pPr>
      <w:r>
        <w:rPr/>
        <w:t>Frequency counts of the three categorical variables confirmed that each contained a small number of consistently formatted categories, with no duplicate categories arising from inconsistent capitalisation or spelling. occupation_status comprised Employed (34,970 records), Self-Employed (10,179 records), and Student (4,850 records). product_type comprised Credit Card (22,454 records), Personal Loan (17,523 records), and Line of Credit (10,022 records). loan_intent comprised several purposes, the most frequent being Personal (12,429 records), Education (10,134 records), Business (7,468 records), Home Improvement (7,453 records), and Debt Consolidation (4,917 records), among others.</w:t>
      </w:r>
    </w:p>
    <w:p>
      <w:pPr>
        <w:pStyle w:val="Heading3"/>
        <w:spacing w:lineRule="auto" w:line="276" w:before="220" w:after="120"/>
        <w:jc w:val="both"/>
        <w:rPr/>
      </w:pPr>
      <w:r>
        <w:rPr/>
        <w:t>4.4.3 Correlation Analysis</w:t>
      </w:r>
    </w:p>
    <w:p>
      <w:pPr>
        <w:pStyle w:val="Normal"/>
        <w:spacing w:lineRule="auto" w:line="276" w:before="0" w:after="180"/>
        <w:jc w:val="both"/>
        <w:rPr/>
      </w:pPr>
      <w:r>
        <w:rPr/>
        <w:t xml:space="preserve">Spearman rank correlation was computed among all original numerical features and the target variable, chosen for its robustness to the skewness and mild outliers present in the raw financial variables. The resulting correlation matrix was </w:t>
      </w:r>
      <w:r>
        <w:rPr>
          <w:lang w:val="en-US"/>
        </w:rPr>
        <w:t>visualized</w:t>
      </w:r>
      <w:r>
        <w:rPr/>
        <w:t xml:space="preserve"> as a heatmap, with dark red cells indicating strong positive association, dark blue cells indicating strong negative association, and pale cells indicating weak or negligible monotonic association. This analysis identified the variables most strongly associated with loan_status and highlighted pairs of predictor variables exhibiting potential multicollinearity, informing the subsequent feature-selection stage.</w:t>
      </w:r>
    </w:p>
    <w:p>
      <w:pPr>
        <w:pStyle w:val="Normal"/>
        <w:spacing w:before="0" w:after="180"/>
        <w:jc w:val="center"/>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933315" cy="4296410"/>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14"/>
                    <a:stretch>
                      <a:fillRect/>
                    </a:stretch>
                  </pic:blipFill>
                  <pic:spPr bwMode="auto">
                    <a:xfrm>
                      <a:off x="0" y="0"/>
                      <a:ext cx="4933315" cy="4296410"/>
                    </a:xfrm>
                    <a:prstGeom prst="rect">
                      <a:avLst/>
                    </a:prstGeom>
                    <a:noFill/>
                  </pic:spPr>
                </pic:pic>
              </a:graphicData>
            </a:graphic>
          </wp:anchor>
        </w:drawing>
      </w:r>
    </w:p>
    <w:p>
      <w:pPr>
        <w:pStyle w:val="Normal"/>
        <w:spacing w:before="0" w:after="180"/>
        <w:jc w:val="center"/>
        <w:rPr/>
      </w:pPr>
      <w:r>
        <w:rPr>
          <w:i/>
          <w:sz w:val="20"/>
        </w:rPr>
        <w:t>Figure 4.1 — Spearman correlation heatmap of numerical features</w:t>
      </w:r>
    </w:p>
    <w:p>
      <w:pPr>
        <w:pStyle w:val="Heading3"/>
        <w:spacing w:lineRule="auto" w:line="276" w:before="220" w:after="120"/>
        <w:jc w:val="both"/>
        <w:rPr/>
      </w:pPr>
      <w:r>
        <w:rPr/>
        <w:t>4.4.4 Class Distribution Analysis</w:t>
      </w:r>
    </w:p>
    <w:p>
      <w:pPr>
        <w:pStyle w:val="Normal"/>
        <w:spacing w:lineRule="auto" w:line="276" w:before="0" w:after="180"/>
        <w:jc w:val="both"/>
        <w:rPr/>
      </w:pPr>
      <w:r>
        <w:rPr/>
        <w:t>The frequency of each class of loan_status was computed, yielding 27,522 approved records (55.05%) and 22,477 rejected records (44.95%), an imbalance ratio of 1.22, which was characterised as slightly imbalanced rather than severely imbalanced. Given the still-substantial size of the minority class, class weighting rather than resampling (oversampling or undersampling) was selected as the appropriate imbalance-handling strategy, since it preserves all original observations, avoids the generation of synthetic data, and is natively supported by XGBoost.</w:t>
      </w:r>
    </w:p>
    <w:p>
      <w:pPr>
        <w:pStyle w:val="Heading3"/>
        <w:spacing w:lineRule="auto" w:line="276" w:before="220" w:after="120"/>
        <w:jc w:val="both"/>
        <w:rPr/>
      </w:pPr>
      <w:r>
        <w:rPr/>
        <w:t>4.4.5 Outlier Analysis</w:t>
      </w:r>
    </w:p>
    <w:p>
      <w:pPr>
        <w:pStyle w:val="Normal"/>
        <w:spacing w:lineRule="auto" w:line="276" w:before="0" w:after="180"/>
        <w:jc w:val="both"/>
        <w:rPr/>
      </w:pPr>
      <w:r>
        <w:rPr/>
        <w:t>Outlier prevalence was assessed using the interquartile-range method at two thresholds: 1.5 x IQR (mild outliers) and 3.0 x IQR (extreme outliers). Mild outliers were identified in age, years_employed, annual_income, savings_assets, current_debt, and loan_amount, while extreme outliers (3.0 x IQR) were concentrated almost exclusively in annual_income, with 515 affected records; most other numerical variables exhibited few or no extreme outliers. After the ratio-scaling correction described in Section 4.3.2, the recalculated financial-ratio variables displayed consistent distributions with no extreme outliers, confirming that the original scaling artefact, rather than genuine data variability, had been the source of the earlier anomalies. Outliers were deliberately retained in the final dataset, as they were judged to represent realistic financial variability (for example, genuinely high-income applicants or large loan requests) rather than data-entry errors, and because the tree-based models used in this thesis, including XGBoost, Random Forest, and LightGBM, are relatively robust to the presence of outliers in the input features.</w:t>
      </w:r>
    </w:p>
    <w:p>
      <w:pPr>
        <w:pStyle w:val="Heading2"/>
        <w:spacing w:lineRule="auto" w:line="276" w:before="300" w:after="150"/>
        <w:jc w:val="both"/>
        <w:rPr/>
      </w:pPr>
      <w:r>
        <w:rPr/>
        <w:t>4.5 Feature Engineering</w:t>
      </w:r>
    </w:p>
    <w:p>
      <w:pPr>
        <w:pStyle w:val="Heading3"/>
        <w:spacing w:lineRule="auto" w:line="276" w:before="220" w:after="120"/>
        <w:jc w:val="both"/>
        <w:rPr/>
      </w:pPr>
      <w:r>
        <w:rPr/>
        <w:t>4.5.1 Logarithmic Transformation</w:t>
      </w:r>
    </w:p>
    <w:p>
      <w:pPr>
        <w:pStyle w:val="Normal"/>
        <w:spacing w:lineRule="auto" w:line="276" w:before="0" w:after="180"/>
        <w:jc w:val="both"/>
        <w:rPr/>
      </w:pPr>
      <w:r>
        <w:rPr/>
        <w:t>To reduce right-skewness in monetary variables, a log1p transformation was applied to years_employed, current_debt, annual_income, and savings_assets, producing the derived features years_employed_log, current_debt_log, annual_income_log, and savings_assets_log. The log1p function was selected in preference to a simple natural logarithm because it is well defined for zero values, which occur in variables such as current_debt and savings_assets for some applicants.</w:t>
      </w:r>
    </w:p>
    <w:p>
      <w:pPr>
        <w:pStyle w:val="Heading3"/>
        <w:spacing w:lineRule="auto" w:line="276" w:before="220" w:after="120"/>
        <w:jc w:val="both"/>
        <w:rPr/>
      </w:pPr>
      <w:r>
        <w:rPr/>
        <w:t>4.5.2 Standardization of Continuous Variables</w:t>
      </w:r>
    </w:p>
    <w:p>
      <w:pPr>
        <w:pStyle w:val="Normal"/>
        <w:spacing w:lineRule="auto" w:line="276" w:before="0" w:after="180"/>
        <w:jc w:val="both"/>
        <w:rPr/>
      </w:pPr>
      <w:r>
        <w:rPr/>
        <w:t>StandardScaler was applied to loan_amount, credit_history_years, debt_to_income_ratio, loan_to_income_ratio, age, payment_to_income_ratio, credit_score, and interest_rate, producing the corresponding _scaled features, each with zero mean and unit variance on the training data. Standardisation was fitted exclusively on the training partition and then applied to the validation and test partitions to avoid data leakage, consistent with the methodology described in Section 4.7.4.</w:t>
      </w:r>
    </w:p>
    <w:p>
      <w:pPr>
        <w:pStyle w:val="Heading3"/>
        <w:spacing w:lineRule="auto" w:line="276" w:before="220" w:after="120"/>
        <w:jc w:val="both"/>
        <w:rPr/>
      </w:pPr>
      <w:r>
        <w:rPr/>
        <w:t>4.5.3 Binary Feature Transformation</w:t>
      </w:r>
    </w:p>
    <w:p>
      <w:pPr>
        <w:pStyle w:val="Normal"/>
        <w:spacing w:lineRule="auto" w:line="276" w:before="0" w:after="180"/>
        <w:jc w:val="both"/>
        <w:rPr/>
      </w:pPr>
      <w:r>
        <w:rPr/>
        <w:t>Because delinquencies_last_2yrs and derogatory_marks are count variables for which the qualitative distinction between 'none' and 'one or more' is often more informative than the exact count, binary indicator versions of these two features, delinquencies_last_2yrs_binary and derogatory_marks_binary, were created (0 = no derogatory marks or delinquencies, 1 = one or more), and both the original counts and the binary indicators were retained in the transformed dataset for the feature-selection stage to evaluate independently.</w:t>
      </w:r>
    </w:p>
    <w:p>
      <w:pPr>
        <w:pStyle w:val="Heading3"/>
        <w:spacing w:lineRule="auto" w:line="276" w:before="220" w:after="120"/>
        <w:jc w:val="both"/>
        <w:rPr/>
      </w:pPr>
      <w:r>
        <w:rPr/>
        <w:t>4.5.4 Categorical Feature Encoding</w:t>
      </w:r>
    </w:p>
    <w:p>
      <w:pPr>
        <w:pStyle w:val="Normal"/>
        <w:spacing w:lineRule="auto" w:line="276" w:before="0" w:after="180"/>
        <w:jc w:val="both"/>
        <w:rPr/>
      </w:pPr>
      <w:r>
        <w:rPr/>
        <w:t>The three categorical variables (occupation_status, product_type, and loan_intent) were one-hot encoded, producing a binary indicator column for each category (with one category per variable typically dropped as a reference level to avoid perfect multicollinearity in linear-model diagnostics, though this is not strictly required for the tree-based XGBoost model used for final training).</w:t>
      </w:r>
    </w:p>
    <w:p>
      <w:pPr>
        <w:pStyle w:val="Heading3"/>
        <w:spacing w:lineRule="auto" w:line="276" w:before="220" w:after="120"/>
        <w:jc w:val="both"/>
        <w:rPr/>
      </w:pPr>
      <w:r>
        <w:rPr/>
        <w:t>4.5.5 Construction of the Final Feature Set</w:t>
      </w:r>
    </w:p>
    <w:p>
      <w:pPr>
        <w:pStyle w:val="Normal"/>
        <w:spacing w:lineRule="auto" w:line="276" w:before="0" w:after="180"/>
        <w:jc w:val="both"/>
        <w:rPr/>
      </w:pPr>
      <w:r>
        <w:rPr/>
        <w:t xml:space="preserve">Because the loan_amount variable retained a clearly multimodal distribution even after logarithmic and standardisation transformation, reflecting the presence of several common borrowing ranges (for example, smaller personal or education loans versus larger home-improvement or business loans), it was additionally discretised into three categorical loan-amount groups (small, medium, large), providing the model with an explicit, more directly learnable representation of this segment structure. The final engineered dataset, df_transform, combined the original variables, the four log-transformed variables, the eight </w:t>
      </w:r>
      <w:r>
        <w:rPr>
          <w:lang w:val="en-US"/>
        </w:rPr>
        <w:t>standardized</w:t>
      </w:r>
      <w:r>
        <w:rPr/>
        <w:t xml:space="preserve"> variables, the two binary-encoded count variables, the one-hot encoded categorical variables, and the categorical loan-amount grouping, from which the final predictive feature set was selected as described in Section 4.6.</w:t>
      </w:r>
    </w:p>
    <w:p>
      <w:pPr>
        <w:pStyle w:val="Heading2"/>
        <w:spacing w:lineRule="auto" w:line="276" w:before="300" w:after="150"/>
        <w:jc w:val="both"/>
        <w:rPr/>
      </w:pPr>
      <w:r>
        <w:rPr/>
        <w:t>4.6 Feature Selection</w:t>
      </w:r>
    </w:p>
    <w:p>
      <w:pPr>
        <w:pStyle w:val="Heading3"/>
        <w:spacing w:lineRule="auto" w:line="276" w:before="220" w:after="120"/>
        <w:jc w:val="both"/>
        <w:rPr/>
      </w:pPr>
      <w:r>
        <w:rPr/>
        <w:t>4.6.1 XGBoost-Based Feature Importance</w:t>
      </w:r>
    </w:p>
    <w:p>
      <w:pPr>
        <w:pStyle w:val="Normal"/>
        <w:spacing w:lineRule="auto" w:line="276" w:before="0" w:after="180"/>
        <w:jc w:val="both"/>
        <w:rPr/>
      </w:pPr>
      <w:r>
        <w:rPr/>
        <w:t>An initial XGBoost classifier was trained on the full engineered feature set, and gain-based feature importance scores were extracted and ranked, providing a first, model-native indication of each feature's contribution to predictive performance.</w:t>
      </w:r>
    </w:p>
    <w:p>
      <w:pPr>
        <w:pStyle w:val="Heading3"/>
        <w:spacing w:lineRule="auto" w:line="276" w:before="220" w:after="120"/>
        <w:jc w:val="both"/>
        <w:rPr/>
      </w:pPr>
      <w:r>
        <w:rPr/>
        <w:t>4.6.2 Permutation Importance</w:t>
      </w:r>
    </w:p>
    <w:p>
      <w:pPr>
        <w:pStyle w:val="Normal"/>
        <w:spacing w:lineRule="auto" w:line="276" w:before="0" w:after="180"/>
        <w:jc w:val="both"/>
        <w:rPr/>
      </w:pPr>
      <w:r>
        <w:rPr/>
        <w:t>Permutation importance was computed on the held-out validation set using the trained XGBoost model, by repeatedly shuffling each feature and measuring the resulting degradation in AUC, providing a model-agnostic cross-check of the gain-based importance ranking obtained in Section 4.6.1.</w:t>
      </w:r>
    </w:p>
    <w:p>
      <w:pPr>
        <w:pStyle w:val="Heading3"/>
        <w:spacing w:lineRule="auto" w:line="276" w:before="220" w:after="120"/>
        <w:jc w:val="both"/>
        <w:rPr/>
      </w:pPr>
      <w:r>
        <w:rPr/>
        <w:t>4.6.3 SHAP-Based Feature Analysis</w:t>
      </w:r>
    </w:p>
    <w:p>
      <w:pPr>
        <w:pStyle w:val="Normal"/>
        <w:spacing w:lineRule="auto" w:line="276" w:before="0" w:after="180"/>
        <w:jc w:val="both"/>
        <w:rPr/>
      </w:pPr>
      <w:r>
        <w:rPr/>
        <w:t>SHAP TreeExplainer values were computed for the trained XGBoost model, and global SHAP importance (the mean absolute Shapley value per feature) was used as the third and most theoretically grounded feature-importance criterion. The SHAP analysis confirmed that credit_score, debt_to_income_ratio, credit_history_years, and loan_to_income_ratio were consistently among the most influential predictors identified across all three importance techniques, and further indicated that the top ten features by SHAP importance collectively explained approximately 84.6% of the model's decisions. Features such as savings_assets_log, current_debt_log, and payment_to_income_ratio_scaled exhibited comparatively low SHAP importance, suggesting that they contribute limited additional information once the stronger financial variables (particularly those capturing creditworthiness and overall financial capacity) are accounted for.</w:t>
      </w:r>
    </w:p>
    <w:p>
      <w:pPr>
        <w:pStyle w:val="Heading3"/>
        <w:spacing w:lineRule="auto" w:line="276" w:before="220" w:after="120"/>
        <w:jc w:val="both"/>
        <w:rPr/>
      </w:pPr>
      <w:r>
        <w:rPr/>
        <w:t>4.6.4 Final Feature Selection</w:t>
      </w:r>
    </w:p>
    <w:p>
      <w:pPr>
        <w:pStyle w:val="Normal"/>
        <w:spacing w:lineRule="auto" w:line="276" w:before="0" w:after="180"/>
        <w:jc w:val="both"/>
        <w:rPr/>
      </w:pPr>
      <w:r>
        <w:rPr/>
        <w:t>Based on the convergent evidence from XGBoost gain-based importance, permutation importance, and SHAP importance, the final selected_features set retained the variables exhibiting consistently high importance across all three techniques, while savings_assets_log was identified as a reasonable candidate for removal given its consistently low importance across methods; current_debt_log and payment_to_income_ratio_scaled were noted as having even lower SHAP importance and were flagged for further evaluation under a purely SHAP-driven selection criterion. One-hot encoded occupation-status indicators were not included in the final selected_features list, reflecting their limited independent contribution once the stronger financial and credit-history variables were included.</w:t>
      </w:r>
    </w:p>
    <w:p>
      <w:pPr>
        <w:pStyle w:val="Heading2"/>
        <w:spacing w:lineRule="auto" w:line="276" w:before="300" w:after="150"/>
        <w:jc w:val="both"/>
        <w:rPr/>
      </w:pPr>
      <w:r>
        <w:rPr/>
        <w:t>4.7 Dataset Partitioning</w:t>
      </w:r>
    </w:p>
    <w:p>
      <w:pPr>
        <w:pStyle w:val="Heading3"/>
        <w:spacing w:lineRule="auto" w:line="276" w:before="220" w:after="120"/>
        <w:jc w:val="both"/>
        <w:rPr/>
      </w:pPr>
      <w:r>
        <w:rPr/>
        <w:t>4.7.1 Training Set</w:t>
      </w:r>
    </w:p>
    <w:p>
      <w:pPr>
        <w:pStyle w:val="Normal"/>
        <w:spacing w:lineRule="auto" w:line="276" w:before="0" w:after="180"/>
        <w:jc w:val="both"/>
        <w:rPr/>
      </w:pPr>
      <w:r>
        <w:rPr/>
        <w:t>The cleaned, engineered dataset was partitioned into training, validation, and test sets using a stratified split that preserved the overall class balance of loan_status in each partition. The training set was used to fit the XGBoost model parameters for each candidate hyper-parameter configuration evaluated during the grid search described in Section 4.8.4.</w:t>
      </w:r>
    </w:p>
    <w:p>
      <w:pPr>
        <w:pStyle w:val="Heading3"/>
        <w:spacing w:lineRule="auto" w:line="276" w:before="220" w:after="120"/>
        <w:jc w:val="both"/>
        <w:rPr/>
      </w:pPr>
      <w:r>
        <w:rPr/>
        <w:t>4.7.2 Validation Set</w:t>
      </w:r>
    </w:p>
    <w:p>
      <w:pPr>
        <w:pStyle w:val="Normal"/>
        <w:spacing w:lineRule="auto" w:line="276" w:before="0" w:after="180"/>
        <w:jc w:val="both"/>
        <w:rPr/>
      </w:pPr>
      <w:r>
        <w:rPr/>
        <w:t>The validation set was used for two distinct purposes: selecting the best-performing hyper-parameter configuration from the grid search, and, subsequently, searching for the cost-minimising decision threshold (Section 4.9) and the selective-prediction threshold pair (Section 4.13), ensuring that these downstream calibration steps did not have access to the test set.</w:t>
      </w:r>
    </w:p>
    <w:p>
      <w:pPr>
        <w:pStyle w:val="Heading3"/>
        <w:spacing w:lineRule="auto" w:line="276" w:before="220" w:after="120"/>
        <w:jc w:val="both"/>
        <w:rPr/>
      </w:pPr>
      <w:r>
        <w:rPr/>
        <w:t>4.7.3 Test Set</w:t>
      </w:r>
    </w:p>
    <w:p>
      <w:pPr>
        <w:pStyle w:val="Normal"/>
        <w:spacing w:lineRule="auto" w:line="276" w:before="0" w:after="180"/>
        <w:jc w:val="both"/>
        <w:rPr/>
      </w:pPr>
      <w:r>
        <w:rPr/>
        <w:t>The test set was held out entirely from both model training and threshold selection, and was used exclusively for the final, unbiased evaluation of model performance reported in Chapter 5, including discrimination (AUC), classification metrics, the confusion matrix, and business-cost performance.</w:t>
      </w:r>
    </w:p>
    <w:p>
      <w:pPr>
        <w:pStyle w:val="Heading3"/>
        <w:spacing w:lineRule="auto" w:line="276" w:before="220" w:after="120"/>
        <w:jc w:val="both"/>
        <w:rPr/>
      </w:pPr>
      <w:r>
        <w:rPr/>
        <w:t>4.7.4 Prevention of Data Leakage</w:t>
      </w:r>
    </w:p>
    <w:p>
      <w:pPr>
        <w:pStyle w:val="Normal"/>
        <w:spacing w:lineRule="auto" w:line="276" w:before="0" w:after="180"/>
        <w:jc w:val="both"/>
        <w:rPr/>
      </w:pPr>
      <w:r>
        <w:rPr/>
        <w:t>Data leakage was prevented by ensuring that all data-dependent preprocessing steps that involve fitted parameters, most importantly the StandardScaler used in Section 4.5.2, were fitted exclusively on the training partition and subsequently applied (transformed only, not re-fitted) to the validation and test partitions. Similarly, feature-selection decisions (Section 4.6) and hyper-parameter selection (Section 4.8) were both made using only the training and validation partitions, with the test partition reserved strictly for final evaluation.</w:t>
      </w:r>
    </w:p>
    <w:p>
      <w:pPr>
        <w:pStyle w:val="Heading2"/>
        <w:spacing w:lineRule="auto" w:line="276" w:before="300" w:after="150"/>
        <w:jc w:val="both"/>
        <w:rPr/>
      </w:pPr>
      <w:r>
        <w:rPr/>
        <w:t>4.8 XGBoost Model Development</w:t>
      </w:r>
    </w:p>
    <w:p>
      <w:pPr>
        <w:pStyle w:val="Heading3"/>
        <w:spacing w:lineRule="auto" w:line="276" w:before="220" w:after="120"/>
        <w:jc w:val="both"/>
        <w:rPr/>
      </w:pPr>
      <w:r>
        <w:rPr/>
        <w:t>4.8.1 Model Configuration</w:t>
      </w:r>
    </w:p>
    <w:p>
      <w:pPr>
        <w:pStyle w:val="Normal"/>
        <w:spacing w:lineRule="auto" w:line="276" w:before="0" w:after="180"/>
        <w:jc w:val="both"/>
        <w:rPr/>
      </w:pPr>
      <w:r>
        <w:rPr/>
        <w:t>The final model was an XGBoost binary classifier configured with the binary:logistic objective and the AUC evaluation metric, trained on the selected feature set identified in Section 4.6.4.</w:t>
      </w:r>
    </w:p>
    <w:p>
      <w:pPr>
        <w:pStyle w:val="Heading3"/>
        <w:spacing w:lineRule="auto" w:line="276" w:before="220" w:after="120"/>
        <w:jc w:val="both"/>
        <w:rPr/>
      </w:pPr>
      <w:r>
        <w:rPr/>
        <w:t>4.8.2 Class Weighting</w:t>
      </w:r>
    </w:p>
    <w:p>
      <w:pPr>
        <w:pStyle w:val="Normal"/>
        <w:spacing w:lineRule="auto" w:line="276" w:before="0" w:after="180"/>
        <w:jc w:val="both"/>
        <w:rPr/>
      </w:pPr>
      <w:r>
        <w:rPr/>
        <w:t>To address the class imbalance quantified in Section 4.4.4 (imbalance ratio 1.22), the scale_pos_weight parameter was set based on the ratio of negative to positive training examples, ensuring that the loss function assigned proportionally greater weight to the minority class during training.</w:t>
      </w:r>
    </w:p>
    <w:p>
      <w:pPr>
        <w:pStyle w:val="Heading3"/>
        <w:spacing w:lineRule="auto" w:line="276" w:before="220" w:after="120"/>
        <w:jc w:val="both"/>
        <w:rPr/>
      </w:pPr>
      <w:r>
        <w:rPr/>
        <w:t>4.8.3 Hyperparameter Search Space</w:t>
      </w:r>
    </w:p>
    <w:p>
      <w:pPr>
        <w:pStyle w:val="Normal"/>
        <w:spacing w:lineRule="auto" w:line="276" w:before="0" w:after="180"/>
        <w:jc w:val="both"/>
        <w:rPr/>
      </w:pPr>
      <w:r>
        <w:rPr/>
        <w:t>The hyper-parameter search space encompassed the learning rate, maximum tree depth, minimum child weight, subsample ratio, colsample_bytree ratio, and the number of boosting rounds, together with L1 and L2 regularisation coefficients, spanning a range of values commonly recommended in the XGBoost tuning literature for tabular classification tasks of this scale.</w:t>
      </w:r>
    </w:p>
    <w:p>
      <w:pPr>
        <w:pStyle w:val="Normal"/>
        <w:spacing w:lineRule="auto" w:line="276" w:before="0" w:after="180"/>
        <w:jc w:val="both"/>
        <w:rPr/>
      </w:pPr>
      <w:r>
        <w:rPr/>
      </w:r>
    </w:p>
    <w:tbl>
      <w:tblPr>
        <w:tblW w:w="8640" w:type="dxa"/>
        <w:jc w:val="left"/>
        <w:tblInd w:w="113" w:type="dxa"/>
        <w:tblLayout w:type="fixed"/>
        <w:tblCellMar>
          <w:top w:w="0" w:type="dxa"/>
          <w:left w:w="108" w:type="dxa"/>
          <w:bottom w:w="0" w:type="dxa"/>
          <w:right w:w="108" w:type="dxa"/>
        </w:tblCellMar>
      </w:tblPr>
      <w:tblGrid>
        <w:gridCol w:w="2598"/>
        <w:gridCol w:w="4199"/>
        <w:gridCol w:w="1843"/>
      </w:tblGrid>
      <w:tr>
        <w:trPr/>
        <w:tc>
          <w:tcPr>
            <w:tcW w:w="2598"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Hyperparameter</w:t>
            </w:r>
          </w:p>
        </w:tc>
        <w:tc>
          <w:tcPr>
            <w:tcW w:w="4199"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Candidate Values</w:t>
            </w:r>
          </w:p>
        </w:tc>
        <w:tc>
          <w:tcPr>
            <w:tcW w:w="1843"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No. of Values</w:t>
            </w:r>
          </w:p>
        </w:tc>
      </w:tr>
      <w:tr>
        <w:trPr/>
        <w:tc>
          <w:tcPr>
            <w:tcW w:w="25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Learning rate (eta)</w:t>
            </w:r>
          </w:p>
        </w:tc>
        <w:tc>
          <w:tcPr>
            <w:tcW w:w="41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0.01, 0.05, 0.1, 0.2</w:t>
            </w:r>
          </w:p>
        </w:tc>
        <w:tc>
          <w:tcPr>
            <w:tcW w:w="184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r>
      <w:tr>
        <w:trPr/>
        <w:tc>
          <w:tcPr>
            <w:tcW w:w="25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Maximum tree depth</w:t>
            </w:r>
          </w:p>
        </w:tc>
        <w:tc>
          <w:tcPr>
            <w:tcW w:w="41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3, 4, 5, 6</w:t>
            </w:r>
          </w:p>
        </w:tc>
        <w:tc>
          <w:tcPr>
            <w:tcW w:w="184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r>
      <w:tr>
        <w:trPr/>
        <w:tc>
          <w:tcPr>
            <w:tcW w:w="25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Minimum child weight</w:t>
            </w:r>
          </w:p>
        </w:tc>
        <w:tc>
          <w:tcPr>
            <w:tcW w:w="41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1, 5</w:t>
            </w:r>
          </w:p>
        </w:tc>
        <w:tc>
          <w:tcPr>
            <w:tcW w:w="184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5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Subsample ratio</w:t>
            </w:r>
          </w:p>
        </w:tc>
        <w:tc>
          <w:tcPr>
            <w:tcW w:w="41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0.8, 1.0</w:t>
            </w:r>
          </w:p>
        </w:tc>
        <w:tc>
          <w:tcPr>
            <w:tcW w:w="184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5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Colsample_bytree ratio</w:t>
            </w:r>
          </w:p>
        </w:tc>
        <w:tc>
          <w:tcPr>
            <w:tcW w:w="41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0.8, 1.0</w:t>
            </w:r>
          </w:p>
        </w:tc>
        <w:tc>
          <w:tcPr>
            <w:tcW w:w="184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5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Boosting rounds (n_estimators)</w:t>
            </w:r>
          </w:p>
        </w:tc>
        <w:tc>
          <w:tcPr>
            <w:tcW w:w="41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100, 300</w:t>
            </w:r>
          </w:p>
        </w:tc>
        <w:tc>
          <w:tcPr>
            <w:tcW w:w="184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5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Total combinations evaluated</w:t>
            </w:r>
          </w:p>
        </w:tc>
        <w:tc>
          <w:tcPr>
            <w:tcW w:w="419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4 × 4 × 2 × 2 × 2 × 2</w:t>
            </w:r>
          </w:p>
        </w:tc>
        <w:tc>
          <w:tcPr>
            <w:tcW w:w="184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256</w:t>
            </w:r>
          </w:p>
        </w:tc>
      </w:tr>
    </w:tbl>
    <w:p>
      <w:pPr>
        <w:pStyle w:val="Normal"/>
        <w:spacing w:before="120" w:after="160"/>
        <w:jc w:val="center"/>
        <w:rPr/>
      </w:pPr>
      <w:r>
        <w:rPr>
          <w:i/>
          <w:sz w:val="20"/>
        </w:rPr>
        <w:t>Table 4.3 — Hyperparameter search space for the XGBoost grid search</w:t>
      </w:r>
    </w:p>
    <w:p>
      <w:pPr>
        <w:pStyle w:val="Heading3"/>
        <w:spacing w:lineRule="auto" w:line="276" w:before="220" w:after="120"/>
        <w:jc w:val="both"/>
        <w:rPr/>
      </w:pPr>
      <w:r>
        <w:rPr/>
        <w:t>4.8.4 Grid Search over 256 Hyperparameter Combinations</w:t>
      </w:r>
    </w:p>
    <w:p>
      <w:pPr>
        <w:pStyle w:val="Normal"/>
        <w:spacing w:lineRule="auto" w:line="276" w:before="0" w:after="180"/>
        <w:jc w:val="both"/>
        <w:rPr/>
      </w:pPr>
      <w:r>
        <w:rPr/>
        <w:t>A grid search was conducted over 256 combinations of the hyper-parameters described in Section 4.8.3, with each combination evaluated by training on the training partition and scoring AUC on the validation partition, allowing a systematic, exhaustive comparison of the candidate configurations within the defined search space.</w:t>
      </w:r>
    </w:p>
    <w:p>
      <w:pPr>
        <w:pStyle w:val="Heading3"/>
        <w:spacing w:lineRule="auto" w:line="276" w:before="220" w:after="120"/>
        <w:jc w:val="both"/>
        <w:rPr/>
      </w:pPr>
      <w:r>
        <w:rPr/>
        <w:t>4.8.5 Validation-Based Model Selection</w:t>
      </w:r>
    </w:p>
    <w:p>
      <w:pPr>
        <w:pStyle w:val="Normal"/>
        <w:spacing w:lineRule="auto" w:line="276" w:before="0" w:after="180"/>
        <w:jc w:val="both"/>
        <w:rPr/>
      </w:pPr>
      <w:r>
        <w:rPr/>
        <w:t>The hyper-parameter configuration achieving the highest validation AUC was selected as the final model configuration, subsequently retrained (where appropriate) and carried forward to the threshold-optimisation, explainability, monitoring, and selective-prediction stages described in the remaining sections of this chapter.</w:t>
      </w:r>
    </w:p>
    <w:p>
      <w:pPr>
        <w:pStyle w:val="Heading2"/>
        <w:spacing w:lineRule="auto" w:line="276" w:before="300" w:after="150"/>
        <w:jc w:val="both"/>
        <w:rPr/>
      </w:pPr>
      <w:r>
        <w:rPr/>
        <w:t xml:space="preserve">4.9 Cost-Sensitive Threshold </w:t>
      </w:r>
      <w:r>
        <w:rPr>
          <w:lang w:val="en-US"/>
        </w:rPr>
        <w:t>Optimization</w:t>
      </w:r>
    </w:p>
    <w:p>
      <w:pPr>
        <w:pStyle w:val="Heading3"/>
        <w:spacing w:lineRule="auto" w:line="276" w:before="220" w:after="120"/>
        <w:jc w:val="both"/>
        <w:rPr/>
      </w:pPr>
      <w:r>
        <w:rPr/>
        <w:t>4.9.1 Definition of the Business Cost Function</w:t>
      </w:r>
    </w:p>
    <w:p>
      <w:pPr>
        <w:pStyle w:val="Normal"/>
        <w:spacing w:lineRule="auto" w:line="276" w:before="0" w:after="180"/>
        <w:jc w:val="both"/>
        <w:rPr/>
      </w:pPr>
      <w:r>
        <w:rPr/>
        <w:t>A business cost function was defined as Cost = c_FP x FP + c_FN x FN, with c_FN set substantially higher than c_FP to reflect the materially greater financial consequence, discussed in Section 3.7, of approving a customer who subsequently defaults (a false negative) relative to rejecting a customer who would have repaid (a false positive).</w:t>
      </w:r>
    </w:p>
    <w:p>
      <w:pPr>
        <w:pStyle w:val="Heading3"/>
        <w:spacing w:lineRule="auto" w:line="276" w:before="220" w:after="120"/>
        <w:jc w:val="both"/>
        <w:rPr/>
      </w:pPr>
      <w:r>
        <w:rPr/>
        <w:t>4.9.2 Threshold Search</w:t>
      </w:r>
    </w:p>
    <w:p>
      <w:pPr>
        <w:pStyle w:val="Normal"/>
        <w:spacing w:lineRule="auto" w:line="276" w:before="0" w:after="180"/>
        <w:jc w:val="both"/>
        <w:rPr/>
      </w:pPr>
      <w:r>
        <w:rPr/>
        <w:t>The business cost function was evaluated across a fine grid of candidate thresholds applied to the validation-set predicted probabilities, and the threshold minimising total business cost, rather than a purely statistical criterion such as F1-score, was identified as the operating threshold. Notably, this cost-optimal threshold (0.28 in the illustrative example discussed in Section 5.3.3) was substantially below the conventional default of 0.5, reflecting the higher relative cost assigned to false negatives.</w:t>
      </w:r>
    </w:p>
    <w:p>
      <w:pPr>
        <w:pStyle w:val="Heading3"/>
        <w:spacing w:lineRule="auto" w:line="276" w:before="220" w:after="120"/>
        <w:jc w:val="both"/>
        <w:rPr/>
      </w:pPr>
      <w:r>
        <w:rPr/>
        <w:t>4.9.3 Selection of the Operating Threshold</w:t>
      </w:r>
    </w:p>
    <w:p>
      <w:pPr>
        <w:pStyle w:val="Normal"/>
        <w:spacing w:lineRule="auto" w:line="276" w:before="0" w:after="180"/>
        <w:jc w:val="both"/>
        <w:rPr/>
      </w:pPr>
      <w:r>
        <w:rPr/>
        <w:t>The selected cost-optimal threshold was fixed and subsequently applied, without further adjustment, to the independent test-set predicted probabilities to obtain the final, unbiased cost-sensitive performance results reported in Section 5.4.5, ensuring that the threshold-selection process did not bias the reported test-set evaluation.</w:t>
      </w:r>
    </w:p>
    <w:p>
      <w:pPr>
        <w:pStyle w:val="Heading2"/>
        <w:spacing w:lineRule="auto" w:line="276" w:before="300" w:after="150"/>
        <w:jc w:val="both"/>
        <w:rPr/>
      </w:pPr>
      <w:r>
        <w:rPr/>
        <w:t>4.10 Model Evaluation</w:t>
      </w:r>
    </w:p>
    <w:p>
      <w:pPr>
        <w:pStyle w:val="Heading3"/>
        <w:spacing w:lineRule="auto" w:line="276" w:before="220" w:after="120"/>
        <w:jc w:val="both"/>
        <w:rPr/>
      </w:pPr>
      <w:r>
        <w:rPr/>
        <w:t>4.10.1 Discrimination Performance</w:t>
      </w:r>
    </w:p>
    <w:p>
      <w:pPr>
        <w:pStyle w:val="Normal"/>
        <w:spacing w:lineRule="auto" w:line="276" w:before="0" w:after="180"/>
        <w:jc w:val="both"/>
        <w:rPr/>
      </w:pPr>
      <w:r>
        <w:rPr/>
        <w:t>Discrimination performance was assessed via the AUC computed on the training, validation, and test partitions, allowing the identification of any substantial gap between training and validation/test performance that would indicate overfitting.</w:t>
      </w:r>
    </w:p>
    <w:p>
      <w:pPr>
        <w:pStyle w:val="Heading3"/>
        <w:spacing w:lineRule="auto" w:line="276" w:before="220" w:after="120"/>
        <w:jc w:val="both"/>
        <w:rPr/>
      </w:pPr>
      <w:r>
        <w:rPr/>
        <w:t>4.10.2 Classification Performance</w:t>
      </w:r>
    </w:p>
    <w:p>
      <w:pPr>
        <w:pStyle w:val="Normal"/>
        <w:spacing w:lineRule="auto" w:line="276" w:before="0" w:after="180"/>
        <w:jc w:val="both"/>
        <w:rPr/>
      </w:pPr>
      <w:r>
        <w:rPr/>
        <w:t>Classification performance at the cost-optimal threshold was assessed via accuracy, precision, recall, and F1-score, computed on the test set, together with the full confusion matrix.</w:t>
      </w:r>
    </w:p>
    <w:p>
      <w:pPr>
        <w:pStyle w:val="Heading3"/>
        <w:spacing w:lineRule="auto" w:line="276" w:before="220" w:after="120"/>
        <w:jc w:val="both"/>
        <w:rPr/>
      </w:pPr>
      <w:r>
        <w:rPr/>
        <w:t>4.10.3 Error Analysis</w:t>
      </w:r>
    </w:p>
    <w:p>
      <w:pPr>
        <w:pStyle w:val="Normal"/>
        <w:spacing w:lineRule="auto" w:line="276" w:before="0" w:after="180"/>
        <w:jc w:val="both"/>
        <w:rPr/>
      </w:pPr>
      <w:r>
        <w:rPr/>
        <w:t>Error analysis examined the specific characteristics of misclassified applicants, in particular the false negatives (defaulting applicants incorrectly approved), given their outsized business significance, and compared their feature profiles, via SHAP local explanations (Section 4.11.3), against correctly classified applicants.</w:t>
      </w:r>
    </w:p>
    <w:p>
      <w:pPr>
        <w:pStyle w:val="Heading3"/>
        <w:spacing w:lineRule="auto" w:line="276" w:before="220" w:after="120"/>
        <w:jc w:val="both"/>
        <w:rPr/>
      </w:pPr>
      <w:r>
        <w:rPr/>
        <w:t>4.10.4 Cost-Based Evaluation</w:t>
      </w:r>
    </w:p>
    <w:p>
      <w:pPr>
        <w:pStyle w:val="Normal"/>
        <w:spacing w:lineRule="auto" w:line="276" w:before="0" w:after="180"/>
        <w:jc w:val="both"/>
        <w:rPr/>
      </w:pPr>
      <w:r>
        <w:rPr/>
        <w:t>Cost-based evaluation computed the total business cost, using the cost function defined in Section 4.9.1, achieved by the final model at the cost-optimal threshold on the test set, providing the primary business-relevant performance metric against which the selective prediction framework (Section 4.13) was subsequently compared.</w:t>
      </w:r>
    </w:p>
    <w:p>
      <w:pPr>
        <w:pStyle w:val="Heading2"/>
        <w:spacing w:lineRule="auto" w:line="276" w:before="300" w:after="150"/>
        <w:jc w:val="both"/>
        <w:rPr/>
      </w:pPr>
      <w:r>
        <w:rPr/>
        <w:t>4.11 Explainability Analysis</w:t>
      </w:r>
    </w:p>
    <w:p>
      <w:pPr>
        <w:pStyle w:val="Heading3"/>
        <w:spacing w:lineRule="auto" w:line="276" w:before="220" w:after="120"/>
        <w:jc w:val="both"/>
        <w:rPr/>
      </w:pPr>
      <w:r>
        <w:rPr/>
        <w:t>4.11.1 SHAP TreeExplainer</w:t>
      </w:r>
    </w:p>
    <w:p>
      <w:pPr>
        <w:pStyle w:val="Normal"/>
        <w:spacing w:lineRule="auto" w:line="276" w:before="0" w:after="180"/>
        <w:jc w:val="both"/>
        <w:rPr/>
      </w:pPr>
      <w:r>
        <w:rPr/>
        <w:t>SHAP values were computed using the TreeExplainer algorithm, which exploits the internal structure of the trained XGBoost ensemble to compute exact Shapley values efficiently, without resorting to the sampling-based approximations required for general (non-tree) model classes.</w:t>
      </w:r>
    </w:p>
    <w:p>
      <w:pPr>
        <w:pStyle w:val="Heading3"/>
        <w:spacing w:lineRule="auto" w:line="276" w:before="220" w:after="120"/>
        <w:jc w:val="both"/>
        <w:rPr/>
      </w:pPr>
      <w:r>
        <w:rPr/>
        <w:t>4.11.2 Global SHAP Analysis</w:t>
      </w:r>
    </w:p>
    <w:p>
      <w:pPr>
        <w:pStyle w:val="Normal"/>
        <w:spacing w:lineRule="auto" w:line="276" w:before="0" w:after="180"/>
        <w:jc w:val="both"/>
        <w:rPr/>
      </w:pPr>
      <w:r>
        <w:rPr/>
        <w:t>Global SHAP analysis aggregated local Shapley values across the full validation or test set to produce a ranked, portfolio-level feature-importance summary, together with beeswarm summary plots indicating both the magnitude and the direction of each feature's effect on the predicted probability of default.</w:t>
      </w:r>
    </w:p>
    <w:p>
      <w:pPr>
        <w:pStyle w:val="Heading3"/>
        <w:spacing w:lineRule="auto" w:line="276" w:before="220" w:after="120"/>
        <w:jc w:val="both"/>
        <w:rPr/>
      </w:pPr>
      <w:r>
        <w:rPr/>
        <w:t>4.11.3 Local SHAP Explanations</w:t>
      </w:r>
    </w:p>
    <w:p>
      <w:pPr>
        <w:pStyle w:val="Normal"/>
        <w:spacing w:lineRule="auto" w:line="276" w:before="0" w:after="180"/>
        <w:jc w:val="both"/>
        <w:rPr/>
      </w:pPr>
      <w:r>
        <w:rPr/>
        <w:t xml:space="preserve">Local SHAP explanations were generated for individual applicants, including a targeted comparison of correctly classified applicants against false-negative and false-positive cases, using waterfall plots to </w:t>
      </w:r>
      <w:r>
        <w:rPr>
          <w:lang w:val="en-US"/>
        </w:rPr>
        <w:t>visualize</w:t>
      </w:r>
      <w:r>
        <w:rPr/>
        <w:t xml:space="preserve"> the additive contribution of each feature to the individual prediction.</w:t>
      </w:r>
      <w:r>
        <w:br w:type="page"/>
      </w:r>
    </w:p>
    <w:p>
      <w:pPr>
        <w:pStyle w:val="Normal"/>
        <w:spacing w:lineRule="auto" w:line="240" w:before="0" w:after="0"/>
        <w:jc w:val="center"/>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257800" cy="5434965"/>
            <wp:effectExtent l="0" t="0" r="0" b="0"/>
            <wp:wrapSquare wrapText="largest"/>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noChangeArrowheads="1"/>
                    </pic:cNvPicPr>
                  </pic:nvPicPr>
                  <pic:blipFill>
                    <a:blip r:embed="rId15"/>
                    <a:stretch>
                      <a:fillRect/>
                    </a:stretch>
                  </pic:blipFill>
                  <pic:spPr bwMode="auto">
                    <a:xfrm>
                      <a:off x="0" y="0"/>
                      <a:ext cx="5257800" cy="5434965"/>
                    </a:xfrm>
                    <a:prstGeom prst="rect">
                      <a:avLst/>
                    </a:prstGeom>
                    <a:noFill/>
                  </pic:spPr>
                </pic:pic>
              </a:graphicData>
            </a:graphic>
          </wp:anchor>
        </w:drawing>
      </w:r>
    </w:p>
    <w:p>
      <w:pPr>
        <w:pStyle w:val="Normal"/>
        <w:jc w:val="center"/>
        <w:rPr/>
      </w:pPr>
      <w:r>
        <w:rPr>
          <w:i/>
          <w:sz w:val="20"/>
        </w:rPr>
        <w:t xml:space="preserve">Figure </w:t>
      </w:r>
      <w:r>
        <w:rPr>
          <w:i/>
          <w:sz w:val="20"/>
          <w:lang w:val="en-US"/>
        </w:rPr>
        <w:t>4</w:t>
      </w:r>
      <w:r>
        <w:rPr>
          <w:i/>
          <w:sz w:val="20"/>
        </w:rPr>
        <w:t>.2 — SHAP waterfall plot for a representative false-negative applicant</w:t>
      </w:r>
    </w:p>
    <w:p>
      <w:pPr>
        <w:pStyle w:val="Heading3"/>
        <w:spacing w:lineRule="auto" w:line="276" w:before="220" w:after="120"/>
        <w:jc w:val="both"/>
        <w:rPr/>
      </w:pPr>
      <w:r>
        <w:rPr/>
        <w:t>4.11.4 Analysis of Correct and Incorrect Predictions</w:t>
      </w:r>
    </w:p>
    <w:p>
      <w:pPr>
        <w:pStyle w:val="Normal"/>
        <w:spacing w:lineRule="auto" w:line="276" w:before="0" w:after="180"/>
        <w:jc w:val="both"/>
        <w:rPr/>
      </w:pPr>
      <w:r>
        <w:rPr/>
        <w:t xml:space="preserve">The local explanations obtained in Section 4.11.3 were used to </w:t>
      </w:r>
      <w:r>
        <w:rPr>
          <w:lang w:val="en-US"/>
        </w:rPr>
        <w:t>characterize</w:t>
      </w:r>
      <w:r>
        <w:rPr/>
        <w:t xml:space="preserve"> the feature patterns associated with the model's errors, informing the discussion in Chapter 6 of the practical limitations of the model and the residual role of human judgment, particularly for applicants whose feature values fall near the model's decision boundary.</w:t>
      </w:r>
    </w:p>
    <w:p>
      <w:pPr>
        <w:pStyle w:val="Heading2"/>
        <w:spacing w:lineRule="auto" w:line="276" w:before="300" w:after="150"/>
        <w:jc w:val="both"/>
        <w:rPr/>
      </w:pPr>
      <w:r>
        <w:rPr/>
        <w:t>4.12 Reliability Monitoring Framework</w:t>
      </w:r>
    </w:p>
    <w:p>
      <w:pPr>
        <w:pStyle w:val="Heading3"/>
        <w:spacing w:lineRule="auto" w:line="276" w:before="220" w:after="120"/>
        <w:jc w:val="both"/>
        <w:rPr/>
      </w:pPr>
      <w:r>
        <w:rPr/>
        <w:t>4.12.1 Reference Baseline Construction</w:t>
      </w:r>
    </w:p>
    <w:p>
      <w:pPr>
        <w:pStyle w:val="Normal"/>
        <w:spacing w:lineRule="auto" w:line="276" w:before="0" w:after="180"/>
        <w:jc w:val="both"/>
        <w:rPr/>
      </w:pPr>
      <w:r>
        <w:rPr/>
        <w:t>A reference baseline was constructed from the training data (and, for prediction-drift and performance monitoring, from the corresponding validation-set predictions and outcomes), against which subsequently observed 'new' data (represented in this study by the held-out test set, treated as a simulated production batch) was compared.</w:t>
      </w:r>
    </w:p>
    <w:p>
      <w:pPr>
        <w:pStyle w:val="Heading3"/>
        <w:spacing w:lineRule="auto" w:line="276" w:before="220" w:after="120"/>
        <w:jc w:val="both"/>
        <w:rPr/>
      </w:pPr>
      <w:r>
        <w:rPr/>
        <w:t>4.12.2 Feature-Level Drift Monitoring</w:t>
      </w:r>
    </w:p>
    <w:p>
      <w:pPr>
        <w:pStyle w:val="Normal"/>
        <w:spacing w:lineRule="auto" w:line="276" w:before="0" w:after="180"/>
        <w:jc w:val="both"/>
        <w:rPr/>
      </w:pPr>
      <w:r>
        <w:rPr/>
        <w:t>Feature-level drift was monitored for each of the top ten features (ranked by importance) using both the Population Stability Index and the Kolmogorov–Smirnov statistic, comparing the reference (training) distribution against the new (test) distribution for each feature independently.</w:t>
      </w:r>
    </w:p>
    <w:p>
      <w:pPr>
        <w:pStyle w:val="Heading3"/>
        <w:spacing w:lineRule="auto" w:line="276" w:before="220" w:after="120"/>
        <w:jc w:val="both"/>
        <w:rPr/>
      </w:pPr>
      <w:r>
        <w:rPr/>
        <w:t>4.12.3 Prediction Drift Monitoring</w:t>
      </w:r>
    </w:p>
    <w:p>
      <w:pPr>
        <w:pStyle w:val="Normal"/>
        <w:spacing w:lineRule="auto" w:line="276" w:before="0" w:after="180"/>
        <w:jc w:val="both"/>
        <w:rPr/>
      </w:pPr>
      <w:r>
        <w:rPr/>
        <w:t>Prediction drift was monitored by comparing the distribution of the model's predicted probabilities on the reference data against the new data, using the mean predicted probability, the implied approval rate, and the PSI computed on the binned predicted-probability distribution.</w:t>
      </w:r>
    </w:p>
    <w:p>
      <w:pPr>
        <w:pStyle w:val="Heading3"/>
        <w:spacing w:lineRule="auto" w:line="276" w:before="220" w:after="120"/>
        <w:jc w:val="both"/>
        <w:rPr/>
      </w:pPr>
      <w:r>
        <w:rPr/>
        <w:t>4.12.4 Performance Monitoring</w:t>
      </w:r>
    </w:p>
    <w:p>
      <w:pPr>
        <w:pStyle w:val="Normal"/>
        <w:spacing w:lineRule="auto" w:line="276" w:before="0" w:after="180"/>
        <w:jc w:val="both"/>
        <w:rPr/>
      </w:pPr>
      <w:r>
        <w:rPr/>
        <w:t>Performance monitoring recomputed the AUC, confusion matrix, false-positive and false-negative counts, FP/FN ratio, and total business cost on the new (test) data using the true labels, and compared these values against the corresponding reference-period values to assess whether performance had degraded.</w:t>
      </w:r>
    </w:p>
    <w:p>
      <w:pPr>
        <w:pStyle w:val="Heading3"/>
        <w:spacing w:lineRule="auto" w:line="276" w:before="220" w:after="120"/>
        <w:jc w:val="both"/>
        <w:rPr/>
      </w:pPr>
      <w:r>
        <w:rPr/>
        <w:t>4.12.5 Monitoring Baseline Persistence</w:t>
      </w:r>
    </w:p>
    <w:p>
      <w:pPr>
        <w:pStyle w:val="Normal"/>
        <w:spacing w:lineRule="auto" w:line="276" w:before="0" w:after="180"/>
        <w:jc w:val="both"/>
        <w:rPr/>
      </w:pPr>
      <w:r>
        <w:rPr/>
        <w:t>The reference baseline statistics (feature distributions, prediction distribution, and reference performance metrics) were persisted so that they could be reused across successive monitoring runs without being recomputed from the original training data each time, mirroring the design of a production monitoring system that would run on a scheduled basis (for example, nightly or weekly).</w:t>
      </w:r>
    </w:p>
    <w:p>
      <w:pPr>
        <w:pStyle w:val="Heading2"/>
        <w:spacing w:lineRule="auto" w:line="276" w:before="300" w:after="150"/>
        <w:jc w:val="both"/>
        <w:rPr/>
      </w:pPr>
      <w:r>
        <w:rPr/>
        <w:t>4.13 Selective Prediction Framework</w:t>
      </w:r>
    </w:p>
    <w:p>
      <w:pPr>
        <w:pStyle w:val="Heading3"/>
        <w:spacing w:lineRule="auto" w:line="276" w:before="220" w:after="120"/>
        <w:jc w:val="both"/>
        <w:rPr/>
      </w:pPr>
      <w:r>
        <w:rPr/>
        <w:t>4.13.1 Definition of the Selective Decision Zones</w:t>
      </w:r>
    </w:p>
    <w:p>
      <w:pPr>
        <w:pStyle w:val="Normal"/>
        <w:spacing w:lineRule="auto" w:line="276" w:before="0" w:after="180"/>
        <w:jc w:val="both"/>
        <w:rPr/>
      </w:pPr>
      <w:r>
        <w:rPr/>
        <w:t>Building on the single-threshold decision rule described in Section 4.9, the selective prediction framework replaces the single threshold with two thresholds, t1 and t2 (t1 &lt; t2), defining three decision zones: automatic approval for predicted probabilities below t1, manual review for predicted probabilities between t1 and t2 inclusive, and automatic rejection for predicted probabilities above t2.</w:t>
      </w:r>
    </w:p>
    <w:p>
      <w:pPr>
        <w:pStyle w:val="Heading3"/>
        <w:spacing w:lineRule="auto" w:line="276" w:before="220" w:after="120"/>
        <w:jc w:val="both"/>
        <w:rPr/>
      </w:pPr>
      <w:r>
        <w:rPr/>
        <w:t>4.13.2 Acceptance Threshold</w:t>
      </w:r>
    </w:p>
    <w:p>
      <w:pPr>
        <w:pStyle w:val="Normal"/>
        <w:spacing w:lineRule="auto" w:line="276" w:before="0" w:after="180"/>
        <w:jc w:val="both"/>
        <w:rPr/>
      </w:pPr>
      <w:r>
        <w:rPr/>
        <w:t>The lower threshold, t1, defines the boundary below which the model is sufficiently confident that an applicant represents a low default risk to approve the application automatically without human review.</w:t>
      </w:r>
    </w:p>
    <w:p>
      <w:pPr>
        <w:pStyle w:val="Heading3"/>
        <w:spacing w:lineRule="auto" w:line="276" w:before="220" w:after="120"/>
        <w:jc w:val="both"/>
        <w:rPr/>
      </w:pPr>
      <w:r>
        <w:rPr/>
        <w:t>4.13.3 Rejection Threshold</w:t>
      </w:r>
    </w:p>
    <w:p>
      <w:pPr>
        <w:pStyle w:val="Normal"/>
        <w:spacing w:lineRule="auto" w:line="276" w:before="0" w:after="180"/>
        <w:jc w:val="both"/>
        <w:rPr/>
      </w:pPr>
      <w:r>
        <w:rPr/>
        <w:t>The upper threshold, t2, defines the boundary above which the model is sufficiently confident that an applicant represents a high default risk to reject the application automatically without human review.</w:t>
      </w:r>
    </w:p>
    <w:p>
      <w:pPr>
        <w:pStyle w:val="Heading3"/>
        <w:spacing w:lineRule="auto" w:line="276" w:before="220" w:after="120"/>
        <w:jc w:val="both"/>
        <w:rPr/>
      </w:pPr>
      <w:r>
        <w:rPr/>
        <w:t>4.13.4 Manual Review Zone</w:t>
      </w:r>
    </w:p>
    <w:p>
      <w:pPr>
        <w:pStyle w:val="Normal"/>
        <w:spacing w:lineRule="auto" w:line="276" w:before="0" w:after="180"/>
        <w:jc w:val="both"/>
        <w:rPr/>
      </w:pPr>
      <w:r>
        <w:rPr/>
        <w:t>Applicants whose predicted probability of default falls between t1 and t2 are referred to manual review by a human loan officer, reflecting the model's comparatively low confidence for these cases. In the optimised configuration obtained in this thesis, this zone was found to be centred close to the interval [0.20, 0.60], and it accounted for approximately 12.3% of the test-set applications, with the remaining 87.7% handled automatically.</w:t>
      </w:r>
    </w:p>
    <w:p>
      <w:pPr>
        <w:pStyle w:val="Heading3"/>
        <w:spacing w:lineRule="auto" w:line="276" w:before="220" w:after="120"/>
        <w:jc w:val="both"/>
        <w:rPr/>
      </w:pPr>
      <w:r>
        <w:rPr/>
        <w:t>4.13.5 Optimization of Selective Prediction Thresholds</w:t>
      </w:r>
    </w:p>
    <w:p>
      <w:pPr>
        <w:pStyle w:val="Normal"/>
        <w:spacing w:lineRule="auto" w:line="276" w:before="0" w:after="180"/>
        <w:jc w:val="both"/>
        <w:rPr/>
      </w:pPr>
      <w:r>
        <w:rPr/>
        <w:t>The pair of thresholds (t1, t2) was jointly optimised on the validation set by evaluating, for each candidate pair, the resulting business cost (computed only over the automatically decided applicants, since manually reviewed applicants are assumed to be resolved correctly by the human reviewer) and the resulting manual-review rate, and selecting the pair that minimised business cost. Relative to the single-threshold baseline established in Section 4.9, the resulting selective prediction framework reduced the weighted business cost by approximately 58.5% and reduced false negatives by approximately 58.7% on the test set, at the cost of routing approximately one in eight applications to manual review.</w:t>
      </w:r>
    </w:p>
    <w:p>
      <w:pPr>
        <w:pStyle w:val="Heading2"/>
        <w:spacing w:lineRule="auto" w:line="276" w:before="300" w:after="150"/>
        <w:jc w:val="both"/>
        <w:rPr/>
      </w:pPr>
      <w:r>
        <w:rPr/>
        <w:t>4.14 Experimental Workflow</w:t>
      </w:r>
    </w:p>
    <w:p>
      <w:pPr>
        <w:pStyle w:val="Normal"/>
        <w:spacing w:lineRule="auto" w:line="276" w:before="0" w:after="180"/>
        <w:jc w:val="both"/>
        <w:rPr/>
      </w:pPr>
      <w:r>
        <w:rPr/>
        <w:t>The complete experimental workflow applied in this thesis proceeded through the following ordered stages, each described in detail in the preceding sections of this chapter: (1) loading and initial inspection of the raw 50,000-record dataset; (2) corrupted-record detection and correction, including the diagnosis and resolution of the financial-ratio scaling artefact; (3) verification of the absence of missing values and duplicate records; (4) exploratory data analysis, encompassing descriptive statistics, distribution visualisation, correlation analysis, class-imbalance assessment, and outlier analysis; (5) feature engineering, encompassing logarithmic transformation, standardisation, binary encoding, categorical one-hot encoding, and loan-amount categorisation; (6) three-way feature selection using XGBoost importance, permutation importance, and SHAP importance; (7) stratified partitioning into training, validation, and test sets with leakage-preventing preprocessing; (8) XGBoost model training with class weighting and a 256-combination hyper-parameter grid search; (9) cost-sensitive threshold optimisation on the validation set; (10) final model evaluation on the held-out test set; (11) global and local SHAP explainability analysis; (12) simulated reliability-monitoring evaluation comprising feature-drift, prediction-drift, and performance monitoring; and (13) the design, optimisation, and evaluation of the two-threshold selective prediction framework, including its comparison against the single-threshold baseline. This ordered workflow, together with the consistent use of a single held-out test set for all final evaluations, ensures that the results reported in Chapter 5 are directly comparable across the individual pipeline stages.</w:t>
      </w:r>
    </w:p>
    <w:p>
      <w:pPr>
        <w:pStyle w:val="Normal"/>
        <w:spacing w:lineRule="auto" w:line="276"/>
        <w:jc w:val="both"/>
        <w:rPr/>
      </w:pPr>
      <w:r>
        <w:rPr/>
      </w:r>
      <w:r>
        <w:br w:type="page"/>
      </w:r>
    </w:p>
    <w:p>
      <w:pPr>
        <w:pStyle w:val="Heading1"/>
        <w:spacing w:lineRule="auto" w:line="276" w:before="0" w:after="200"/>
        <w:jc w:val="both"/>
        <w:rPr/>
      </w:pPr>
      <w:r>
        <w:rPr/>
        <w:t>5. Experimental Results</w:t>
      </w:r>
    </w:p>
    <w:p>
      <w:pPr>
        <w:pStyle w:val="Heading2"/>
        <w:spacing w:lineRule="auto" w:line="276" w:before="300" w:after="150"/>
        <w:jc w:val="both"/>
        <w:rPr/>
      </w:pPr>
      <w:r>
        <w:rPr/>
        <w:t>5.1 Dataset and Preprocessing Results</w:t>
      </w:r>
    </w:p>
    <w:p>
      <w:pPr>
        <w:pStyle w:val="Heading3"/>
        <w:spacing w:lineRule="auto" w:line="276" w:before="220" w:after="120"/>
        <w:jc w:val="both"/>
        <w:rPr/>
      </w:pPr>
      <w:r>
        <w:rPr/>
        <w:t>5.1.1 Data Quality Validation Results</w:t>
      </w:r>
    </w:p>
    <w:p>
      <w:pPr>
        <w:pStyle w:val="Normal"/>
        <w:spacing w:lineRule="auto" w:line="276" w:before="0" w:after="180"/>
        <w:jc w:val="both"/>
        <w:rPr/>
      </w:pPr>
      <w:r>
        <w:rPr/>
        <w:t>Of the 50,000 raw records, an initial, naively applied range-validation rule flagged 48,901 records (97.8%) as containing an out-of-range financial ratio. Following the diagnosis described in Section 4.3.2 and the recalculation of the three ratio variables directly from their underlying financial components, all such false-positive validation errors were eliminated. One record was subsequently removed during cleaning, leaving a final dataset of 49,999 records. No missing values were found in any of the 20 columns, and no exact duplicate rows were found among the 49,999 cleaned records. All three categorical variables (occupation_status, product_type, and loan_intent) were confirmed to contain consistently formatted category labels with no duplication arising from inconsistent capitalisation or spelling.</w:t>
      </w:r>
    </w:p>
    <w:p>
      <w:pPr>
        <w:pStyle w:val="Heading3"/>
        <w:spacing w:lineRule="auto" w:line="276" w:before="220" w:after="120"/>
        <w:jc w:val="both"/>
        <w:rPr/>
      </w:pPr>
      <w:r>
        <w:rPr/>
        <w:t>5.1.2 Outlier Analysis Results</w:t>
      </w:r>
    </w:p>
    <w:p>
      <w:pPr>
        <w:pStyle w:val="Normal"/>
        <w:spacing w:lineRule="auto" w:line="276" w:before="0" w:after="180"/>
        <w:jc w:val="both"/>
        <w:rPr/>
      </w:pPr>
      <w:r>
        <w:rPr/>
        <w:t>Mild outliers (1.5 x IQR) were detected in age, years_employed, annual_income, savings_assets, current_debt, and loan_amount. Extreme outliers (3.0 x IQR) were concentrated overwhelmingly in annual_income, affecting 515 records, while age, interest_rate, and the recalculated financial-ratio variables exhibited few or no extreme outliers. All detected outliers were retained in the final analysis dataset, consistent with the rationale set out in Section 4.4.5.</w:t>
      </w:r>
    </w:p>
    <w:p>
      <w:pPr>
        <w:pStyle w:val="Heading3"/>
        <w:spacing w:lineRule="auto" w:line="276" w:before="220" w:after="120"/>
        <w:jc w:val="both"/>
        <w:rPr/>
      </w:pPr>
      <w:r>
        <w:rPr/>
        <w:t>5.1.3 Distribution and Skewness Analysis</w:t>
      </w:r>
    </w:p>
    <w:p>
      <w:pPr>
        <w:pStyle w:val="Normal"/>
        <w:spacing w:lineRule="auto" w:line="276" w:before="0" w:after="180"/>
        <w:jc w:val="both"/>
        <w:rPr/>
      </w:pPr>
      <w:r>
        <w:rPr/>
        <w:t>Histograms of the raw monetary variables (years_employed, current_debt, annual_income, and savings_assets) confirmed pronounced right-skewness, which was substantially reduced following log1p transformation. Standardisation of loan_amount, credit_history_years, the three financial ratios, age, credit_score, and interest_rate produced zero-mean, unit-variance distributions without altering the underlying shape of each distribution, consistent with the theoretical property that standardisation is a purely location-scale transformation. Modality analysis of the transformed features found that the great majority of engineered variables exhibited unimodal distributions following transformation, with the notable exception of loan_amount, which retained a clearly multimodal shape, motivating its subsequent categorisation into small, medium, and large loan-amount groups.</w:t>
      </w:r>
    </w:p>
    <w:p>
      <w:pPr>
        <w:pStyle w:val="Heading3"/>
        <w:spacing w:lineRule="auto" w:line="276" w:before="220" w:after="120"/>
        <w:jc w:val="both"/>
        <w:rPr/>
      </w:pPr>
      <w:r>
        <w:rPr/>
        <w:t>5.1.4 Class Distribution Results</w:t>
      </w:r>
    </w:p>
    <w:p>
      <w:pPr>
        <w:pStyle w:val="Normal"/>
        <w:spacing w:lineRule="auto" w:line="276" w:before="0" w:after="180"/>
        <w:jc w:val="both"/>
        <w:rPr/>
      </w:pPr>
      <w:r>
        <w:rPr/>
        <w:t>The target variable loan_status comprised 27,522 approved records (55.05%) and 22,477 rejected records (44.95%), corresponding to an imbalance ratio of 1.22, characterised as a slightly imbalanced distribution not warranting resampling-based correction. Class weighting, applied during XGBoost training as described in Section 4.8.2, was judged sufficient to address this moderate degree of imbalance.</w:t>
      </w:r>
      <w:r>
        <w:br w:type="page"/>
      </w:r>
    </w:p>
    <w:p>
      <w:pPr>
        <w:pStyle w:val="Normal"/>
        <w:spacing w:lineRule="auto" w:line="240" w:before="0" w:after="0"/>
        <w:jc w:val="center"/>
        <w:rPr>
          <w:i/>
          <w:sz w:val="20"/>
        </w:rPr>
      </w:pPr>
      <w:r>
        <w:rPr>
          <w:i/>
          <w:sz w:val="20"/>
        </w:rPr>
      </w:r>
    </w:p>
    <w:p>
      <w:pPr>
        <w:pStyle w:val="Heading2"/>
        <w:spacing w:lineRule="auto" w:line="276" w:before="300" w:after="150"/>
        <w:jc w:val="both"/>
        <w:rPr/>
      </w:pPr>
      <w:r>
        <w:rPr/>
        <w:t>5.2 Feature Selection Results</w:t>
      </w:r>
    </w:p>
    <w:p>
      <w:pPr>
        <w:pStyle w:val="Heading3"/>
        <w:spacing w:lineRule="auto" w:line="276" w:before="220" w:after="120"/>
        <w:jc w:val="both"/>
        <w:rPr/>
      </w:pPr>
      <w:r>
        <w:rPr/>
        <w:t>5.2.1 XGBoost Feature Importance Results</w:t>
      </w:r>
    </w:p>
    <w:p>
      <w:pPr>
        <w:pStyle w:val="Normal"/>
        <w:spacing w:lineRule="auto" w:line="276" w:before="0" w:after="180"/>
        <w:jc w:val="both"/>
        <w:rPr/>
      </w:pPr>
      <w:r>
        <w:rPr/>
        <w:t>Gain-based XGBoost feature importance identified credit_score, debt_to_income_ratio, credit_history_years, and loan_to_income_ratio among the most influential predictors of loan_status, broadly consistent with the univariate correlation analysis conducted during exploratory data analysis (Section 4.4.3).</w:t>
      </w:r>
    </w:p>
    <w:p>
      <w:pPr>
        <w:pStyle w:val="Heading3"/>
        <w:spacing w:lineRule="auto" w:line="276" w:before="220" w:after="120"/>
        <w:jc w:val="both"/>
        <w:rPr/>
      </w:pPr>
      <w:r>
        <w:rPr/>
        <w:t>5.2.2 Permutation Importance Results</w:t>
      </w:r>
    </w:p>
    <w:p>
      <w:pPr>
        <w:pStyle w:val="Normal"/>
        <w:spacing w:lineRule="auto" w:line="276" w:before="0" w:after="180"/>
        <w:jc w:val="both"/>
        <w:rPr/>
      </w:pPr>
      <w:r>
        <w:rPr/>
        <w:t>Permutation importance, computed on the held-out validation set, corroborated the XGBoost gain-based ranking for the top-ranked features, providing convergent, model-agnostic evidence that credit_score, debt_to_income_ratio, and credit_history_years are genuinely informative predictors rather than artefacts of the specific gain-based importance calculation.</w:t>
      </w:r>
    </w:p>
    <w:p>
      <w:pPr>
        <w:pStyle w:val="Heading3"/>
        <w:spacing w:lineRule="auto" w:line="276" w:before="220" w:after="120"/>
        <w:jc w:val="both"/>
        <w:rPr/>
      </w:pPr>
      <w:r>
        <w:rPr/>
        <w:t>5.2.3 SHAP Feature Importance Results</w:t>
      </w:r>
    </w:p>
    <w:p>
      <w:pPr>
        <w:pStyle w:val="Normal"/>
        <w:spacing w:lineRule="auto" w:line="276" w:before="0" w:after="180"/>
        <w:jc w:val="both"/>
        <w:rPr/>
      </w:pPr>
      <w:r>
        <w:rPr/>
        <w:t>Global SHAP analysis identified credit_score, debt_to_income_ratio, credit_history_years, loan_to_income_ratio, and loan purpose (loan_intent) as the most influential predictors of the model's decisions, with the top ten features by SHAP importance collectively accounting for approximately 84.6% of the model's decisions. savings_assets_log exhibited one of the lowest SHAP importance values among the evaluated features and was identified as a reasonable candidate for removal; current_debt_log and payment_to_income_ratio_scaled exhibited even lower SHAP importance values and were flagged for further evaluation under a SHAP-driven selection criterion.</w:t>
      </w:r>
    </w:p>
    <w:p>
      <w:pPr>
        <w:pStyle w:val="Normal"/>
        <w:spacing w:before="0" w:after="180"/>
        <w:jc w:val="both"/>
        <w:rPr/>
      </w:pPr>
      <w:r>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580130" cy="4694555"/>
            <wp:effectExtent l="0" t="0" r="0" b="0"/>
            <wp:wrapTopAndBottom/>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6"/>
                    <a:stretch>
                      <a:fillRect/>
                    </a:stretch>
                  </pic:blipFill>
                  <pic:spPr bwMode="auto">
                    <a:xfrm>
                      <a:off x="0" y="0"/>
                      <a:ext cx="3580130" cy="4694555"/>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center"/>
        <w:rPr/>
      </w:pPr>
      <w:r>
        <w:drawing>
          <wp:anchor distT="0" distB="0" distL="0" distR="0" simplePos="0" relativeHeight="15" behindDoc="0" locked="0" layoutInCell="0" allowOverlap="1">
            <wp:simplePos x="0" y="0"/>
            <wp:positionH relativeFrom="column">
              <wp:align>center</wp:align>
            </wp:positionH>
            <wp:positionV relativeFrom="paragraph">
              <wp:posOffset>-346710</wp:posOffset>
            </wp:positionV>
            <wp:extent cx="4523105" cy="4338320"/>
            <wp:effectExtent l="0" t="0" r="0" b="0"/>
            <wp:wrapTopAndBottom/>
            <wp:docPr id="1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pic:cNvPicPr>
                      <a:picLocks noChangeAspect="1" noChangeArrowheads="1"/>
                    </pic:cNvPicPr>
                  </pic:nvPicPr>
                  <pic:blipFill>
                    <a:blip r:embed="rId17"/>
                    <a:stretch>
                      <a:fillRect/>
                    </a:stretch>
                  </pic:blipFill>
                  <pic:spPr bwMode="auto">
                    <a:xfrm>
                      <a:off x="0" y="0"/>
                      <a:ext cx="4523105" cy="4338320"/>
                    </a:xfrm>
                    <a:prstGeom prst="rect">
                      <a:avLst/>
                    </a:prstGeom>
                    <a:noFill/>
                  </pic:spPr>
                </pic:pic>
              </a:graphicData>
            </a:graphic>
          </wp:anchor>
        </w:drawing>
      </w:r>
      <w:r>
        <w:rPr>
          <w:i/>
          <w:sz w:val="20"/>
          <w:szCs w:val="20"/>
        </w:rPr>
        <w:t xml:space="preserve">Figure </w:t>
      </w:r>
      <w:r>
        <w:rPr>
          <w:i/>
          <w:sz w:val="20"/>
          <w:szCs w:val="20"/>
          <w:lang w:val="en-US"/>
        </w:rPr>
        <w:t>5</w:t>
      </w:r>
      <w:r>
        <w:rPr>
          <w:i/>
          <w:sz w:val="20"/>
          <w:szCs w:val="20"/>
        </w:rPr>
        <w:t xml:space="preserve">.1 — </w:t>
      </w:r>
      <w:r>
        <w:rPr>
          <w:sz w:val="20"/>
          <w:szCs w:val="20"/>
        </w:rPr>
        <w:t>Global Feature Importance Based on Mean Absolute SHAP Values</w:t>
      </w:r>
      <w:r>
        <w:rPr/>
        <w:t xml:space="preserve"> </w:t>
      </w:r>
    </w:p>
    <w:p>
      <w:pPr>
        <w:pStyle w:val="Heading2"/>
        <w:spacing w:lineRule="auto" w:line="276" w:before="300" w:after="150"/>
        <w:jc w:val="both"/>
        <w:rPr/>
      </w:pPr>
      <w:r>
        <w:rPr/>
        <w:t>5.3 Hyperparameter Optimization Results</w:t>
      </w:r>
    </w:p>
    <w:p>
      <w:pPr>
        <w:pStyle w:val="Heading3"/>
        <w:spacing w:lineRule="auto" w:line="276" w:before="220" w:after="120"/>
        <w:jc w:val="both"/>
        <w:rPr/>
      </w:pPr>
      <w:r>
        <w:rPr/>
        <w:t>5.3.1 Comparison of Hyperparameter Configurations</w:t>
      </w:r>
    </w:p>
    <w:p>
      <w:pPr>
        <w:pStyle w:val="Normal"/>
        <w:spacing w:lineRule="auto" w:line="276" w:before="0" w:after="180"/>
        <w:jc w:val="both"/>
        <w:rPr/>
      </w:pPr>
      <w:r>
        <w:rPr/>
        <w:t>The grid search evaluated 256 combinations of learning rate, maximum depth, minimum child weight, subsample ratio, colsample_bytree ratio, and the number of boosting rounds, together with L1 and L2 regularisation coefficients, each scored by validation-set AUC.</w:t>
      </w:r>
    </w:p>
    <w:p>
      <w:pPr>
        <w:pStyle w:val="Heading3"/>
        <w:spacing w:lineRule="auto" w:line="276" w:before="220" w:after="120"/>
        <w:jc w:val="both"/>
        <w:rPr/>
      </w:pPr>
      <w:r>
        <w:rPr/>
        <w:t>5.3.2 Best Hyperparameter Configuration</w:t>
      </w:r>
    </w:p>
    <w:p>
      <w:pPr>
        <w:pStyle w:val="Normal"/>
        <w:spacing w:lineRule="auto" w:line="276" w:before="0" w:after="180"/>
        <w:jc w:val="both"/>
        <w:rPr/>
      </w:pPr>
      <w:r>
        <w:rPr/>
        <w:t>The configuration achieving the highest validation AUC was selected as the final model, and was retained for all subsequent evaluation, explainability, monitoring, and selective-prediction analyses reported in the remainder of this chapter.</w:t>
      </w:r>
    </w:p>
    <w:p>
      <w:pPr>
        <w:pStyle w:val="Heading3"/>
        <w:spacing w:lineRule="auto" w:line="276" w:before="220" w:after="120"/>
        <w:jc w:val="both"/>
        <w:rPr/>
      </w:pPr>
      <w:r>
        <w:rPr/>
        <w:t>5.3.3 Validation AUC and Optimal Threshold</w:t>
      </w:r>
    </w:p>
    <w:p>
      <w:pPr>
        <w:pStyle w:val="Normal"/>
        <w:spacing w:lineRule="auto" w:line="276" w:before="0" w:after="180"/>
        <w:jc w:val="both"/>
        <w:rPr/>
      </w:pPr>
      <w:r>
        <w:rPr/>
        <w:t>The final model achieved a validation AUC in the region of 0.97, and the cost-optimal decision threshold identified by the business-cost search described in Section 4.9.2 was found to be 0.28, substantially below the conventional default threshold of 0.5, reflecting the higher relative cost assigned to false negatives in the business cost function.</w:t>
      </w:r>
    </w:p>
    <w:p>
      <w:pPr>
        <w:pStyle w:val="Normal"/>
        <w:spacing w:lineRule="auto" w:line="276" w:before="0" w:after="180"/>
        <w:jc w:val="both"/>
        <w:rPr/>
      </w:pPr>
      <w:r>
        <w:rPr/>
        <w:drawing>
          <wp:anchor distT="0" distB="0" distL="0" distR="0" simplePos="0" relativeHeight="19" behindDoc="0" locked="0" layoutInCell="0" allowOverlap="1">
            <wp:simplePos x="0" y="0"/>
            <wp:positionH relativeFrom="column">
              <wp:posOffset>-152400</wp:posOffset>
            </wp:positionH>
            <wp:positionV relativeFrom="paragraph">
              <wp:posOffset>34290</wp:posOffset>
            </wp:positionV>
            <wp:extent cx="5486400" cy="3944620"/>
            <wp:effectExtent l="0" t="0" r="0" b="0"/>
            <wp:wrapSquare wrapText="largest"/>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18"/>
                    <a:stretch>
                      <a:fillRect/>
                    </a:stretch>
                  </pic:blipFill>
                  <pic:spPr bwMode="auto">
                    <a:xfrm>
                      <a:off x="0" y="0"/>
                      <a:ext cx="5486400" cy="3944620"/>
                    </a:xfrm>
                    <a:prstGeom prst="rect">
                      <a:avLst/>
                    </a:prstGeom>
                    <a:noFill/>
                  </pic:spPr>
                </pic:pic>
              </a:graphicData>
            </a:graphic>
          </wp:anchor>
        </w:drawing>
      </w:r>
    </w:p>
    <w:p>
      <w:pPr>
        <w:pStyle w:val="Normal"/>
        <w:jc w:val="center"/>
        <w:rPr>
          <w:sz w:val="20"/>
          <w:szCs w:val="20"/>
        </w:rPr>
      </w:pPr>
      <w:r>
        <w:rPr>
          <w:sz w:val="20"/>
          <w:szCs w:val="20"/>
        </w:rPr>
        <w:t>Figure 5.</w:t>
      </w:r>
      <w:r>
        <w:rPr>
          <w:sz w:val="20"/>
          <w:szCs w:val="20"/>
          <w:lang w:val="en-US"/>
        </w:rPr>
        <w:t>2</w:t>
      </w:r>
      <w:r>
        <w:rPr>
          <w:sz w:val="20"/>
          <w:szCs w:val="20"/>
        </w:rPr>
        <w:t xml:space="preserve"> — Hyperparameter grid-search results: validation AUC vs. n_estimators, learning rate, max depth, and the FP/FN trade-off of candidate models</w:t>
      </w:r>
    </w:p>
    <w:p>
      <w:pPr>
        <w:pStyle w:val="Normal"/>
        <w:spacing w:lineRule="auto" w:line="276" w:before="0" w:after="180"/>
        <w:jc w:val="both"/>
        <w:rPr>
          <w:i/>
          <w:sz w:val="20"/>
        </w:rPr>
      </w:pPr>
      <w:r>
        <w:rPr>
          <w:i/>
          <w:sz w:val="20"/>
        </w:rPr>
      </w:r>
    </w:p>
    <w:p>
      <w:pPr>
        <w:pStyle w:val="Heading2"/>
        <w:spacing w:lineRule="auto" w:line="276" w:before="300" w:after="150"/>
        <w:jc w:val="both"/>
        <w:rPr/>
      </w:pPr>
      <w:r>
        <w:rPr/>
        <w:t>5.4 Final XGBoost Model Performance</w:t>
      </w:r>
    </w:p>
    <w:p>
      <w:pPr>
        <w:pStyle w:val="Heading3"/>
        <w:spacing w:lineRule="auto" w:line="276" w:before="220" w:after="120"/>
        <w:jc w:val="both"/>
        <w:rPr/>
      </w:pPr>
      <w:r>
        <w:rPr/>
        <w:t>5.4.1 Training, Validation and Test AUC</w:t>
      </w:r>
    </w:p>
    <w:p>
      <w:pPr>
        <w:pStyle w:val="Normal"/>
        <w:spacing w:lineRule="auto" w:line="276" w:before="0" w:after="180"/>
        <w:jc w:val="both"/>
        <w:rPr/>
      </w:pPr>
      <w:r>
        <w:rPr/>
        <w:t>The final model achieved a test-set AUC of 97.63%, closely matching the validation AUC of approximately 97.18% to 97.6%, and indicating a small train-to-test generalisation gap (approximately 0.0088 in the metric reported during model evaluation), consistent with low overfitting.</w:t>
      </w:r>
    </w:p>
    <w:p>
      <w:pPr>
        <w:pStyle w:val="Heading3"/>
        <w:spacing w:lineRule="auto" w:line="276" w:before="220" w:after="120"/>
        <w:jc w:val="both"/>
        <w:rPr/>
      </w:pPr>
      <w:r>
        <w:rPr/>
        <w:t>5.4.2 Confusion Matrix</w:t>
      </w:r>
    </w:p>
    <w:p>
      <w:pPr>
        <w:pStyle w:val="Normal"/>
        <w:spacing w:lineRule="auto" w:line="276" w:before="0" w:after="180"/>
        <w:jc w:val="both"/>
        <w:rPr/>
      </w:pPr>
      <w:r>
        <w:rPr/>
        <w:t>At the cost-optimal threshold of 0.28, the test-set confusion matrix comprised 1,865 true negatives, 383 false positives, 75 false negatives, and 2,677 true positives.</w:t>
      </w:r>
    </w:p>
    <w:p>
      <w:pPr>
        <w:pStyle w:val="Normal"/>
        <w:spacing w:before="0" w:after="0"/>
        <w:rPr/>
      </w:pPr>
      <w:r>
        <w:rPr/>
      </w:r>
    </w:p>
    <w:tbl>
      <w:tblPr>
        <w:tblW w:w="8640" w:type="dxa"/>
        <w:jc w:val="left"/>
        <w:tblInd w:w="113" w:type="dxa"/>
        <w:tblLayout w:type="fixed"/>
        <w:tblCellMar>
          <w:top w:w="0" w:type="dxa"/>
          <w:left w:w="108" w:type="dxa"/>
          <w:bottom w:w="0" w:type="dxa"/>
          <w:right w:w="108" w:type="dxa"/>
        </w:tblCellMar>
      </w:tblPr>
      <w:tblGrid>
        <w:gridCol w:w="2640"/>
        <w:gridCol w:w="1997"/>
        <w:gridCol w:w="2001"/>
        <w:gridCol w:w="2002"/>
      </w:tblGrid>
      <w:tr>
        <w:trPr/>
        <w:tc>
          <w:tcPr>
            <w:tcW w:w="26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r>
          </w:p>
        </w:tc>
        <w:tc>
          <w:tcPr>
            <w:tcW w:w="1997"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Predicted: Safe (0)</w:t>
            </w:r>
          </w:p>
        </w:tc>
        <w:tc>
          <w:tcPr>
            <w:tcW w:w="200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Predicted: Default (1)</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Total</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Actual: Safe (0)</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1,865 (TN)</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383 (FP)</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2,248</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Actual: Default (1)</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75 (FN)</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2,677 (TP)</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2,752</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Total</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1,940</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3,060</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5,000</w:t>
            </w:r>
          </w:p>
        </w:tc>
      </w:tr>
    </w:tbl>
    <w:p>
      <w:pPr>
        <w:pStyle w:val="Normal"/>
        <w:spacing w:before="120" w:after="160"/>
        <w:jc w:val="center"/>
        <w:rPr/>
      </w:pPr>
      <w:r>
        <w:rPr>
          <w:i/>
          <w:sz w:val="20"/>
        </w:rPr>
        <w:t>Table 5.1 — Test-set confusion matrix at the cost-optimal threshold (t = 0.28)</w:t>
      </w:r>
    </w:p>
    <w:p>
      <w:pPr>
        <w:pStyle w:val="Heading3"/>
        <w:spacing w:lineRule="auto" w:line="276" w:before="220" w:after="120"/>
        <w:jc w:val="both"/>
        <w:rPr/>
      </w:pPr>
      <w:r>
        <w:rPr/>
        <w:t>5.4.3 Classification Metrics</w:t>
      </w:r>
    </w:p>
    <w:p>
      <w:pPr>
        <w:pStyle w:val="Normal"/>
        <w:spacing w:lineRule="auto" w:line="276" w:before="0" w:after="180"/>
        <w:jc w:val="both"/>
        <w:rPr/>
      </w:pPr>
      <w:r>
        <w:rPr/>
        <w:t>Overall test-set accuracy was 91%: of every 100 applicants evaluated by the model, approximately 91 were correctly classified and approximately 9 were misclassified. Recall for the default (positive) class was 97%, indicating that of 2,752 genuinely high-risk applicants in the test set, the model correctly identified 2,677 and failed to identify only 75.</w:t>
      </w:r>
    </w:p>
    <w:p>
      <w:pPr>
        <w:pStyle w:val="Heading3"/>
        <w:spacing w:lineRule="auto" w:line="276" w:before="220" w:after="120"/>
        <w:jc w:val="both"/>
        <w:rPr/>
      </w:pPr>
      <w:r>
        <w:rPr/>
        <w:t>5.4.4 False Positive and False Negative Analysis</w:t>
      </w:r>
    </w:p>
    <w:p>
      <w:pPr>
        <w:pStyle w:val="Normal"/>
        <w:spacing w:lineRule="auto" w:line="276" w:before="0" w:after="180"/>
        <w:jc w:val="both"/>
        <w:rPr/>
      </w:pPr>
      <w:r>
        <w:rPr/>
        <w:t>The FP/FN ratio was 5.11, meaning the model produced approximately five false positives for every false negative, an error profile consistent with the cost-sensitive objective of the study, which explicitly favours a higher rate of false positives (rejecting some creditworthy applicants) in exchange for a substantially lower rate of false negatives (approving defaulting applicants), given the asymmetric business cost of the two error types.</w:t>
      </w:r>
    </w:p>
    <w:p>
      <w:pPr>
        <w:pStyle w:val="Heading3"/>
        <w:spacing w:lineRule="auto" w:line="276" w:before="220" w:after="120"/>
        <w:jc w:val="both"/>
        <w:rPr/>
      </w:pPr>
      <w:r>
        <w:rPr/>
        <w:t>5.4.5 Cost-Sensitive Performance</w:t>
      </w:r>
    </w:p>
    <w:p>
      <w:pPr>
        <w:pStyle w:val="Normal"/>
        <w:spacing w:lineRule="auto" w:line="276" w:before="0" w:after="180"/>
        <w:jc w:val="both"/>
        <w:rPr/>
      </w:pPr>
      <w:r>
        <w:rPr/>
        <w:t>The total business cost achieved by the final model at the cost-optimal threshold, computed using the custom cost function described in Section 4.9.1 (which penalises false negatives more heavily than false positives), was 570.5 on the evaluated test batch, providing the baseline against which the selective prediction framework described in Section 5.7 was subsequently compared.</w:t>
      </w:r>
    </w:p>
    <w:p>
      <w:pPr>
        <w:pStyle w:val="Normal"/>
        <w:spacing w:lineRule="auto" w:line="276" w:before="0" w:after="0"/>
        <w:jc w:val="both"/>
        <w:rPr/>
      </w:pPr>
      <w:r>
        <w:rPr/>
      </w:r>
    </w:p>
    <w:tbl>
      <w:tblPr>
        <w:tblW w:w="8640" w:type="dxa"/>
        <w:jc w:val="left"/>
        <w:tblInd w:w="113" w:type="dxa"/>
        <w:tblLayout w:type="fixed"/>
        <w:tblCellMar>
          <w:top w:w="0" w:type="dxa"/>
          <w:left w:w="108" w:type="dxa"/>
          <w:bottom w:w="0" w:type="dxa"/>
          <w:right w:w="108" w:type="dxa"/>
        </w:tblCellMar>
      </w:tblPr>
      <w:tblGrid>
        <w:gridCol w:w="2640"/>
        <w:gridCol w:w="1997"/>
        <w:gridCol w:w="2001"/>
        <w:gridCol w:w="2002"/>
      </w:tblGrid>
      <w:tr>
        <w:trPr/>
        <w:tc>
          <w:tcPr>
            <w:tcW w:w="26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Metric</w:t>
            </w:r>
          </w:p>
        </w:tc>
        <w:tc>
          <w:tcPr>
            <w:tcW w:w="1997"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Training</w:t>
            </w:r>
          </w:p>
        </w:tc>
        <w:tc>
          <w:tcPr>
            <w:tcW w:w="200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Validation</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Test</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AUC</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0.985*</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0.9718</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0.9763</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Accuracy</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91.0%</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Precision (default class)</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87.5%</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Recall (default class)</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97.3%</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F1-score (default class)</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92.1%</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FP/FN ratio</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5.11</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Total business cost</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570.5</w:t>
            </w:r>
          </w:p>
        </w:tc>
      </w:tr>
    </w:tbl>
    <w:p>
      <w:pPr>
        <w:pStyle w:val="Normal"/>
        <w:spacing w:before="120" w:after="160"/>
        <w:jc w:val="center"/>
        <w:rPr/>
      </w:pPr>
      <w:r>
        <w:rPr>
          <w:i/>
          <w:sz w:val="20"/>
        </w:rPr>
        <w:t>Table 5.2 — Classification metrics on the training, validation, and test sets</w:t>
      </w:r>
    </w:p>
    <w:p>
      <w:pPr>
        <w:pStyle w:val="Normal"/>
        <w:spacing w:before="0" w:after="0"/>
        <w:rPr/>
      </w:pPr>
      <w:r>
        <w:rPr/>
      </w:r>
    </w:p>
    <w:p>
      <w:pPr>
        <w:pStyle w:val="Normal"/>
        <w:rPr/>
      </w:pPr>
      <w:r>
        <w:rPr/>
      </w:r>
      <w:r>
        <w:br w:type="page"/>
      </w:r>
    </w:p>
    <w:p>
      <w:pPr>
        <w:pStyle w:val="Normal"/>
        <w:spacing w:lineRule="auto" w:line="240" w:before="0" w:after="0"/>
        <w:jc w:val="center"/>
        <w:rPr>
          <w:i/>
          <w:sz w:val="20"/>
        </w:rPr>
      </w:pPr>
      <w:r>
        <w:rPr>
          <w:i/>
          <w:sz w:val="20"/>
        </w:rPr>
      </w:r>
    </w:p>
    <w:p>
      <w:pPr>
        <w:pStyle w:val="Heading2"/>
        <w:spacing w:lineRule="auto" w:line="276" w:before="300" w:after="150"/>
        <w:jc w:val="both"/>
        <w:rPr/>
      </w:pPr>
      <w:r>
        <w:rPr/>
        <w:t>5.5 Explainability Results</w:t>
      </w:r>
    </w:p>
    <w:p>
      <w:pPr>
        <w:pStyle w:val="Heading3"/>
        <w:spacing w:lineRule="auto" w:line="276" w:before="220" w:after="120"/>
        <w:jc w:val="both"/>
        <w:rPr/>
      </w:pPr>
      <w:r>
        <w:rPr/>
        <w:t>5.5.1 Global SHAP Feature Importance</w:t>
      </w:r>
    </w:p>
    <w:p>
      <w:pPr>
        <w:pStyle w:val="Normal"/>
        <w:spacing w:lineRule="auto" w:line="276" w:before="0" w:after="180"/>
        <w:jc w:val="both"/>
        <w:rPr/>
      </w:pPr>
      <w:r>
        <w:rPr/>
        <w:t>The global SHAP summary confirmed credit_score, debt_to_income_ratio, credit_history_years, and loan_to_income_ratio as the dominant predictors of the model's output, consistent with the XGBoost and permutation importance results reported in Section 5.2.</w:t>
      </w:r>
    </w:p>
    <w:p>
      <w:pPr>
        <w:pStyle w:val="Normal"/>
        <w:spacing w:lineRule="auto" w:line="276" w:before="0" w:after="180"/>
        <w:jc w:val="both"/>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486400" cy="4382135"/>
            <wp:effectExtent l="0" t="0" r="0" b="0"/>
            <wp:wrapSquare wrapText="largest"/>
            <wp:docPr id="1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pic:cNvPicPr>
                      <a:picLocks noChangeAspect="1" noChangeArrowheads="1"/>
                    </pic:cNvPicPr>
                  </pic:nvPicPr>
                  <pic:blipFill>
                    <a:blip r:embed="rId19"/>
                    <a:stretch>
                      <a:fillRect/>
                    </a:stretch>
                  </pic:blipFill>
                  <pic:spPr bwMode="auto">
                    <a:xfrm>
                      <a:off x="0" y="0"/>
                      <a:ext cx="5486400" cy="4382135"/>
                    </a:xfrm>
                    <a:prstGeom prst="rect">
                      <a:avLst/>
                    </a:prstGeom>
                    <a:noFill/>
                  </pic:spPr>
                </pic:pic>
              </a:graphicData>
            </a:graphic>
          </wp:anchor>
        </w:drawing>
      </w:r>
    </w:p>
    <w:p>
      <w:pPr>
        <w:pStyle w:val="Normal"/>
        <w:jc w:val="center"/>
        <w:rPr/>
      </w:pPr>
      <w:r>
        <w:rPr>
          <w:i/>
          <w:sz w:val="20"/>
        </w:rPr>
        <w:t>Figure 5.</w:t>
      </w:r>
      <w:r>
        <w:rPr>
          <w:i/>
          <w:sz w:val="20"/>
          <w:lang w:val="en-US"/>
        </w:rPr>
        <w:t>2</w:t>
      </w:r>
      <w:r>
        <w:rPr>
          <w:i/>
          <w:sz w:val="20"/>
        </w:rPr>
        <w:t xml:space="preserve"> — Top 15 XGBoost feature importances for the final model</w:t>
      </w:r>
    </w:p>
    <w:p>
      <w:pPr>
        <w:pStyle w:val="Heading3"/>
        <w:spacing w:lineRule="auto" w:line="276" w:before="220" w:after="120"/>
        <w:jc w:val="both"/>
        <w:rPr/>
      </w:pPr>
      <w:r>
        <w:rPr/>
        <w:t>5.5.2 Top Predictive Features</w:t>
      </w:r>
    </w:p>
    <w:p>
      <w:pPr>
        <w:pStyle w:val="Normal"/>
        <w:spacing w:lineRule="auto" w:line="276" w:before="0" w:after="180"/>
        <w:jc w:val="both"/>
        <w:rPr/>
      </w:pPr>
      <w:r>
        <w:rPr/>
        <w:t>The top ten features by SHAP importance collectively explained approximately 84.6% of the model's decisions, indicating that the model's behaviour is driven predominantly by a compact, financially interpretable set of variables rather than being diffusely spread across the full engineered feature set.</w:t>
      </w:r>
    </w:p>
    <w:tbl>
      <w:tblPr>
        <w:tblW w:w="8640" w:type="dxa"/>
        <w:jc w:val="left"/>
        <w:tblInd w:w="113" w:type="dxa"/>
        <w:tblLayout w:type="fixed"/>
        <w:tblCellMar>
          <w:top w:w="0" w:type="dxa"/>
          <w:left w:w="108" w:type="dxa"/>
          <w:bottom w:w="0" w:type="dxa"/>
          <w:right w:w="108" w:type="dxa"/>
        </w:tblCellMar>
      </w:tblPr>
      <w:tblGrid>
        <w:gridCol w:w="900"/>
        <w:gridCol w:w="4500"/>
        <w:gridCol w:w="3240"/>
      </w:tblGrid>
      <w:tr>
        <w:trPr/>
        <w:tc>
          <w:tcPr>
            <w:tcW w:w="9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Rank</w:t>
            </w:r>
          </w:p>
        </w:tc>
        <w:tc>
          <w:tcPr>
            <w:tcW w:w="45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Feature</w:t>
            </w:r>
          </w:p>
        </w:tc>
        <w:tc>
          <w:tcPr>
            <w:tcW w:w="32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Category</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credit_score</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 history &amp; risk</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debt_to_income_ratio</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 ratio</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credit_history_years</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 history &amp; risk</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loan_to_income_ratio</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Financial ratio</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loan_intent (encoded)</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Loan information</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6–10</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Additional financial and credit-history features (e.g. annual_income_log, interest_rate_scaled, payment_to_income_ratio_scaled)</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Mixed</w:t>
            </w:r>
          </w:p>
        </w:tc>
      </w:tr>
    </w:tbl>
    <w:p>
      <w:pPr>
        <w:pStyle w:val="Normal"/>
        <w:spacing w:before="120" w:after="160"/>
        <w:jc w:val="center"/>
        <w:rPr/>
      </w:pPr>
      <w:r>
        <w:rPr>
          <w:i/>
          <w:sz w:val="20"/>
        </w:rPr>
        <w:t>Table 5.3 — Global SHAP feature-importance ranking (top ten features)</w:t>
      </w:r>
    </w:p>
    <w:p>
      <w:pPr>
        <w:pStyle w:val="Heading3"/>
        <w:spacing w:lineRule="auto" w:line="276" w:before="220" w:after="120"/>
        <w:jc w:val="both"/>
        <w:rPr/>
      </w:pPr>
      <w:r>
        <w:rPr/>
        <w:t>5.5.3 SHAP Dependence Analysis</w:t>
      </w:r>
    </w:p>
    <w:p>
      <w:pPr>
        <w:pStyle w:val="Normal"/>
        <w:spacing w:lineRule="auto" w:line="276" w:before="0" w:after="180"/>
        <w:jc w:val="both"/>
        <w:rPr/>
      </w:pPr>
      <w:r>
        <w:rPr/>
        <w:t>SHAP dependence plots for the top-ranked features illustrated generally monotonic relationships consistent with domain expectations, for example, higher credit_score values and lower debt_to_income_ratio values were associated with lower Shapley contributions to predicted default risk, confirming that the model's learned relationships align with established credit-risk intuition.</w:t>
      </w:r>
    </w:p>
    <w:p>
      <w:pPr>
        <w:pStyle w:val="Heading3"/>
        <w:spacing w:lineRule="auto" w:line="276" w:before="220" w:after="120"/>
        <w:jc w:val="both"/>
        <w:rPr/>
      </w:pPr>
      <w:r>
        <w:rPr/>
        <w:t>5.5.4 SHAP Waterfall Analysis</w:t>
      </w:r>
    </w:p>
    <w:p>
      <w:pPr>
        <w:pStyle w:val="Normal"/>
        <w:spacing w:lineRule="auto" w:line="276" w:before="0" w:after="180"/>
        <w:jc w:val="both"/>
        <w:rPr/>
      </w:pPr>
      <w:r>
        <w:rPr/>
        <w:t>Local SHAP waterfall plots for representative individual applicants illustrated how the base (average) predicted probability of default was adjusted, feature by feature, to arrive at the final predicted probability for that applicant, providing an auditable, case-level explanation suitable for presentation to a loan officer or a regulator.</w:t>
      </w:r>
    </w:p>
    <w:p>
      <w:pPr>
        <w:pStyle w:val="Heading3"/>
        <w:spacing w:lineRule="auto" w:line="276" w:before="220" w:after="120"/>
        <w:jc w:val="both"/>
        <w:rPr/>
      </w:pPr>
      <w:r>
        <w:rPr/>
        <w:t>5.5.5 Explanation of Correct and Incorrect Predictions</w:t>
      </w:r>
    </w:p>
    <w:p>
      <w:pPr>
        <w:pStyle w:val="Normal"/>
        <w:spacing w:lineRule="auto" w:line="276" w:before="0" w:after="180"/>
        <w:jc w:val="both"/>
        <w:rPr/>
      </w:pPr>
      <w:r>
        <w:rPr/>
        <w:t>Local explanations for the 75 test-set false negatives showed that these applicants tended to present a financial profile close to the model's decision boundary, with moderately favourable values on several key features (for example, an acceptable but not strong credit_score) offset by adverse values on others, illustrating the kind of genuinely ambiguous case that the selective prediction framework introduced in Section 5.7 is designed to route to human review rather than to an automatic decision.</w:t>
      </w:r>
    </w:p>
    <w:p>
      <w:pPr>
        <w:pStyle w:val="Normal"/>
        <w:spacing w:lineRule="auto" w:line="276"/>
        <w:jc w:val="both"/>
        <w:rPr/>
      </w:pPr>
      <w:r>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4897755" cy="5885815"/>
            <wp:effectExtent l="0" t="0" r="0" b="0"/>
            <wp:wrapSquare wrapText="largest"/>
            <wp:docPr id="1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pic:cNvPicPr>
                      <a:picLocks noChangeAspect="1" noChangeArrowheads="1"/>
                    </pic:cNvPicPr>
                  </pic:nvPicPr>
                  <pic:blipFill>
                    <a:blip r:embed="rId20"/>
                    <a:stretch>
                      <a:fillRect/>
                    </a:stretch>
                  </pic:blipFill>
                  <pic:spPr bwMode="auto">
                    <a:xfrm>
                      <a:off x="0" y="0"/>
                      <a:ext cx="4897755" cy="5885815"/>
                    </a:xfrm>
                    <a:prstGeom prst="rect">
                      <a:avLst/>
                    </a:prstGeom>
                    <a:noFill/>
                  </pic:spPr>
                </pic:pic>
              </a:graphicData>
            </a:graphic>
          </wp:anchor>
        </w:drawing>
      </w:r>
    </w:p>
    <w:p>
      <w:pPr>
        <w:pStyle w:val="Normal"/>
        <w:jc w:val="center"/>
        <w:rPr/>
      </w:pPr>
      <w:r>
        <w:rPr>
          <w:i/>
          <w:sz w:val="20"/>
        </w:rPr>
        <w:t>Figure 5.</w:t>
      </w:r>
      <w:r>
        <w:rPr>
          <w:i/>
          <w:sz w:val="20"/>
          <w:lang w:val="en-US"/>
        </w:rPr>
        <w:t>3</w:t>
      </w:r>
      <w:r>
        <w:rPr>
          <w:i/>
          <w:sz w:val="20"/>
        </w:rPr>
        <w:t xml:space="preserve"> — Global SHAP summary (beeswarm) plot of feature importance</w:t>
      </w:r>
    </w:p>
    <w:p>
      <w:pPr>
        <w:pStyle w:val="Heading2"/>
        <w:spacing w:lineRule="auto" w:line="276" w:before="300" w:after="150"/>
        <w:jc w:val="both"/>
        <w:rPr/>
      </w:pPr>
      <w:r>
        <w:rPr/>
        <w:t>5.6 Reliability Monitoring Results</w:t>
      </w:r>
    </w:p>
    <w:p>
      <w:pPr>
        <w:pStyle w:val="Heading3"/>
        <w:spacing w:lineRule="auto" w:line="276" w:before="220" w:after="120"/>
        <w:jc w:val="both"/>
        <w:rPr/>
      </w:pPr>
      <w:r>
        <w:rPr/>
        <w:t>5.6.1 Reference Baseline Performance</w:t>
      </w:r>
    </w:p>
    <w:p>
      <w:pPr>
        <w:pStyle w:val="Normal"/>
        <w:spacing w:lineRule="auto" w:line="276" w:before="0" w:after="180"/>
        <w:jc w:val="both"/>
        <w:rPr/>
      </w:pPr>
      <w:r>
        <w:rPr/>
        <w:t>The reference baseline, constructed from the training and validation data, recorded a reference AUC of 0.9718 and a reference mean predicted probability of default of 0.5404, against which the simulated new-data (test-set) monitoring results were subsequently compared. The reference baseline was constructed from 5,000 reference samples and, evaluated at the reference operating threshold, yielded a reference confusion matrix of 88 false negatives and 404 false positives, an FP/FN ratio of 4.59, a total reference business cost of 624.00, and a reference approval rate of 38.62%. These reference-period statistics constitute the fixed comparison point against which the feature-level, prediction-level, and performance-level monitoring results reported in Sections 5.6.2 to 5.6.4 were subsequently evaluated.</w:t>
      </w:r>
    </w:p>
    <w:p>
      <w:pPr>
        <w:pStyle w:val="Heading3"/>
        <w:spacing w:lineRule="auto" w:line="276" w:before="220" w:after="120"/>
        <w:jc w:val="both"/>
        <w:rPr/>
      </w:pPr>
      <w:r>
        <w:rPr/>
        <w:t>5.6.2 Feature-Level Drift Results</w:t>
      </w:r>
    </w:p>
    <w:p>
      <w:pPr>
        <w:pStyle w:val="Normal"/>
        <w:spacing w:lineRule="auto" w:line="276" w:before="0" w:after="180"/>
        <w:jc w:val="both"/>
        <w:rPr/>
      </w:pPr>
      <w:r>
        <w:rPr/>
        <w:t>Across the ten most important features, PSI values ranged from approximately 0.003 to 0.008 (for example, 0.008 for credit_score and 0.006 for annual_income), and KS statistics ranged from approximately 0.01 to 0.03, both well within the conventional 'stable' range (PSI below 0.10), indicating that no severe or moderate feature-level drift was detected between the reference and new-data distributions, as expected given that both were drawn from the same underlying dataset in this simulated evaluation.</w:t>
      </w:r>
    </w:p>
    <w:p>
      <w:pPr>
        <w:pStyle w:val="Normal"/>
        <w:spacing w:lineRule="auto" w:line="276" w:before="0" w:after="0"/>
        <w:jc w:val="both"/>
        <w:rPr/>
      </w:pPr>
      <w:r>
        <w:rPr/>
      </w:r>
    </w:p>
    <w:tbl>
      <w:tblPr>
        <w:tblW w:w="8640" w:type="dxa"/>
        <w:jc w:val="left"/>
        <w:tblInd w:w="113" w:type="dxa"/>
        <w:tblLayout w:type="fixed"/>
        <w:tblCellMar>
          <w:top w:w="0" w:type="dxa"/>
          <w:left w:w="108" w:type="dxa"/>
          <w:bottom w:w="0" w:type="dxa"/>
          <w:right w:w="108" w:type="dxa"/>
        </w:tblCellMar>
      </w:tblPr>
      <w:tblGrid>
        <w:gridCol w:w="3040"/>
        <w:gridCol w:w="1597"/>
        <w:gridCol w:w="2001"/>
        <w:gridCol w:w="2002"/>
      </w:tblGrid>
      <w:tr>
        <w:trPr/>
        <w:tc>
          <w:tcPr>
            <w:tcW w:w="30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Feature / Distribution</w:t>
            </w:r>
          </w:p>
        </w:tc>
        <w:tc>
          <w:tcPr>
            <w:tcW w:w="1597"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PSI</w:t>
            </w:r>
          </w:p>
        </w:tc>
        <w:tc>
          <w:tcPr>
            <w:tcW w:w="200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KS statistic</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Status</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credit_score</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0.008</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annual_income</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0.006</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Remaining 8 of top-10 ranked features</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0.003–0.008</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Predicted-probability (output) distribution</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0.005</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bl>
    <w:p>
      <w:pPr>
        <w:pStyle w:val="Normal"/>
        <w:spacing w:before="120" w:after="160"/>
        <w:jc w:val="center"/>
        <w:rPr/>
      </w:pPr>
      <w:r>
        <w:rPr>
          <w:i/>
          <w:sz w:val="20"/>
        </w:rPr>
        <w:t>Table 5.4 — Reliability-monitoring results: feature-level PSI and KS statistics</w:t>
      </w:r>
    </w:p>
    <w:p>
      <w:pPr>
        <w:pStyle w:val="Normal"/>
        <w:spacing w:before="0" w:after="160"/>
        <w:rPr/>
      </w:pPr>
      <w:r>
        <w:rPr>
          <w:i/>
          <w:sz w:val="18"/>
        </w:rPr>
        <w:t>All reported PSI values fall below the 0.10 threshold defined in Section 3.9.2, indicating no significant feature-level or prediction-level drift.</w:t>
      </w:r>
    </w:p>
    <w:p>
      <w:pPr>
        <w:pStyle w:val="Heading3"/>
        <w:spacing w:lineRule="auto" w:line="276" w:before="220" w:after="120"/>
        <w:jc w:val="both"/>
        <w:rPr/>
      </w:pPr>
      <w:r>
        <w:rPr/>
        <w:t>5.6.3 Prediction Drift Results</w:t>
      </w:r>
    </w:p>
    <w:p>
      <w:pPr>
        <w:pStyle w:val="Normal"/>
        <w:spacing w:lineRule="auto" w:line="276" w:before="0" w:after="180"/>
        <w:jc w:val="both"/>
        <w:rPr/>
      </w:pPr>
      <w:r>
        <w:rPr/>
        <w:t>The mean predicted probability shifted only marginally, from 0.5404 (reference) to 0.5394 (new data), a difference of approximately 0.001, and the implied approval rate shifted from 38.62% (reference) to 38.80% (new data), a difference of 0.18%. The Prediction PSI was 0.005, far below the conventional 0.10 threshold, indicating no meaningful shift in the distribution of the model's outputs.</w:t>
      </w:r>
    </w:p>
    <w:p>
      <w:pPr>
        <w:pStyle w:val="Heading3"/>
        <w:spacing w:lineRule="auto" w:line="276" w:before="220" w:after="120"/>
        <w:jc w:val="both"/>
        <w:rPr/>
      </w:pPr>
      <w:r>
        <w:rPr/>
        <w:t>5.6.4 Model Performance Stability</w:t>
      </w:r>
    </w:p>
    <w:p>
      <w:pPr>
        <w:pStyle w:val="Normal"/>
        <w:spacing w:lineRule="auto" w:line="276" w:before="0" w:after="180"/>
        <w:jc w:val="both"/>
        <w:rPr/>
      </w:pPr>
      <w:r>
        <w:rPr/>
        <w:t>Performance monitoring on the new (test) data recorded an AUC of 0.9763, marginally higher than the reference AUC of 0.9718, together with the confusion matrix reported in Section 5.4.2 (TN = 1,865; FP = 383; FN = 75; TP = 2,677), an FP/FN ratio of 5.11, and a total business cost of 570.5. On this evidence, model performance was assessed as stable, with no degradation detected relative to the reference period.</w:t>
      </w:r>
    </w:p>
    <w:p>
      <w:pPr>
        <w:pStyle w:val="Heading2"/>
        <w:spacing w:lineRule="auto" w:line="276" w:before="300" w:after="150"/>
        <w:jc w:val="both"/>
        <w:rPr/>
      </w:pPr>
      <w:r>
        <w:rPr/>
        <w:t>5.7 Selective Prediction Results</w:t>
      </w:r>
    </w:p>
    <w:p>
      <w:pPr>
        <w:pStyle w:val="Heading3"/>
        <w:spacing w:lineRule="auto" w:line="276" w:before="220" w:after="120"/>
        <w:jc w:val="both"/>
        <w:rPr/>
      </w:pPr>
      <w:r>
        <w:rPr/>
        <w:t>5.7.1 Optimization of Selective Prediction Thresholds</w:t>
      </w:r>
    </w:p>
    <w:p>
      <w:pPr>
        <w:pStyle w:val="Normal"/>
        <w:spacing w:lineRule="auto" w:line="276" w:before="0" w:after="180"/>
        <w:jc w:val="both"/>
        <w:rPr/>
      </w:pPr>
      <w:r>
        <w:rPr/>
        <w:t>The two-threshold search described in Section 4.13.5 identified an optimal threshold pair with the manual-review zone centred close to the interval [0.20, 0.60], the specific values of t1 and t2 having been selected to minimise total business cost on the validation set subject to a practical constraint on the proportion of applications referred to manual review.</w:t>
      </w:r>
    </w:p>
    <w:p>
      <w:pPr>
        <w:pStyle w:val="Heading3"/>
        <w:spacing w:lineRule="auto" w:line="276" w:before="220" w:after="120"/>
        <w:jc w:val="both"/>
        <w:rPr/>
      </w:pPr>
      <w:r>
        <w:rPr/>
        <w:t>5.7.2 Automated Decision Coverage</w:t>
      </w:r>
    </w:p>
    <w:p>
      <w:pPr>
        <w:pStyle w:val="Normal"/>
        <w:spacing w:lineRule="auto" w:line="276" w:before="0" w:after="180"/>
        <w:jc w:val="both"/>
        <w:rPr/>
      </w:pPr>
      <w:r>
        <w:rPr/>
        <w:t>Under the optimised threshold pair, approximately 87.7% of test-set applications were handled entirely automatically (either automatically approved or automatically rejected), without requiring human review.</w:t>
      </w:r>
    </w:p>
    <w:p>
      <w:pPr>
        <w:pStyle w:val="Heading3"/>
        <w:spacing w:lineRule="auto" w:line="276" w:before="220" w:after="120"/>
        <w:jc w:val="both"/>
        <w:rPr/>
      </w:pPr>
      <w:r>
        <w:rPr/>
        <w:t>5.7.3 Manual Review Rate</w:t>
      </w:r>
    </w:p>
    <w:p>
      <w:pPr>
        <w:pStyle w:val="Normal"/>
        <w:spacing w:lineRule="auto" w:line="276" w:before="0" w:after="180"/>
        <w:jc w:val="both"/>
        <w:rPr/>
      </w:pPr>
      <w:r>
        <w:rPr/>
        <w:t>The remaining 12.3% of test-set applications were referred to the manual-review zone, reflecting applicants whose predicted probability of default fell close to the centre of the ambiguous [0.20, 0.60] interval and for whom the model's confidence was judged insufficient to support a fully automated decision.</w:t>
      </w:r>
    </w:p>
    <w:p>
      <w:pPr>
        <w:pStyle w:val="Heading3"/>
        <w:spacing w:lineRule="auto" w:line="276" w:before="220" w:after="120"/>
        <w:jc w:val="both"/>
        <w:rPr/>
      </w:pPr>
      <w:r>
        <w:rPr/>
        <w:t>5.7.4 Confusion Matrix for Automated Decisions</w:t>
      </w:r>
    </w:p>
    <w:p>
      <w:pPr>
        <w:pStyle w:val="Normal"/>
        <w:spacing w:lineRule="auto" w:line="276" w:before="0" w:after="180"/>
        <w:jc w:val="both"/>
        <w:rPr/>
      </w:pPr>
      <w:r>
        <w:rPr/>
        <w:t>Restricting the confusion matrix to the automatically decided applicants only (excluding those referred to manual review) showed a substantially reduced number of false negatives relative to the single-threshold baseline reported in Section 5.4.2, consistent with the design objective of the selective prediction framework, which routes the model's most ambiguous, error-prone cases to human review rather than resolving them automatically.</w:t>
      </w:r>
    </w:p>
    <w:p>
      <w:pPr>
        <w:pStyle w:val="Heading3"/>
        <w:spacing w:lineRule="auto" w:line="276" w:before="220" w:after="120"/>
        <w:jc w:val="both"/>
        <w:rPr/>
      </w:pPr>
      <w:r>
        <w:rPr/>
        <w:t>5.7.5 Reduction in False Negatives</w:t>
      </w:r>
    </w:p>
    <w:p>
      <w:pPr>
        <w:pStyle w:val="Normal"/>
        <w:spacing w:lineRule="auto" w:line="276" w:before="0" w:after="180"/>
        <w:jc w:val="both"/>
        <w:rPr/>
      </w:pPr>
      <w:r>
        <w:rPr/>
        <w:t>Relative to the single-threshold baseline, the selective prediction framework reduced the number of false negatives among automatically decided applicants by approximately 58.7%, substantially lowering the number of high-risk borrowers who would otherwise have been approved automatically.</w:t>
      </w:r>
    </w:p>
    <w:p>
      <w:pPr>
        <w:pStyle w:val="Heading3"/>
        <w:spacing w:lineRule="auto" w:line="276" w:before="220" w:after="120"/>
        <w:jc w:val="both"/>
        <w:rPr/>
      </w:pPr>
      <w:r>
        <w:rPr/>
        <w:t>5.7.6 Reduction in Business Cost</w:t>
      </w:r>
    </w:p>
    <w:p>
      <w:pPr>
        <w:pStyle w:val="Normal"/>
        <w:spacing w:lineRule="auto" w:line="276" w:before="0" w:after="180"/>
        <w:jc w:val="both"/>
        <w:rPr/>
      </w:pPr>
      <w:r>
        <w:rPr/>
        <w:t>The selective prediction framework reduced the total weighted business cost, computed over the automatically decided applicants, by approximately 58.5% relative to the single-threshold baseline, providing clear quantitative evidence of the business value of introducing a manual-review zone for genuinely ambiguous applicants.</w:t>
      </w:r>
    </w:p>
    <w:p>
      <w:pPr>
        <w:pStyle w:val="Heading2"/>
        <w:spacing w:lineRule="auto" w:line="276" w:before="300" w:after="150"/>
        <w:jc w:val="both"/>
        <w:rPr/>
      </w:pPr>
      <w:r>
        <w:rPr/>
        <w:t>5.8 Comparison of Single-Threshold and Selective Prediction</w:t>
      </w:r>
    </w:p>
    <w:p>
      <w:pPr>
        <w:pStyle w:val="Heading3"/>
        <w:spacing w:lineRule="auto" w:line="276" w:before="220" w:after="120"/>
        <w:jc w:val="both"/>
        <w:rPr/>
      </w:pPr>
      <w:r>
        <w:rPr/>
        <w:t>5.8.1 Performance Comparison</w:t>
      </w:r>
    </w:p>
    <w:p>
      <w:pPr>
        <w:pStyle w:val="Normal"/>
        <w:spacing w:lineRule="auto" w:line="276" w:before="0" w:after="180"/>
        <w:jc w:val="both"/>
        <w:rPr/>
      </w:pPr>
      <w:r>
        <w:rPr/>
        <w:t>The selective prediction framework achieved materially lower false-negative and false-positive counts, on a per-automatically-decided-applicant basis, than the single-threshold baseline evaluated on the full test set, at the cost of leaving approximately one in eight applications undecided by the model.</w:t>
      </w:r>
    </w:p>
    <w:p>
      <w:pPr>
        <w:pStyle w:val="Heading3"/>
        <w:spacing w:lineRule="auto" w:line="276" w:before="220" w:after="120"/>
        <w:jc w:val="both"/>
        <w:rPr/>
      </w:pPr>
      <w:r>
        <w:rPr/>
        <w:t>5.8.2 Error Reduction</w:t>
      </w:r>
    </w:p>
    <w:p>
      <w:pPr>
        <w:pStyle w:val="Normal"/>
        <w:spacing w:lineRule="auto" w:line="276" w:before="0" w:after="180"/>
        <w:jc w:val="both"/>
        <w:rPr/>
      </w:pPr>
      <w:r>
        <w:rPr/>
        <w:t>The approximately 58.7% reduction in false negatives achieved by the selective prediction framework represents the single most business-relevant improvement identified in this study, given the outsized financial cost associated with this specific error type in the credit-risk setting.</w:t>
      </w:r>
    </w:p>
    <w:p>
      <w:pPr>
        <w:pStyle w:val="Heading3"/>
        <w:spacing w:lineRule="auto" w:line="276" w:before="220" w:after="120"/>
        <w:jc w:val="both"/>
        <w:rPr/>
      </w:pPr>
      <w:r>
        <w:rPr/>
        <w:t>5.8.3 Cost Reduction</w:t>
      </w:r>
    </w:p>
    <w:p>
      <w:pPr>
        <w:pStyle w:val="Normal"/>
        <w:spacing w:lineRule="auto" w:line="276" w:before="0" w:after="180"/>
        <w:jc w:val="both"/>
        <w:rPr/>
      </w:pPr>
      <w:r>
        <w:rPr/>
        <w:t>The approximately 58.5% reduction in total business cost closely tracks the reduction in false negatives, confirming that the business cost function is, as intended, predominantly driven by the false-negative penalty term rather than the false-positive penalty term.</w:t>
      </w:r>
    </w:p>
    <w:tbl>
      <w:tblPr>
        <w:tblW w:w="8640" w:type="dxa"/>
        <w:jc w:val="left"/>
        <w:tblInd w:w="113" w:type="dxa"/>
        <w:tblLayout w:type="fixed"/>
        <w:tblCellMar>
          <w:top w:w="0" w:type="dxa"/>
          <w:left w:w="108" w:type="dxa"/>
          <w:bottom w:w="0" w:type="dxa"/>
          <w:right w:w="108" w:type="dxa"/>
        </w:tblCellMar>
      </w:tblPr>
      <w:tblGrid>
        <w:gridCol w:w="3040"/>
        <w:gridCol w:w="2200"/>
        <w:gridCol w:w="2400"/>
        <w:gridCol w:w="1000"/>
      </w:tblGrid>
      <w:tr>
        <w:trPr/>
        <w:tc>
          <w:tcPr>
            <w:tcW w:w="30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left"/>
              <w:rPr/>
            </w:pPr>
            <w:r>
              <w:rPr>
                <w:b/>
                <w:sz w:val="20"/>
                <w:szCs w:val="20"/>
              </w:rPr>
              <w:t>Metric</w:t>
            </w:r>
          </w:p>
        </w:tc>
        <w:tc>
          <w:tcPr>
            <w:tcW w:w="22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Single-Threshold Baseline</w:t>
            </w:r>
          </w:p>
        </w:tc>
        <w:tc>
          <w:tcPr>
            <w:tcW w:w="24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Selective Prediction Framework</w:t>
            </w:r>
          </w:p>
        </w:tc>
        <w:tc>
          <w:tcPr>
            <w:tcW w:w="10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Change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Applications decided automatically</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100%</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87.7%</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12.3 pp</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Applications referred to manual review</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12.3%</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+12.3 pp</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False negatives</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75</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31</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58.7%</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left"/>
              <w:rPr/>
            </w:pPr>
            <w:r>
              <w:rPr>
                <w:sz w:val="20"/>
                <w:szCs w:val="20"/>
              </w:rPr>
              <w:t>Total business cost</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570.5</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236.8</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58.5%</w:t>
            </w:r>
          </w:p>
        </w:tc>
      </w:tr>
    </w:tbl>
    <w:p>
      <w:pPr>
        <w:pStyle w:val="Normal"/>
        <w:spacing w:before="120" w:after="160"/>
        <w:jc w:val="center"/>
        <w:rPr/>
      </w:pPr>
      <w:r>
        <w:rPr>
          <w:i/>
          <w:sz w:val="20"/>
        </w:rPr>
        <w:t>Table 5.5 – Comparison of single-threshold and selective prediction results</w:t>
      </w:r>
    </w:p>
    <w:p>
      <w:pPr>
        <w:pStyle w:val="Heading3"/>
        <w:spacing w:lineRule="auto" w:line="276" w:before="220" w:after="120"/>
        <w:jc w:val="both"/>
        <w:rPr/>
      </w:pPr>
      <w:r>
        <w:rPr/>
        <w:t>5.8.4 Trade-Off Between Automation and Manual Review</w:t>
      </w:r>
    </w:p>
    <w:p>
      <w:pPr>
        <w:pStyle w:val="Normal"/>
        <w:spacing w:lineRule="auto" w:line="276" w:before="0" w:after="180"/>
        <w:jc w:val="both"/>
        <w:rPr/>
      </w:pPr>
      <w:r>
        <w:rPr/>
        <w:t>The central trade-off exposed by this comparison is that greater automation (approached, in the limit, by the single-threshold baseline, which automates 100% of decisions) comes at the cost of higher business cost and more false negatives, while introducing a manual-review zone substantially reduces both, at the operational cost of the loan-officer time required to review the 12.3% of applications referred for manual review. Section 6.6 discusses the practical implications of this trade-off in more detail.</w:t>
      </w:r>
    </w:p>
    <w:p>
      <w:pPr>
        <w:pStyle w:val="Heading2"/>
        <w:spacing w:lineRule="auto" w:line="276" w:before="300" w:after="150"/>
        <w:jc w:val="both"/>
        <w:rPr/>
      </w:pPr>
      <w:r>
        <w:rPr/>
        <w:t>5.9 Integrated Reliability and Decision-Making Results</w:t>
      </w:r>
    </w:p>
    <w:p>
      <w:pPr>
        <w:pStyle w:val="Normal"/>
        <w:spacing w:lineRule="auto" w:line="276" w:before="0" w:after="180"/>
        <w:jc w:val="both"/>
        <w:rPr/>
      </w:pPr>
      <w:r>
        <w:rPr/>
        <w:t>Taken together, the results reported in this chapter demonstrate a coherent, end-to-end pipeline: a data-cleaning process that correctly diagnosed and resolved a large-scale scaling artefact rather than discarding the majority of the dataset; an exploratory analysis and feature-engineering process that produced a well-behaved, informative feature set; a feature-selection process in which three independent techniques converged on a consistent set of dominant predictors; a tuned XGBoost model achieving strong discrimination (test AUC 0.9763) with a small train-test generalisation gap; a cost-sensitive threshold-optimisation process that shifted the operating threshold substantially below the naive default in order to prioritise the detection of defaulting applicants (97% recall on the positive class); a SHAP-based explainability analysis that both confirmed the plausibility of the model's learned relationships and provided auditable, case-level explanations; a reliability-monitoring framework that, when applied to a simulated new-data batch, correctly reported no meaningful feature drift, prediction drift, or performance degradation; and a selective prediction framework that, by introducing a modest 12.3% manual-review rate, achieved a substantial (58.5%) reduction in business cost and a substantial (58.7%) reduction in false negatives relative to the conventional single-threshold approach. These integrated results directly address the seven research questions posed in Section 1.5 and form the basis for the discussion presented in Chapter 6.</w:t>
      </w:r>
    </w:p>
    <w:p>
      <w:pPr>
        <w:pStyle w:val="Normal"/>
        <w:spacing w:lineRule="auto" w:line="276" w:before="0" w:after="180"/>
        <w:jc w:val="both"/>
        <w:rPr/>
      </w:pPr>
      <w: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645150" cy="5106670"/>
            <wp:effectExtent l="0" t="0" r="0" b="0"/>
            <wp:wrapSquare wrapText="largest"/>
            <wp:docPr id="20"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7"/>
                    <pic:cNvPicPr>
                      <a:picLocks noChangeAspect="1" noChangeArrowheads="1"/>
                    </pic:cNvPicPr>
                  </pic:nvPicPr>
                  <pic:blipFill>
                    <a:blip r:embed="rId21"/>
                    <a:stretch>
                      <a:fillRect/>
                    </a:stretch>
                  </pic:blipFill>
                  <pic:spPr bwMode="auto">
                    <a:xfrm>
                      <a:off x="0" y="0"/>
                      <a:ext cx="5645150" cy="5106670"/>
                    </a:xfrm>
                    <a:prstGeom prst="rect">
                      <a:avLst/>
                    </a:prstGeom>
                    <a:noFill/>
                  </pic:spPr>
                </pic:pic>
              </a:graphicData>
            </a:graphic>
          </wp:anchor>
        </w:drawing>
      </w:r>
      <w:r>
        <w:br w:type="page"/>
      </w:r>
    </w:p>
    <w:p>
      <w:pPr>
        <w:pStyle w:val="Normal"/>
        <w:spacing w:lineRule="auto" w:line="240" w:before="0" w:after="0"/>
        <w:jc w:val="center"/>
        <w:rPr/>
      </w:pPr>
      <w:r>
        <w:rPr/>
      </w:r>
    </w:p>
    <w:p>
      <w:pPr>
        <w:pStyle w:val="Normal"/>
        <w:jc w:val="center"/>
        <w:rPr/>
      </w:pPr>
      <w:r>
        <w:rPr>
          <w:i/>
          <w:sz w:val="20"/>
        </w:rPr>
        <w:t>Figure 5.</w:t>
      </w:r>
      <w:r>
        <w:rPr>
          <w:i/>
          <w:sz w:val="20"/>
          <w:lang w:val="en-US"/>
        </w:rPr>
        <w:t>4</w:t>
      </w:r>
      <w:r>
        <w:rPr>
          <w:i/>
          <w:sz w:val="20"/>
        </w:rPr>
        <w:t xml:space="preserve"> — Predicted-probability distribution with selective-prediction decision zones</w:t>
      </w:r>
      <w:r>
        <w:br w:type="page"/>
      </w:r>
    </w:p>
    <w:p>
      <w:pPr>
        <w:pStyle w:val="Heading1"/>
        <w:spacing w:lineRule="auto" w:line="276" w:before="0" w:after="200"/>
        <w:jc w:val="both"/>
        <w:rPr/>
      </w:pPr>
      <w:r>
        <w:rPr/>
        <w:t>6. Discussion</w:t>
      </w:r>
    </w:p>
    <w:p>
      <w:pPr>
        <w:pStyle w:val="Heading2"/>
        <w:spacing w:lineRule="auto" w:line="276" w:before="300" w:after="150"/>
        <w:jc w:val="both"/>
        <w:rPr/>
      </w:pPr>
      <w:r>
        <w:rPr/>
        <w:t>6.1 Interpretation of the Main Findings</w:t>
      </w:r>
    </w:p>
    <w:p>
      <w:pPr>
        <w:pStyle w:val="Normal"/>
        <w:spacing w:lineRule="auto" w:line="276" w:before="0" w:after="180"/>
        <w:jc w:val="both"/>
        <w:rPr/>
      </w:pPr>
      <w:r>
        <w:rPr/>
        <w:t>The results presented in Chapter 5 support several substantive conclusions. First, the very high initial rate of apparent data corruption (97.8% of records failing a ratio-range check) illustrates that data-quality problems in real-world financial datasets are not always what they first appear to be, and that a rigorous root-cause investigation, rather than the immediate removal of flagged records, can reveal that the underlying data are in fact sound. Second, the convergence of XGBoost gain-based importance, permutation importance, and SHAP importance on a consistent core set of predictors (credit_score, debt_to_income_ratio, credit_history_years, and loan_to_income_ratio) provides strong, triangulated evidence that these variables genuinely drive credit risk in this dataset, rather than being artefacts of any single importance-computation method. Third, the strong discrimination performance achieved by the tuned XGBoost model (test AUC 0.9763) confirms that gradient boosting is well suited to this tabular, moderately imbalanced classification task. Fourth, the substantial shift in the cost-optimal threshold away from the conventional 0.5 default demonstrates, concretely, that a purely statistical evaluation of a credit model can be materially misleading if it is not grounded in the actual, asymmetric financial consequences of the two error types. Finally, the substantial improvements achieved by the selective prediction framework relative to the single-threshold baseline demonstrate that the introduction of a human-in-the-loop manual-review mechanism can deliver large business benefits for a comparatively modest increase in operational workload.</w:t>
      </w:r>
    </w:p>
    <w:p>
      <w:pPr>
        <w:pStyle w:val="Heading2"/>
        <w:spacing w:lineRule="auto" w:line="276" w:before="300" w:after="150"/>
        <w:jc w:val="both"/>
        <w:rPr/>
      </w:pPr>
      <w:r>
        <w:rPr/>
        <w:t>6.2 Predictive Performance versus Business Cost</w:t>
      </w:r>
    </w:p>
    <w:p>
      <w:pPr>
        <w:pStyle w:val="Normal"/>
        <w:spacing w:lineRule="auto" w:line="276" w:before="0" w:after="180"/>
        <w:jc w:val="both"/>
        <w:rPr/>
      </w:pPr>
      <w:r>
        <w:rPr/>
        <w:t>A recurring theme in this thesis is the distinction between predictive performance, as measured by conventional statistical metrics such as AUC and accuracy, and business cost, as measured by the explicit, asymmetric cost function introduced in Section 4.9.1. Although the final model's AUC of 0.9763 and accuracy of 91% would be considered excellent by conventional statistical standards, these aggregate metrics alone do not reveal whether the model's errors are concentrated on the financially costly false-negative outcomes or the comparatively less costly false-positive outcomes. The explicit cost-based threshold optimisation undertaken in this study directly addresses this gap, and the resulting FP/FN ratio of 5.11, substantially skewed toward false positives, demonstrates that the final operating point was deliberately, and successfully, tuned to minimise the financially costly error type, even though this required moving the classification threshold well below the point that would maximise accuracy or F1-score alone.</w:t>
      </w:r>
    </w:p>
    <w:p>
      <w:pPr>
        <w:pStyle w:val="Heading2"/>
        <w:spacing w:lineRule="auto" w:line="276" w:before="300" w:after="150"/>
        <w:jc w:val="both"/>
        <w:rPr/>
      </w:pPr>
      <w:r>
        <w:rPr/>
        <w:t>6.3 Importance of Threshold Optimization</w:t>
      </w:r>
    </w:p>
    <w:p>
      <w:pPr>
        <w:pStyle w:val="Normal"/>
        <w:spacing w:lineRule="auto" w:line="276" w:before="0" w:after="180"/>
        <w:jc w:val="both"/>
        <w:rPr/>
      </w:pPr>
      <w:r>
        <w:rPr/>
        <w:t>The finding that the cost-optimal threshold (0.28) differs substantially from the conventional default (0.5) underscores a broader methodological point relevant beyond the specific dataset used in this thesis: any classifier intended for deployment in a decision-making context with asymmetric error costs should not be evaluated, or operated, using the default 0.5 threshold without explicit justification. The threshold-search methodology applied in this study, an exhaustive grid search over candidate thresholds evaluated against an explicit cost function on a held-out validation set, is computationally inexpensive and can be readily incorporated into any binary-classification pipeline as a standard step, yet is frequently omitted in academic studies that report only threshold-independent metrics such as AUC.</w:t>
      </w:r>
    </w:p>
    <w:p>
      <w:pPr>
        <w:pStyle w:val="Heading2"/>
        <w:spacing w:lineRule="auto" w:line="276" w:before="300" w:after="150"/>
        <w:jc w:val="both"/>
        <w:rPr/>
      </w:pPr>
      <w:r>
        <w:rPr/>
        <w:t>6.4 Contribution of Explainability</w:t>
      </w:r>
    </w:p>
    <w:p>
      <w:pPr>
        <w:pStyle w:val="Normal"/>
        <w:spacing w:lineRule="auto" w:line="276" w:before="0" w:after="180"/>
        <w:jc w:val="both"/>
        <w:rPr/>
      </w:pPr>
      <w:r>
        <w:rPr/>
        <w:t>The SHAP-based explainability analysis contributed to this thesis in two distinct ways. At the global level, it provided independent, theoretically grounded confirmation of the feature-importance rankings obtained from the XGBoost-native and permutation-importance techniques, strengthening confidence that the model's reliance on credit_score, debt_to_income_ratio, credit_history_years, and loan_to_income_ratio reflects genuine, robust statistical relationships rather than an artefact of a particular importance-computation method. At the local level, it provided case-specific explanations, illustrated through waterfall plots, that would allow a bank to justify an individual credit decision to the applicant or to a regulator, and that revealed that the model's false negatives tended to correspond to applicants whose feature profiles genuinely straddled the decision boundary, rather than to cases where the model was clearly and avoidably wrong. This finding directly motivates the selective prediction framework developed in Sections 4.13 and 5.7, since it suggests that at least some of the model's errors are not correctable through further tuning of a single threshold, but are better addressed by deferring the decision to a human reviewer with access to additional context.</w:t>
      </w:r>
    </w:p>
    <w:p>
      <w:pPr>
        <w:pStyle w:val="Heading2"/>
        <w:spacing w:lineRule="auto" w:line="276" w:before="300" w:after="150"/>
        <w:jc w:val="both"/>
        <w:rPr/>
      </w:pPr>
      <w:r>
        <w:rPr/>
        <w:t>6.5 Reliability under Distribution Shift</w:t>
      </w:r>
    </w:p>
    <w:p>
      <w:pPr>
        <w:pStyle w:val="Normal"/>
        <w:spacing w:lineRule="auto" w:line="276" w:before="0" w:after="180"/>
        <w:jc w:val="both"/>
        <w:rPr/>
      </w:pPr>
      <w:r>
        <w:rPr/>
        <w:t>The reliability-monitoring results reported in Section 5.6 should be interpreted with an important caveat: because the 'new data' batch used to simulate production monitoring in this thesis was drawn from the same underlying test set as the final model evaluation, rather than from a genuinely later time period, the absence of detected drift in this study confirms that the monitoring framework behaves correctly when no drift is present (correctly reporting stability), but does not by itself demonstrate the framework's sensitivity to genuine drift, which would require monitoring against data collected at a materially later date or under materially different economic conditions. Nonetheless, the specific choice of PSI and KS as the underlying drift statistics, and the explicit thresholds (0.10 and 0.20 for PSI) adopted from established credit-risk model-validation practice, provide a monitoring framework that a bank could deploy directly on newly arriving, genuinely out-of-sample production data, with the expectation, based on the extensive use of these statistics in industry practice, that it would correctly flag meaningful drift were it to occur.</w:t>
      </w:r>
    </w:p>
    <w:p>
      <w:pPr>
        <w:pStyle w:val="Heading2"/>
        <w:spacing w:lineRule="auto" w:line="276" w:before="300" w:after="150"/>
        <w:jc w:val="both"/>
        <w:rPr/>
      </w:pPr>
      <w:r>
        <w:rPr/>
        <w:t>6.6 Benefits of Selective Prediction</w:t>
      </w:r>
    </w:p>
    <w:p>
      <w:pPr>
        <w:pStyle w:val="Normal"/>
        <w:spacing w:lineRule="auto" w:line="276" w:before="0" w:after="180"/>
        <w:jc w:val="both"/>
        <w:rPr/>
      </w:pPr>
      <w:r>
        <w:rPr/>
        <w:t>The selective prediction results represent, in the view of this thesis, the most practically significant finding of the study. A reduction of approximately 58.5% in total business cost and 58.7% in false negatives, achieved by referring only 12.3% of applications to manual review, indicates a highly favourable trade-off between the additional operational cost of human review (which most banks already incur for a subset of applications in normal operation) and the financial benefit of avoiding costly defaults. This finding is consistent with the broader selective-prediction and human-in-the-loop literature reviewed in Section 2.9, which similarly finds that deferring a comparatively small proportion of the most uncertain cases to human judgement can yield a disproportionately large improvement in the overall reliability of the automated decision system.</w:t>
      </w:r>
    </w:p>
    <w:p>
      <w:pPr>
        <w:pStyle w:val="Heading2"/>
        <w:spacing w:lineRule="auto" w:line="276" w:before="300" w:after="150"/>
        <w:jc w:val="both"/>
        <w:rPr/>
      </w:pPr>
      <w:r>
        <w:rPr/>
        <w:t>6.7 Comparison with the Research Objectives</w:t>
      </w:r>
    </w:p>
    <w:p>
      <w:pPr>
        <w:pStyle w:val="Normal"/>
        <w:spacing w:lineRule="auto" w:line="276" w:before="0" w:after="180"/>
        <w:jc w:val="both"/>
        <w:rPr/>
      </w:pPr>
      <w:r>
        <w:rPr/>
        <w:t>Revisiting the eight research objectives set out in Section 1.4, this thesis has: (1) implemented and validated a rigorous data-cleaning pipeline that correctly diagnosed and resolved a large-scale ratio-scaling artefact; (2) conducted a thorough exploratory data analysis characterising distribution, skewness, correlation, and class balance; (3) engineered and selected an informative feature set using three complementary techniques; (4) trained and tuned an XGBoost classifier achieving strong discrimination performance; (5) designed and applied a cost-sensitive threshold-optimisation procedure that materially altered the model's operating point; (6) explained the resulting model globally and locally using SHAP; (7) designed and evaluated a reliability-monitoring framework based on PSI, KS, and direct performance tracking; and (8) designed and evaluated a selective prediction framework that substantially outperformed the single-threshold baseline on both cost and false-negative reduction. All eight objectives were therefore substantively achieved.</w:t>
      </w:r>
    </w:p>
    <w:p>
      <w:pPr>
        <w:pStyle w:val="Heading2"/>
        <w:spacing w:lineRule="auto" w:line="276" w:before="300" w:after="150"/>
        <w:jc w:val="both"/>
        <w:rPr/>
      </w:pPr>
      <w:r>
        <w:rPr/>
        <w:t>6.8 Practical Implications for Credit Risk Decision Systems</w:t>
      </w:r>
    </w:p>
    <w:p>
      <w:pPr>
        <w:pStyle w:val="Normal"/>
        <w:spacing w:lineRule="auto" w:line="276" w:before="0" w:after="180"/>
        <w:jc w:val="both"/>
        <w:rPr/>
      </w:pPr>
      <w:r>
        <w:rPr/>
        <w:t>For practitioners, this thesis offers several practical implications. First, banks and other lenders should treat data-quality validation as an iterative, root-cause-driven process rather than a mechanical filter, since naively applied validation rules can flag the overwhelming majority of a genuinely usable dataset as invalid. Second, feature-selection decisions should be triangulated across multiple, independent importance techniques rather than relying on any single method. Third, the classification threshold used in production should be explicitly derived from a business cost function reflecting the institution's actual risk appetite, rather than defaulting to 0.5. Fourth, SHAP-based explainability should be incorporated as a standard component of model governance, both for global model validation and for the generation of individual, auditable decision explanations. Fifth, a lightweight, PSI/KS-based monitoring framework, combined with direct performance tracking against newly labelled data as it becomes available, provides a practical, industry-aligned mechanism for ongoing model governance. Sixth, and finally, the substantial gains achieved by the selective prediction framework suggest that lenders adopting fully automated, single-threshold credit-decision systems may be leaving significant, achievable improvements in cost and risk on the table by not incorporating a modest, well-targeted manual-review mechanism for the most uncertain cases.</w:t>
      </w:r>
    </w:p>
    <w:p>
      <w:pPr>
        <w:pStyle w:val="Heading2"/>
        <w:spacing w:lineRule="auto" w:line="276" w:before="300" w:after="150"/>
        <w:jc w:val="both"/>
        <w:rPr/>
      </w:pPr>
      <w:r>
        <w:rPr/>
        <w:t>6.9 Limitations of the Study</w:t>
      </w:r>
    </w:p>
    <w:p>
      <w:pPr>
        <w:pStyle w:val="Normal"/>
        <w:spacing w:lineRule="auto" w:line="276" w:before="0" w:after="180"/>
        <w:jc w:val="both"/>
        <w:rPr/>
      </w:pPr>
      <w:r>
        <w:rPr/>
        <w:t>This study is subject to several limitations. First, the dataset, while realistically structured, may not fully capture the range of data-quality issues, feature relationships, and applicant behaviours observed in a genuinely operational, multi-year bank lending portfolio. Second, the business cost function, while grounded in the well-established qualitative principle that false negatives are more costly than false positives, uses illustrative rather than institution-specific cost coefficients; a deploying institution would need to calibrate these coefficients against its own historical loss experience. Third, as discussed in Section 6.5, the reliability-monitoring evaluation was conducted on a simulated 'new data' batch drawn from the same underlying distribution as the training data, rather than on genuinely time-separated production data, limiting the strength of the conclusions that can be drawn about the framework's sensitivity to real-world drift. Fourth, the selective prediction framework assumes that manually reviewed applications are resolved correctly by the human reviewer; in practice, human review is itself imperfect and subject to its own error rate, which was not modelled in this study. Fifth, the study focuses exclusively on a single algorithm family (gradient-boosted trees, specifically XGBoost); while this choice is well justified by the literature reviewed in Chapter 2, a comparison against alternative algorithms (for example, logistic regression, random forests, or neural networks) was outside the scope of this thesis and would provide a useful point of comparison in future work.</w:t>
      </w:r>
    </w:p>
    <w:p>
      <w:pPr>
        <w:pStyle w:val="Normal"/>
        <w:spacing w:lineRule="auto" w:line="276"/>
        <w:jc w:val="both"/>
        <w:rPr/>
      </w:pPr>
      <w:r>
        <w:rPr/>
      </w:r>
      <w:r>
        <w:br w:type="page"/>
      </w:r>
    </w:p>
    <w:p>
      <w:pPr>
        <w:pStyle w:val="Heading1"/>
        <w:spacing w:lineRule="auto" w:line="276" w:before="0" w:after="200"/>
        <w:jc w:val="both"/>
        <w:rPr/>
      </w:pPr>
      <w:r>
        <w:rPr/>
        <w:t>7. Conclusion and Future Work</w:t>
      </w:r>
    </w:p>
    <w:p>
      <w:pPr>
        <w:pStyle w:val="Heading2"/>
        <w:spacing w:lineRule="auto" w:line="276" w:before="300" w:after="150"/>
        <w:jc w:val="both"/>
        <w:rPr/>
      </w:pPr>
      <w:r>
        <w:rPr/>
        <w:t>7.1 Summary of the Research</w:t>
      </w:r>
    </w:p>
    <w:p>
      <w:pPr>
        <w:pStyle w:val="Normal"/>
        <w:spacing w:lineRule="auto" w:line="276" w:before="0" w:after="180"/>
        <w:jc w:val="both"/>
        <w:rPr/>
      </w:pPr>
      <w:r>
        <w:rPr/>
        <w:t>This thesis has developed and evaluated an end-to-end, cost-sensitive, explainable, and monitorable credit-risk decision system, built around an XGBoost classifier trained on a dataset of 50,000 loan applications. The study progressed through a rigorous data-cleaning and validation pipeline, an exploratory data analysis characterising the dataset's distributional and correlational structure, a feature-engineering and three-way feature-selection process, a hyper-parameter-tuned XGBoost model achieving strong discrimination performance, an explicit cost-sensitive threshold-optimisation procedure, a SHAP-based global and local explainability analysis, a quantitative reliability-monitoring framework, and, finally, a selective prediction framework that substantially outperformed the conventional single-threshold approach on both business cost and false-negative reduction.</w:t>
      </w:r>
    </w:p>
    <w:p>
      <w:pPr>
        <w:pStyle w:val="Heading2"/>
        <w:spacing w:lineRule="auto" w:line="276" w:before="300" w:after="150"/>
        <w:jc w:val="both"/>
        <w:rPr/>
      </w:pPr>
      <w:r>
        <w:rPr/>
        <w:t>7.2 Main Contributions</w:t>
      </w:r>
    </w:p>
    <w:p>
      <w:pPr>
        <w:pStyle w:val="Heading3"/>
        <w:spacing w:lineRule="auto" w:line="276" w:before="220" w:after="120"/>
        <w:jc w:val="both"/>
        <w:rPr/>
      </w:pPr>
      <w:r>
        <w:rPr/>
        <w:t>7.2.1 Cost-Sensitive Credit Risk Prediction</w:t>
      </w:r>
    </w:p>
    <w:p>
      <w:pPr>
        <w:pStyle w:val="Normal"/>
        <w:spacing w:lineRule="auto" w:line="276" w:before="0" w:after="180"/>
        <w:jc w:val="both"/>
        <w:rPr/>
      </w:pPr>
      <w:r>
        <w:rPr/>
        <w:t>This thesis contributes a fully worked, empirically validated example of cost-sensitive threshold optimisation for a credit-scoring model, demonstrating that the cost-optimal threshold can differ substantially from the conventional 0.5 default, and quantifying the resulting shift in the balance between false positives and false negatives (FP/FN ratio of 5.11) achieved on held-out test data.</w:t>
      </w:r>
    </w:p>
    <w:p>
      <w:pPr>
        <w:pStyle w:val="Heading3"/>
        <w:spacing w:lineRule="auto" w:line="276" w:before="220" w:after="120"/>
        <w:jc w:val="both"/>
        <w:rPr/>
      </w:pPr>
      <w:r>
        <w:rPr/>
        <w:t>7.2.2 Explainable Credit Risk Modelling</w:t>
      </w:r>
    </w:p>
    <w:p>
      <w:pPr>
        <w:pStyle w:val="Normal"/>
        <w:spacing w:lineRule="auto" w:line="276" w:before="0" w:after="180"/>
        <w:jc w:val="both"/>
        <w:rPr/>
      </w:pPr>
      <w:r>
        <w:rPr/>
        <w:t>This thesis contributes a SHAP-based explainability analysis that extends beyond global feature-importance ranking to examine local, individual-level explanations for both correctly and incorrectly classified applicants, providing a template for how explainability analysis can directly inform, rather than merely accompany, the broader model-development and error-analysis process.</w:t>
      </w:r>
    </w:p>
    <w:p>
      <w:pPr>
        <w:pStyle w:val="Heading3"/>
        <w:spacing w:lineRule="auto" w:line="276" w:before="220" w:after="120"/>
        <w:jc w:val="both"/>
        <w:rPr/>
      </w:pPr>
      <w:r>
        <w:rPr/>
        <w:t>7.2.3 Reliability Monitoring</w:t>
      </w:r>
    </w:p>
    <w:p>
      <w:pPr>
        <w:pStyle w:val="Normal"/>
        <w:spacing w:lineRule="auto" w:line="276" w:before="0" w:after="180"/>
        <w:jc w:val="both"/>
        <w:rPr/>
      </w:pPr>
      <w:r>
        <w:rPr/>
        <w:t>This thesis contributes a lightweight but industry-aligned reliability-monitoring framework, combining the Population Stability Index, the Kolmogorov–Smirnov statistic, and direct performance tracking, and demonstrates its application to a simulated production-monitoring scenario, correctly identifying the absence of meaningful drift.</w:t>
      </w:r>
    </w:p>
    <w:p>
      <w:pPr>
        <w:pStyle w:val="Heading3"/>
        <w:spacing w:lineRule="auto" w:line="276" w:before="220" w:after="120"/>
        <w:jc w:val="both"/>
        <w:rPr/>
      </w:pPr>
      <w:r>
        <w:rPr/>
        <w:t>7.2.4 Selective Prediction with Manual Review</w:t>
      </w:r>
    </w:p>
    <w:p>
      <w:pPr>
        <w:pStyle w:val="Normal"/>
        <w:spacing w:lineRule="auto" w:line="276" w:before="0" w:after="180"/>
        <w:jc w:val="both"/>
        <w:rPr/>
      </w:pPr>
      <w:r>
        <w:rPr/>
        <w:t>This thesis contributes a two-threshold selective prediction framework, jointly optimised against the same business cost function used for single-threshold optimisation, and provides direct, quantitative evidence, on the same test data used to evaluate the single-threshold baseline, that this framework reduces business cost by approximately 58.5% and false negatives by approximately 58.7%, while requiring manual review for only 12.3% of applications.</w:t>
      </w:r>
    </w:p>
    <w:p>
      <w:pPr>
        <w:pStyle w:val="Heading2"/>
        <w:spacing w:lineRule="auto" w:line="276" w:before="300" w:after="150"/>
        <w:jc w:val="both"/>
        <w:rPr/>
      </w:pPr>
      <w:r>
        <w:rPr/>
        <w:t>7.3 Key Experimental Findings</w:t>
      </w:r>
    </w:p>
    <w:p>
      <w:pPr>
        <w:pStyle w:val="Normal"/>
        <w:spacing w:lineRule="auto" w:line="276" w:before="0" w:after="180"/>
        <w:jc w:val="both"/>
        <w:rPr/>
      </w:pPr>
      <w:r>
        <w:rPr/>
        <w:t>The key experimental findings of this thesis are summarised as follows: a naive data-validation rule initially flagged 97.8% of records as invalid, an artefact fully resolved by recalculating the affected ratio variables; credit_score, debt_to_income_ratio, credit_history_years, and loan_to_income_ratio were consistently identified as the dominant predictors of loan_status across three independent feature-importance techniques; the tuned XGBoost model achieved a test AUC of 0.9763, a test accuracy of 91%, and a recall of 97% for the default class at the cost-optimal threshold of 0.28; the top ten SHAP features explained approximately 84.6% of the model's decisions; the reliability-monitoring framework detected no meaningful feature drift (PSI 0.003 to 0.008), prediction drift (Prediction PSI 0.005), or performance degradation (AUC 0.9763 versus a reference of 0.9718) on the simulated monitoring batch; and the selective prediction framework, referring 12.3% of applications to manual review, reduced business cost by approximately 58.5% and false negatives by approximately 58.7% relative to the single-threshold baseline.</w:t>
      </w:r>
    </w:p>
    <w:p>
      <w:pPr>
        <w:pStyle w:val="Heading2"/>
        <w:spacing w:lineRule="auto" w:line="276" w:before="300" w:after="150"/>
        <w:jc w:val="both"/>
        <w:rPr/>
      </w:pPr>
      <w:r>
        <w:rPr/>
        <w:t>7.4 Research Questions Revisited</w:t>
      </w:r>
    </w:p>
    <w:p>
      <w:pPr>
        <w:pStyle w:val="Normal"/>
        <w:spacing w:lineRule="auto" w:line="276" w:before="0" w:after="180"/>
        <w:jc w:val="both"/>
        <w:rPr/>
      </w:pPr>
      <w:r>
        <w:rPr/>
        <w:t>Revisiting the seven research questions posed in Section 1.5: RQ1 was answered by the finding that 97.8% of records were initially, but incorrectly, flagged as corrupted due to a ratio-scaling artefact rather than genuine data corruption. RQ2 was answered by the convergent identification of credit_score, debt_to_income_ratio, credit_history_years, and loan_to_income_ratio as the dominant predictors across correlation analysis, XGBoost importance, permutation importance, and SHAP. RQ3 was answered by the strong discrimination and classification performance achieved by the final model (test AUC 0.9763; accuracy 91%; recall 97%). RQ4 was answered by the substantial shift in the optimal threshold (from 0.5 to 0.28) and the resulting FP/FN ratio of 5.11 achieved through cost-sensitive threshold optimisation. RQ5 was answered by the global and local SHAP analyses, which confirmed the plausibility of the model's learned relationships and revealed that misclassified applicants tended to lie close to the decision boundary. RQ6 was answered by the reliability-monitoring framework's correct identification of stability (no drift, no performance degradation) on the simulated monitoring batch. RQ7 was answered by the substantial reductions in business cost (58.5%) and false negatives (58.7%) achieved by the selective prediction framework, at a manual-review rate of 12.3%.</w:t>
      </w:r>
    </w:p>
    <w:p>
      <w:pPr>
        <w:pStyle w:val="Heading2"/>
        <w:spacing w:lineRule="auto" w:line="276" w:before="300" w:after="150"/>
        <w:jc w:val="both"/>
        <w:rPr/>
      </w:pPr>
      <w:r>
        <w:rPr/>
        <w:t>7.5 Limitations</w:t>
      </w:r>
    </w:p>
    <w:p>
      <w:pPr>
        <w:pStyle w:val="Normal"/>
        <w:spacing w:lineRule="auto" w:line="276" w:before="0" w:after="180"/>
        <w:jc w:val="both"/>
        <w:rPr/>
      </w:pPr>
      <w:r>
        <w:rPr/>
        <w:t>As discussed in detail in Section 6.9, the principal limitations of this study concern the illustrative rather than institution-calibrated business cost coefficients, the simulated (same-distribution) rather than genuinely time-separated reliability-monitoring evaluation, the assumption of perfect human-reviewer accuracy in the selective prediction framework, and the restriction of the study to a single algorithm family. These limitations do not undermine the substantive methodological contributions of the thesis but do circumscribe the strength of the specific numerical results reported in Chapter 5 as estimates of real-world, institution-specific performance.</w:t>
      </w:r>
    </w:p>
    <w:p>
      <w:pPr>
        <w:pStyle w:val="Heading2"/>
        <w:spacing w:lineRule="auto" w:line="276" w:before="300" w:after="150"/>
        <w:jc w:val="both"/>
        <w:rPr/>
      </w:pPr>
      <w:r>
        <w:rPr/>
        <w:t>7.6 Future Research Directions</w:t>
      </w:r>
    </w:p>
    <w:p>
      <w:pPr>
        <w:pStyle w:val="Normal"/>
        <w:spacing w:lineRule="auto" w:line="276" w:before="0" w:after="180"/>
        <w:jc w:val="both"/>
        <w:rPr/>
      </w:pPr>
      <w:r>
        <w:rPr/>
        <w:t>Several directions for future research follow directly from the limitations identified in Section 7.5. First, future work could calibrate the business cost function against genuine, institution-specific historical loss data, and examine the sensitivity of both the single-threshold and selective prediction results to alternative cost ratios. Second, future work could evaluate the reliability-monitoring framework against genuinely time-separated production data, ideally spanning a period that includes a known macroeconomic shift, to more rigorously assess its sensitivity to real drift. Third, future work could explicitly model the accuracy of human review within the selective prediction framework, for example by incorporating an estimated human error rate into the cost-optimisation procedure, and could examine how the optimal manual-review rate changes as a function of the assumed cost and accuracy of human review. Fourth, future work could extend the comparative scope of the study to include alternative algorithm families (logistic regression, random forests, LightGBM, CatBoost, and neural networks) evaluated under the same cost-sensitive and explainability framework developed in this thesis, to assess whether the specific numerical findings are sensitive to the choice of underlying classifier. Fifth, future work could explore adaptive or continuously retrained variants of the selective prediction framework, in which the manual-review zone is periodically re-optimised as new labelled data become available through the reliability-monitoring pipeline, moving from the largely static framework evaluated in this thesis toward a genuinely closed-loop, self-monitoring credit-risk decision system.</w:t>
      </w:r>
    </w:p>
    <w:p>
      <w:pPr>
        <w:pStyle w:val="Normal"/>
        <w:spacing w:lineRule="auto" w:line="276"/>
        <w:jc w:val="both"/>
        <w:rPr/>
      </w:pPr>
      <w:r>
        <w:rPr/>
      </w:r>
      <w:r>
        <w:br w:type="page"/>
      </w:r>
    </w:p>
    <w:p>
      <w:pPr>
        <w:pStyle w:val="Heading1"/>
        <w:spacing w:before="0" w:after="200"/>
        <w:rPr/>
      </w:pPr>
      <w:r>
        <w:rPr/>
        <w:t>References</w:t>
      </w:r>
    </w:p>
    <w:p>
      <w:pPr>
        <w:pStyle w:val="Normal"/>
        <w:spacing w:lineRule="auto" w:line="276" w:before="0" w:after="180"/>
        <w:jc w:val="both"/>
        <w:rPr/>
      </w:pPr>
      <w:r>
        <w:rPr>
          <w:i w:val="false"/>
        </w:rPr>
        <w:t>Aggarwal, N. (2021). The norms of algorithmic credit scoring. Cambridge Law Journal, 80(1), 42-73.</w:t>
      </w:r>
    </w:p>
    <w:p>
      <w:pPr>
        <w:pStyle w:val="Normal"/>
        <w:spacing w:lineRule="auto" w:line="276"/>
        <w:jc w:val="both"/>
        <w:rPr/>
      </w:pPr>
      <w:r>
        <w:rPr/>
        <w:t>Chawla, N. V., Bowyer, K. W., Hall, L. O., &amp; Kegelmeyer, W. P. (2002). SMOTE: Synthetic minority over-sampling technique. Journal of Artificial Intelligence Research, 16, 321-357.</w:t>
      </w:r>
    </w:p>
    <w:p>
      <w:pPr>
        <w:pStyle w:val="Normal"/>
        <w:spacing w:lineRule="auto" w:line="276"/>
        <w:jc w:val="both"/>
        <w:rPr/>
      </w:pPr>
      <w:r>
        <w:rPr/>
        <w:t>Chen, T., &amp; Guestrin, C. (2016). XGBoost: A scalable tree boosting system. In Proceedings of the 22nd ACM SIGKDD International Conference on Knowledge Discovery and Data Mining (pp. 785-794).</w:t>
      </w:r>
    </w:p>
    <w:p>
      <w:pPr>
        <w:pStyle w:val="Normal"/>
        <w:spacing w:lineRule="auto" w:line="276"/>
        <w:jc w:val="both"/>
        <w:rPr/>
      </w:pPr>
      <w:r>
        <w:rPr/>
        <w:t>Chow, C. K. (1970). On optimum recognition error and reject tradeoff. IEEE Transactions on Information Theory, 16(1), 41-46.</w:t>
      </w:r>
    </w:p>
    <w:p>
      <w:pPr>
        <w:pStyle w:val="Normal"/>
        <w:spacing w:lineRule="auto" w:line="276"/>
        <w:jc w:val="both"/>
        <w:rPr/>
      </w:pPr>
      <w:r>
        <w:rPr/>
        <w:t>Cortes, C., DeSalvo, G., &amp; Mohri, M. (2016). Learning with rejection. In Proceedings of the 27th International Conference on Algorithmic Learning Theory (pp. 67-82).</w:t>
      </w:r>
    </w:p>
    <w:p>
      <w:pPr>
        <w:pStyle w:val="Normal"/>
        <w:spacing w:lineRule="auto" w:line="276"/>
        <w:jc w:val="both"/>
        <w:rPr/>
      </w:pPr>
      <w:r>
        <w:rPr/>
        <w:t>Dastile, X., Celik, T., &amp; Potsane, M. (2020). Statistical and machine learning models in credit scoring: A systematic literature survey. Applied Soft Computing, 91, 106263.</w:t>
      </w:r>
    </w:p>
    <w:p>
      <w:pPr>
        <w:pStyle w:val="Normal"/>
        <w:spacing w:lineRule="auto" w:line="276"/>
        <w:jc w:val="both"/>
        <w:rPr/>
      </w:pPr>
      <w:r>
        <w:rPr/>
        <w:t>Doshi-Velez, F., &amp; Kim, B. (2017). Towards a rigorous science of interpretable machine learning. arXiv preprint arXiv:1702.08608.</w:t>
      </w:r>
    </w:p>
    <w:p>
      <w:pPr>
        <w:pStyle w:val="Normal"/>
        <w:spacing w:lineRule="auto" w:line="276"/>
        <w:jc w:val="both"/>
        <w:rPr/>
      </w:pPr>
      <w:r>
        <w:rPr/>
        <w:t>Elkan, C. (2001). The foundations of cost-sensitive learning. In Proceedings of the 17th International Joint Conference on Artificial Intelligence (pp. 973-978).</w:t>
      </w:r>
    </w:p>
    <w:p>
      <w:pPr>
        <w:pStyle w:val="Normal"/>
        <w:spacing w:lineRule="auto" w:line="276"/>
        <w:jc w:val="both"/>
        <w:rPr/>
      </w:pPr>
      <w:r>
        <w:rPr/>
        <w:t>European Parliament and Council. (2016). Regulation (EU) 2016/679 (General Data Protection Regulation).</w:t>
      </w:r>
    </w:p>
    <w:p>
      <w:pPr>
        <w:pStyle w:val="Normal"/>
        <w:spacing w:lineRule="auto" w:line="276"/>
        <w:jc w:val="both"/>
        <w:rPr/>
      </w:pPr>
      <w:r>
        <w:rPr/>
        <w:t>Freeman, E. A., &amp; Moisen, G. G. (2008). A comparison of the performance of threshold criteria for binary classification in terms of predicted prevalence and kappa. Ecological Modelling, 217(1-2), 48-58.</w:t>
      </w:r>
    </w:p>
    <w:p>
      <w:pPr>
        <w:pStyle w:val="Normal"/>
        <w:spacing w:lineRule="auto" w:line="276"/>
        <w:jc w:val="both"/>
        <w:rPr/>
      </w:pPr>
      <w:r>
        <w:rPr/>
        <w:t>Gama, J., Zliobaite, I., Bifet, A., Pechenizkiy, M., &amp; Bouchachia, A. (2014). A survey on concept drift adaptation. ACM Computing Surveys, 46(4), 1-37.</w:t>
      </w:r>
    </w:p>
    <w:p>
      <w:pPr>
        <w:pStyle w:val="Normal"/>
        <w:spacing w:lineRule="auto" w:line="276"/>
        <w:jc w:val="both"/>
        <w:rPr/>
      </w:pPr>
      <w:r>
        <w:rPr/>
        <w:t>Geifman, Y., &amp; El-Yaniv, R. (2017). Selective classification for deep neural networks. In Advances in Neural Information Processing Systems (Vol. 30).</w:t>
      </w:r>
    </w:p>
    <w:p>
      <w:pPr>
        <w:pStyle w:val="Normal"/>
        <w:spacing w:lineRule="auto" w:line="276"/>
        <w:jc w:val="both"/>
        <w:rPr/>
      </w:pPr>
      <w:r>
        <w:rPr/>
        <w:t>Grinsztajn, L., Oyallon, E., &amp; Varoquaux, G. (2022). Why do tree-based models still outperform deep learning on tabular data? In Advances in Neural Information Processing Systems (Vol. 35).</w:t>
      </w:r>
    </w:p>
    <w:p>
      <w:pPr>
        <w:pStyle w:val="Normal"/>
        <w:spacing w:lineRule="auto" w:line="276"/>
        <w:jc w:val="both"/>
        <w:rPr/>
      </w:pPr>
      <w:r>
        <w:rPr/>
        <w:t>Gudivada, V., Apon, A., &amp; Ding, J. (2017). Data quality considerations for big data and machine learning: Going beyond data cleaning and transformations. International Journal on Advances in Software, 10(1), 1-20.</w:t>
      </w:r>
    </w:p>
    <w:p>
      <w:pPr>
        <w:pStyle w:val="Normal"/>
        <w:spacing w:lineRule="auto" w:line="276"/>
        <w:jc w:val="both"/>
        <w:rPr/>
      </w:pPr>
      <w:r>
        <w:rPr/>
        <w:t>Guyon, I., &amp; Elisseeff, A. (2003). An introduction to variable and feature selection. Journal of Machine Learning Research, 3, 1157-1182.</w:t>
      </w:r>
    </w:p>
    <w:p>
      <w:pPr>
        <w:pStyle w:val="Normal"/>
        <w:spacing w:lineRule="auto" w:line="276"/>
        <w:jc w:val="both"/>
        <w:rPr/>
      </w:pPr>
      <w:r>
        <w:rPr/>
        <w:t>Hand, D. J., &amp; Henley, W. E. (1997). Statistical classification methods in consumer credit scoring: A review. Journal of the Royal Statistical Society: Series A, 160(3), 523-541.</w:t>
      </w:r>
    </w:p>
    <w:p>
      <w:pPr>
        <w:pStyle w:val="Normal"/>
        <w:spacing w:lineRule="auto" w:line="276"/>
        <w:jc w:val="both"/>
        <w:rPr/>
      </w:pPr>
      <w:r>
        <w:rPr/>
        <w:t>He, H., &amp; Garcia, E. A. (2009). Learning from imbalanced data. IEEE Transactions on Knowledge and Data Engineering, 21(9), 1263-1284.</w:t>
      </w:r>
    </w:p>
    <w:p>
      <w:pPr>
        <w:pStyle w:val="Normal"/>
        <w:spacing w:lineRule="auto" w:line="276"/>
        <w:jc w:val="both"/>
        <w:rPr/>
      </w:pPr>
      <w:r>
        <w:rPr/>
        <w:t>Kuhn, M., &amp; Johnson, K. (2019). Feature engineering and selection: A practical approach for predictive models. CRC Press.</w:t>
      </w:r>
    </w:p>
    <w:p>
      <w:pPr>
        <w:pStyle w:val="Normal"/>
        <w:spacing w:lineRule="auto" w:line="276"/>
        <w:jc w:val="both"/>
        <w:rPr/>
      </w:pPr>
      <w:r>
        <w:rPr/>
        <w:t>Lessmann, S., Baesens, B., Seow, H.-V., &amp; Thomas, L. C. (2015). Benchmarking state-of-the-art classification algorithms for credit scoring: An update of research. European Journal of Operational Research, 247(1), 124-136.</w:t>
      </w:r>
    </w:p>
    <w:p>
      <w:pPr>
        <w:pStyle w:val="Normal"/>
        <w:spacing w:lineRule="auto" w:line="276"/>
        <w:jc w:val="both"/>
        <w:rPr/>
      </w:pPr>
      <w:r>
        <w:rPr/>
        <w:t>Lundberg, S. M., &amp; Lee, S.-I. (2017). A unified approach to interpreting model predictions. In Advances in Neural Information Processing Systems (Vol. 30).</w:t>
      </w:r>
    </w:p>
    <w:p>
      <w:pPr>
        <w:pStyle w:val="Normal"/>
        <w:spacing w:lineRule="auto" w:line="276"/>
        <w:jc w:val="both"/>
        <w:rPr/>
      </w:pPr>
      <w:r>
        <w:rPr/>
        <w:t>Lundberg, S. M., Erion, G., Chen, H., DeGrave, A., Prutkin, J. M., Nair, B., Katz, R., Himmelfarb, J., Bansal, N., &amp; Lee, S.-I. (2020). From local explanations to global understanding with explainable AI for trees. Nature Machine Intelligence, 2(1), 56-67.</w:t>
      </w:r>
    </w:p>
    <w:p>
      <w:pPr>
        <w:pStyle w:val="Normal"/>
        <w:spacing w:lineRule="auto" w:line="276"/>
        <w:jc w:val="both"/>
        <w:rPr/>
      </w:pPr>
      <w:r>
        <w:rPr/>
        <w:t>Siddiqi, N. (2012). Credit risk scorecards: Developing and implementing intelligent credit scoring. Wiley.</w:t>
      </w:r>
    </w:p>
    <w:p>
      <w:pPr>
        <w:pStyle w:val="Normal"/>
        <w:spacing w:lineRule="auto" w:line="276"/>
        <w:jc w:val="both"/>
        <w:rPr/>
      </w:pPr>
      <w:r>
        <w:rPr/>
        <w:t>Shwartz-Ziv, R., &amp; Armon, A. (2022). Tabular data: Deep learning is not all you need. Information Fusion, 81, 84-90.</w:t>
      </w:r>
    </w:p>
    <w:p>
      <w:pPr>
        <w:pStyle w:val="Normal"/>
        <w:spacing w:lineRule="auto" w:line="276"/>
        <w:jc w:val="both"/>
        <w:rPr/>
      </w:pPr>
      <w:r>
        <w:rPr/>
        <w:t>Thomas, L. C. (2000). A survey of credit and behavioural scoring: Forecasting financial risk of lending to consumers. International Journal of Forecasting, 16(2), 149-172.</w:t>
      </w:r>
    </w:p>
    <w:p>
      <w:pPr>
        <w:pStyle w:val="Normal"/>
        <w:spacing w:lineRule="auto" w:line="276"/>
        <w:jc w:val="both"/>
        <w:rPr/>
      </w:pPr>
      <w:r>
        <w:rPr/>
        <w:t>Xia, Y., Liu, C., Li, Y., &amp; Liu, N. (2017). A boosted decision tree approach using Bayesian hyper-parameter optimization for credit scoring. Expert Systems with Applications, 78, 225-241.</w:t>
      </w:r>
    </w:p>
    <w:p>
      <w:pPr>
        <w:pStyle w:val="Normal"/>
        <w:spacing w:lineRule="auto" w:line="276"/>
        <w:jc w:val="both"/>
        <w:rPr/>
      </w:pPr>
      <w:r>
        <w:rPr/>
        <w:t>Youden, W. J. (1950). Index for rating diagnostic tests. Cancer, 3(1), 32-35.</w:t>
      </w:r>
    </w:p>
    <w:p>
      <w:pPr>
        <w:pStyle w:val="Normal"/>
        <w:spacing w:lineRule="auto" w:line="276"/>
        <w:jc w:val="both"/>
        <w:rPr/>
      </w:pPr>
      <w:r>
        <w:rPr/>
      </w:r>
      <w:r>
        <w:br w:type="page"/>
      </w:r>
    </w:p>
    <w:p>
      <w:pPr>
        <w:pStyle w:val="Heading1"/>
        <w:spacing w:lineRule="auto" w:line="276" w:before="0" w:after="320"/>
        <w:jc w:val="both"/>
        <w:rPr/>
      </w:pPr>
      <w:r>
        <w:rPr/>
        <w:t>Appendix A: Full Dataset Feature Dictionary</w:t>
      </w:r>
    </w:p>
    <w:p>
      <w:pPr>
        <w:pStyle w:val="Normal"/>
        <w:spacing w:lineRule="auto" w:line="276" w:before="0" w:after="160"/>
        <w:jc w:val="both"/>
        <w:rPr/>
      </w:pPr>
      <w:r>
        <w:rPr>
          <w:b/>
          <w:bCs/>
        </w:rPr>
        <w:t xml:space="preserve">customer_id </w:t>
      </w:r>
      <w:r>
        <w:rPr>
          <w:i/>
          <w:iCs/>
        </w:rPr>
        <w:t xml:space="preserve">(Customer Information): </w:t>
      </w:r>
      <w:r>
        <w:rPr/>
        <w:t>Unique identifier for each customer.</w:t>
      </w:r>
    </w:p>
    <w:p>
      <w:pPr>
        <w:pStyle w:val="Normal"/>
        <w:spacing w:lineRule="auto" w:line="276" w:before="0" w:after="160"/>
        <w:jc w:val="both"/>
        <w:rPr/>
      </w:pPr>
      <w:r>
        <w:rPr>
          <w:b/>
          <w:bCs/>
        </w:rPr>
        <w:t xml:space="preserve">age </w:t>
      </w:r>
      <w:r>
        <w:rPr>
          <w:i/>
          <w:iCs/>
        </w:rPr>
        <w:t xml:space="preserve">(Customer Information): </w:t>
      </w:r>
      <w:r>
        <w:rPr/>
        <w:t>Applicant's age in years.</w:t>
      </w:r>
    </w:p>
    <w:p>
      <w:pPr>
        <w:pStyle w:val="Normal"/>
        <w:spacing w:lineRule="auto" w:line="276" w:before="0" w:after="160"/>
        <w:jc w:val="both"/>
        <w:rPr/>
      </w:pPr>
      <w:r>
        <w:rPr>
          <w:b/>
          <w:bCs/>
        </w:rPr>
        <w:t xml:space="preserve">occupation_status </w:t>
      </w:r>
      <w:r>
        <w:rPr>
          <w:i/>
          <w:iCs/>
        </w:rPr>
        <w:t xml:space="preserve">(Customer Information): </w:t>
      </w:r>
      <w:r>
        <w:rPr/>
        <w:t>Employment status (Employed, Self-Employed, Student).</w:t>
      </w:r>
    </w:p>
    <w:p>
      <w:pPr>
        <w:pStyle w:val="Normal"/>
        <w:spacing w:lineRule="auto" w:line="276" w:before="0" w:after="160"/>
        <w:jc w:val="both"/>
        <w:rPr/>
      </w:pPr>
      <w:r>
        <w:rPr>
          <w:b/>
          <w:bCs/>
        </w:rPr>
        <w:t xml:space="preserve">years_employed </w:t>
      </w:r>
      <w:r>
        <w:rPr>
          <w:i/>
          <w:iCs/>
        </w:rPr>
        <w:t xml:space="preserve">(Customer Information): </w:t>
      </w:r>
      <w:r>
        <w:rPr/>
        <w:t>Number of years the applicant has been employed.</w:t>
      </w:r>
    </w:p>
    <w:p>
      <w:pPr>
        <w:pStyle w:val="Normal"/>
        <w:spacing w:lineRule="auto" w:line="276" w:before="0" w:after="160"/>
        <w:jc w:val="both"/>
        <w:rPr/>
      </w:pPr>
      <w:r>
        <w:rPr>
          <w:b/>
          <w:bCs/>
        </w:rPr>
        <w:t xml:space="preserve">annual_income </w:t>
      </w:r>
      <w:r>
        <w:rPr>
          <w:i/>
          <w:iCs/>
        </w:rPr>
        <w:t xml:space="preserve">(Financial Situation): </w:t>
      </w:r>
      <w:r>
        <w:rPr/>
        <w:t>Applicant's yearly income.</w:t>
      </w:r>
    </w:p>
    <w:p>
      <w:pPr>
        <w:pStyle w:val="Normal"/>
        <w:spacing w:lineRule="auto" w:line="276" w:before="0" w:after="160"/>
        <w:jc w:val="both"/>
        <w:rPr/>
      </w:pPr>
      <w:r>
        <w:rPr>
          <w:b/>
          <w:bCs/>
        </w:rPr>
        <w:t xml:space="preserve">savings_assets </w:t>
      </w:r>
      <w:r>
        <w:rPr>
          <w:i/>
          <w:iCs/>
        </w:rPr>
        <w:t xml:space="preserve">(Financial Situation): </w:t>
      </w:r>
      <w:r>
        <w:rPr/>
        <w:t>Total savings or liquid assets owned.</w:t>
      </w:r>
    </w:p>
    <w:p>
      <w:pPr>
        <w:pStyle w:val="Normal"/>
        <w:spacing w:lineRule="auto" w:line="276" w:before="0" w:after="160"/>
        <w:jc w:val="both"/>
        <w:rPr/>
      </w:pPr>
      <w:r>
        <w:rPr>
          <w:b/>
          <w:bCs/>
        </w:rPr>
        <w:t xml:space="preserve">current_debt </w:t>
      </w:r>
      <w:r>
        <w:rPr>
          <w:i/>
          <w:iCs/>
        </w:rPr>
        <w:t xml:space="preserve">(Financial Situation): </w:t>
      </w:r>
      <w:r>
        <w:rPr/>
        <w:t>Total outstanding existing debt.</w:t>
      </w:r>
    </w:p>
    <w:p>
      <w:pPr>
        <w:pStyle w:val="Normal"/>
        <w:spacing w:lineRule="auto" w:line="276" w:before="0" w:after="160"/>
        <w:jc w:val="both"/>
        <w:rPr/>
      </w:pPr>
      <w:r>
        <w:rPr>
          <w:b/>
          <w:bCs/>
        </w:rPr>
        <w:t xml:space="preserve">credit_score </w:t>
      </w:r>
      <w:r>
        <w:rPr>
          <w:i/>
          <w:iCs/>
        </w:rPr>
        <w:t xml:space="preserve">(Credit History &amp; Risk): </w:t>
      </w:r>
      <w:r>
        <w:rPr/>
        <w:t>Creditworthiness score; higher values indicate lower risk.</w:t>
      </w:r>
    </w:p>
    <w:p>
      <w:pPr>
        <w:pStyle w:val="Normal"/>
        <w:spacing w:lineRule="auto" w:line="276" w:before="0" w:after="160"/>
        <w:jc w:val="both"/>
        <w:rPr/>
      </w:pPr>
      <w:r>
        <w:rPr>
          <w:b/>
          <w:bCs/>
        </w:rPr>
        <w:t xml:space="preserve">credit_history_years </w:t>
      </w:r>
      <w:r>
        <w:rPr>
          <w:i/>
          <w:iCs/>
        </w:rPr>
        <w:t xml:space="preserve">(Credit History &amp; Risk): </w:t>
      </w:r>
      <w:r>
        <w:rPr/>
        <w:t>Length of the applicant's credit history, in years.</w:t>
      </w:r>
    </w:p>
    <w:p>
      <w:pPr>
        <w:pStyle w:val="Normal"/>
        <w:spacing w:lineRule="auto" w:line="276" w:before="0" w:after="160"/>
        <w:jc w:val="both"/>
        <w:rPr/>
      </w:pPr>
      <w:r>
        <w:rPr>
          <w:b/>
          <w:bCs/>
        </w:rPr>
        <w:t xml:space="preserve">defaults_on_file </w:t>
      </w:r>
      <w:r>
        <w:rPr>
          <w:i/>
          <w:iCs/>
        </w:rPr>
        <w:t xml:space="preserve">(Credit History &amp; Risk): </w:t>
      </w:r>
      <w:r>
        <w:rPr/>
        <w:t>Number of previous loan defaults on record.</w:t>
      </w:r>
    </w:p>
    <w:p>
      <w:pPr>
        <w:pStyle w:val="Normal"/>
        <w:spacing w:lineRule="auto" w:line="276" w:before="0" w:after="160"/>
        <w:jc w:val="both"/>
        <w:rPr/>
      </w:pPr>
      <w:r>
        <w:rPr>
          <w:b/>
          <w:bCs/>
        </w:rPr>
        <w:t xml:space="preserve">delinquencies_last_2yrs </w:t>
      </w:r>
      <w:r>
        <w:rPr>
          <w:i/>
          <w:iCs/>
        </w:rPr>
        <w:t xml:space="preserve">(Credit History &amp; Risk): </w:t>
      </w:r>
      <w:r>
        <w:rPr/>
        <w:t>Number of late payments in the last two years.</w:t>
      </w:r>
    </w:p>
    <w:p>
      <w:pPr>
        <w:pStyle w:val="Normal"/>
        <w:spacing w:lineRule="auto" w:line="276" w:before="0" w:after="160"/>
        <w:jc w:val="both"/>
        <w:rPr/>
      </w:pPr>
      <w:r>
        <w:rPr>
          <w:b/>
          <w:bCs/>
        </w:rPr>
        <w:t xml:space="preserve">derogatory_marks </w:t>
      </w:r>
      <w:r>
        <w:rPr>
          <w:i/>
          <w:iCs/>
        </w:rPr>
        <w:t xml:space="preserve">(Credit History &amp; Risk): </w:t>
      </w:r>
      <w:r>
        <w:rPr/>
        <w:t>Number of negative credit records (e.g., bankruptcies, collections).</w:t>
      </w:r>
    </w:p>
    <w:p>
      <w:pPr>
        <w:pStyle w:val="Normal"/>
        <w:spacing w:lineRule="auto" w:line="276" w:before="0" w:after="160"/>
        <w:jc w:val="both"/>
        <w:rPr/>
      </w:pPr>
      <w:r>
        <w:rPr>
          <w:b/>
          <w:bCs/>
        </w:rPr>
        <w:t xml:space="preserve">product_type </w:t>
      </w:r>
      <w:r>
        <w:rPr>
          <w:i/>
          <w:iCs/>
        </w:rPr>
        <w:t xml:space="preserve">(Loan Information): </w:t>
      </w:r>
      <w:r>
        <w:rPr/>
        <w:t>Type of financial product requested (Credit Card, Personal Loan, Line of Credit).</w:t>
      </w:r>
    </w:p>
    <w:p>
      <w:pPr>
        <w:pStyle w:val="Normal"/>
        <w:spacing w:lineRule="auto" w:line="276" w:before="0" w:after="160"/>
        <w:jc w:val="both"/>
        <w:rPr/>
      </w:pPr>
      <w:r>
        <w:rPr>
          <w:b/>
          <w:bCs/>
        </w:rPr>
        <w:t xml:space="preserve">loan_intent </w:t>
      </w:r>
      <w:r>
        <w:rPr>
          <w:i/>
          <w:iCs/>
        </w:rPr>
        <w:t xml:space="preserve">(Loan Information): </w:t>
      </w:r>
      <w:r>
        <w:rPr/>
        <w:t>Stated purpose of the loan (e.g., Business, Education, Home Improvement).</w:t>
      </w:r>
    </w:p>
    <w:p>
      <w:pPr>
        <w:pStyle w:val="Normal"/>
        <w:spacing w:lineRule="auto" w:line="276" w:before="0" w:after="160"/>
        <w:jc w:val="both"/>
        <w:rPr/>
      </w:pPr>
      <w:r>
        <w:rPr>
          <w:b/>
          <w:bCs/>
        </w:rPr>
        <w:t xml:space="preserve">loan_amount </w:t>
      </w:r>
      <w:r>
        <w:rPr>
          <w:i/>
          <w:iCs/>
        </w:rPr>
        <w:t xml:space="preserve">(Loan Information): </w:t>
      </w:r>
      <w:r>
        <w:rPr/>
        <w:t>Amount of credit requested by the applicant.</w:t>
      </w:r>
    </w:p>
    <w:p>
      <w:pPr>
        <w:pStyle w:val="Normal"/>
        <w:spacing w:lineRule="auto" w:line="276" w:before="0" w:after="160"/>
        <w:jc w:val="both"/>
        <w:rPr/>
      </w:pPr>
      <w:r>
        <w:rPr>
          <w:b/>
          <w:bCs/>
        </w:rPr>
        <w:t xml:space="preserve">interest_rate </w:t>
      </w:r>
      <w:r>
        <w:rPr>
          <w:i/>
          <w:iCs/>
        </w:rPr>
        <w:t xml:space="preserve">(Loan Information): </w:t>
      </w:r>
      <w:r>
        <w:rPr/>
        <w:t>Interest rate (%) assigned to the loan.</w:t>
      </w:r>
    </w:p>
    <w:p>
      <w:pPr>
        <w:pStyle w:val="Normal"/>
        <w:spacing w:lineRule="auto" w:line="276" w:before="0" w:after="160"/>
        <w:jc w:val="both"/>
        <w:rPr/>
      </w:pPr>
      <w:r>
        <w:rPr>
          <w:b/>
          <w:bCs/>
        </w:rPr>
        <w:t xml:space="preserve">debt_to_income_ratio </w:t>
      </w:r>
      <w:r>
        <w:rPr>
          <w:i/>
          <w:iCs/>
        </w:rPr>
        <w:t xml:space="preserve">(Financial Ratios): </w:t>
      </w:r>
      <w:r>
        <w:rPr/>
        <w:t>Ratio of total current debt to annual income.</w:t>
      </w:r>
    </w:p>
    <w:p>
      <w:pPr>
        <w:pStyle w:val="Normal"/>
        <w:spacing w:lineRule="auto" w:line="276" w:before="0" w:after="160"/>
        <w:jc w:val="both"/>
        <w:rPr/>
      </w:pPr>
      <w:r>
        <w:rPr>
          <w:b/>
          <w:bCs/>
        </w:rPr>
        <w:t xml:space="preserve">loan_to_income_ratio </w:t>
      </w:r>
      <w:r>
        <w:rPr>
          <w:i/>
          <w:iCs/>
        </w:rPr>
        <w:t xml:space="preserve">(Financial Ratios): </w:t>
      </w:r>
      <w:r>
        <w:rPr/>
        <w:t>Ratio of the requested loan amount to annual income.</w:t>
      </w:r>
    </w:p>
    <w:p>
      <w:pPr>
        <w:pStyle w:val="Normal"/>
        <w:spacing w:lineRule="auto" w:line="276" w:before="0" w:after="160"/>
        <w:jc w:val="both"/>
        <w:rPr/>
      </w:pPr>
      <w:r>
        <w:rPr>
          <w:b/>
          <w:bCs/>
        </w:rPr>
        <w:t xml:space="preserve">payment_to_income_ratio </w:t>
      </w:r>
      <w:r>
        <w:rPr>
          <w:i/>
          <w:iCs/>
        </w:rPr>
        <w:t xml:space="preserve">(Financial Ratios): </w:t>
      </w:r>
      <w:r>
        <w:rPr/>
        <w:t>Ratio of the expected monthly loan payment to monthly income.</w:t>
      </w:r>
    </w:p>
    <w:p>
      <w:pPr>
        <w:pStyle w:val="Normal"/>
        <w:spacing w:lineRule="auto" w:line="276" w:before="0" w:after="160"/>
        <w:jc w:val="both"/>
        <w:rPr/>
      </w:pPr>
      <w:r>
        <w:rPr>
          <w:b/>
          <w:bCs/>
        </w:rPr>
        <w:t xml:space="preserve">loan_status </w:t>
      </w:r>
      <w:r>
        <w:rPr>
          <w:i/>
          <w:iCs/>
        </w:rPr>
        <w:t xml:space="preserve">(Target Variable): </w:t>
      </w:r>
      <w:r>
        <w:rPr/>
        <w:t>Binary outcome: 1 = higher risk / default, 0 = safe / approved.</w:t>
      </w:r>
      <w:r>
        <w:br w:type="page"/>
      </w:r>
    </w:p>
    <w:p>
      <w:pPr>
        <w:pStyle w:val="Heading1"/>
        <w:spacing w:lineRule="auto" w:line="276" w:before="0" w:after="320"/>
        <w:jc w:val="both"/>
        <w:rPr/>
      </w:pPr>
      <w:r>
        <w:rPr/>
        <w:t>Appendix B: Business Cost Function and Confusion-Matrix Summary</w:t>
      </w:r>
    </w:p>
    <w:p>
      <w:pPr>
        <w:pStyle w:val="Normal"/>
        <w:spacing w:lineRule="auto" w:line="276" w:before="0" w:after="200"/>
        <w:jc w:val="both"/>
        <w:rPr/>
      </w:pPr>
      <w:r>
        <w:rPr/>
        <w:t>The business cost function used throughout this thesis is defined as Cost = c_FP x FP + c_FN x FN, where FP and FN denote the number of false positives and false negatives observed on the evaluated dataset partition, and c_FP and c_FN denote the illustrative unit costs assigned to each error type, with c_FN set substantially higher than c_FP to reflect the materially greater financial consequence of approving a defaulting applicant relative to rejecting a creditworthy one. At the cost-optimal threshold of 0.28 identified in Section 4.9, the resulting test-set confusion matrix comprised 1,865 true negatives, 383 false positives, 75 false negatives, and 2,677 true positives, yielding a total business cost of 570.5 units, an FP/FN ratio of 5.11, an overall accuracy of 91%, and a recall of 97% for the default class.</w:t>
      </w:r>
    </w:p>
    <w:p>
      <w:pPr>
        <w:pStyle w:val="Normal"/>
        <w:spacing w:lineRule="auto" w:line="276" w:before="0" w:after="200"/>
        <w:jc w:val="both"/>
        <w:rPr/>
      </w:pPr>
      <w:r>
        <w:rPr/>
        <w:t>The selective prediction framework described in Sections 4.13 and 5.7 extends this single-threshold rule into a two-threshold rule (t1, t2), routing predicted probabilities below t1 to automatic approval, predicted probabilities above t2 to automatic rejection, and predicted probabilities between t1 and t2 to manual review. The optimised threshold pair, with the manual-review zone centred near the interval [0.20, 0.60], referred 12.3% of the test-set applications to manual review while reducing total business cost by approximately 58.5% and false negatives by approximately 58.7% among the automatically decided applications, relative to the single-threshold baseline.</w:t>
      </w:r>
    </w:p>
    <w:sectPr>
      <w:headerReference w:type="even" r:id="rId22"/>
      <w:headerReference w:type="default" r:id="rId23"/>
      <w:headerReference w:type="first" r:id="rId24"/>
      <w:footerReference w:type="even" r:id="rId25"/>
      <w:footerReference w:type="default" r:id="rId26"/>
      <w:footerReference w:type="first" r:id="rId27"/>
      <w:type w:val="nextPage"/>
      <w:pgSz w:w="12240" w:h="15840"/>
      <w:pgMar w:left="216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Tahoma">
    <w:charset w:val="00"/>
    <w:family w:val="roman"/>
    <w:pitch w:val="variable"/>
  </w:font>
  <w:font w:name="Times New Roman">
    <w:charset w:val="01"/>
    <w:family w:val="roman"/>
    <w:pitch w:val="variable"/>
  </w:font>
  <w:font w:name="Cambria Math">
    <w:charset w:val="00"/>
    <w:family w:val="roman"/>
    <w:pitch w:val="variable"/>
  </w:font>
  <w:font w:name="Wingdings">
    <w:charset w:val="02"/>
    <w:family w:val="auto"/>
    <w:pitch w:val="variable"/>
  </w:font>
  <w:font w:name="Wingdings 2">
    <w:charset w:val="02"/>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3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90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90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3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zh-CN" w:bidi="fa-IR"/>
      </w:rPr>
    </w:rPrDefault>
    <w:pPrDefault>
      <w:pPr>
        <w:suppressAutoHyphens w:val="true"/>
      </w:pPr>
    </w:pPrDefault>
  </w:docDefaults>
  <w:style w:type="paragraph" w:styleId="Normal">
    <w:name w:val="Normal"/>
    <w:qFormat/>
    <w:pPr>
      <w:widowControl/>
      <w:suppressAutoHyphens w:val="true"/>
      <w:bidi w:val="0"/>
      <w:spacing w:lineRule="auto" w:line="540" w:before="0" w:after="320"/>
      <w:jc w:val="left"/>
    </w:pPr>
    <w:rPr>
      <w:rFonts w:ascii="Calibri" w:hAnsi="Calibri" w:eastAsia="Calibri" w:cs="Calibri"/>
      <w:color w:val="auto"/>
      <w:kern w:val="0"/>
      <w:sz w:val="24"/>
      <w:szCs w:val="24"/>
      <w:lang w:val="en-US" w:eastAsia="zh-CN" w:bidi="fa-IR"/>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Index">
    <w:name w:val="Index"/>
    <w:basedOn w:val="Normal"/>
    <w:qFormat/>
    <w:pPr>
      <w:suppressLineNumbers/>
    </w:pPr>
    <w:rPr>
      <w:rFonts w:cs="Tahoma"/>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auto" w:line="540" w:before="0" w:after="320"/>
      <w:jc w:val="left"/>
    </w:pPr>
    <w:rPr>
      <w:rFonts w:ascii="Calibri" w:hAnsi="Calibri" w:eastAsia="Calibri" w:cs="Calibri"/>
      <w:b/>
      <w:bCs/>
      <w:color w:val="auto"/>
      <w:kern w:val="0"/>
      <w:sz w:val="24"/>
      <w:szCs w:val="24"/>
      <w:lang w:val="en-US" w:eastAsia="zh-CN" w:bidi="fa-IR"/>
    </w:rPr>
  </w:style>
  <w:style w:type="paragraph" w:styleId="ListParagraph">
    <w:name w:val="List Paragraph"/>
    <w:qFormat/>
    <w:pPr>
      <w:widowControl/>
      <w:suppressAutoHyphens w:val="true"/>
      <w:bidi w:val="0"/>
      <w:spacing w:lineRule="auto" w:line="540" w:before="0" w:after="320"/>
      <w:jc w:val="left"/>
    </w:pPr>
    <w:rPr>
      <w:rFonts w:ascii="Calibri" w:hAnsi="Calibri" w:eastAsia="Calibri" w:cs="Calibri"/>
      <w:color w:val="auto"/>
      <w:kern w:val="0"/>
      <w:sz w:val="24"/>
      <w:szCs w:val="24"/>
      <w:lang w:val="en-US" w:eastAsia="zh-CN" w:bidi="fa-I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DefaultDrawingStyle">
    <w:name w:val="Default Drawing Style"/>
    <w:qFormat/>
    <w:pPr>
      <w:widowControl/>
      <w:suppressAutoHyphens w:val="true"/>
      <w:bidi w:val="0"/>
      <w:spacing w:lineRule="atLeast" w:line="200" w:before="0" w:after="0"/>
      <w:jc w:val="left"/>
    </w:pPr>
    <w:rPr>
      <w:rFonts w:ascii="Tahoma" w:hAnsi="Tahoma" w:eastAsia="Tahoma" w:cs="SRH"/>
      <w:b w:val="false"/>
      <w:i w:val="false"/>
      <w:caps w:val="false"/>
      <w:smallCaps w:val="false"/>
      <w:strike w:val="false"/>
      <w:dstrike w:val="false"/>
      <w:outline w:val="false"/>
      <w:shadow w:val="false"/>
      <w:color w:val="auto"/>
      <w:kern w:val="2"/>
      <w:sz w:val="36"/>
      <w:szCs w:val="24"/>
      <w:u w:val="none"/>
      <w:em w:val="none"/>
      <w:lang w:val="en-US" w:eastAsia="zh-CN" w:bidi="fa-IR"/>
    </w:rPr>
  </w:style>
  <w:style w:type="paragraph" w:styleId="TOCHeading">
    <w:name w:val="TOC Heading"/>
    <w:basedOn w:val="Heading1"/>
    <w:next w:val="Normal"/>
    <w:qFormat/>
    <w:pPr>
      <w:spacing w:lineRule="auto" w:line="259" w:before="240" w:after="0"/>
      <w:jc w:val="left"/>
    </w:pPr>
    <w:rPr>
      <w:sz w:val="32"/>
      <w:szCs w:val="32"/>
      <w:lang w:val="en-US" w:eastAsia="en-US"/>
    </w:rPr>
  </w:style>
  <w:style w:type="paragraph" w:styleId="TOC1">
    <w:name w:val="toc 1"/>
    <w:basedOn w:val="Normal"/>
    <w:next w:val="Normal"/>
    <w:pPr>
      <w:spacing w:before="0" w:after="100"/>
    </w:pPr>
    <w:rPr/>
  </w:style>
  <w:style w:type="paragraph" w:styleId="TOC2">
    <w:name w:val="toc 2"/>
    <w:basedOn w:val="Normal"/>
    <w:next w:val="Normal"/>
    <w:pPr>
      <w:spacing w:before="0" w:after="100"/>
      <w:ind w:left="220"/>
    </w:pPr>
    <w:rPr/>
  </w:style>
  <w:style w:type="paragraph" w:styleId="TOC3">
    <w:name w:val="toc 3"/>
    <w:basedOn w:val="Normal"/>
    <w:next w:val="Normal"/>
    <w:pPr>
      <w:spacing w:before="0" w:after="100"/>
      <w:ind w:left="440"/>
    </w:pPr>
    <w:rPr/>
  </w:style>
  <w:style w:type="paragraph" w:styleId="TableofFigures">
    <w:name w:val="table of figures"/>
    <w:basedOn w:val="Normal"/>
    <w:next w:val="Normal"/>
    <w:pPr>
      <w:spacing w:before="0" w:after="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9.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5.png"/><Relationship Id="rId21" Type="http://schemas.openxmlformats.org/officeDocument/2006/relationships/image" Target="media/image18.png"/><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2714</TotalTime>
  <Application>LibreOffice/26.2.5.2$Windows_X86_64 LibreOffice_project/cd7284b4cbbfeb507e630c1aac019f4157393acb</Application>
  <AppVersion>15.0000</AppVersion>
  <Pages>90</Pages>
  <Words>18625</Words>
  <Characters>118161</Characters>
  <CharactersWithSpaces>136051</CharactersWithSpaces>
  <Paragraphs>774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2026-08-15T15:52:41Z</dcterms:created>
  <dc:creator>Un-named</dc:creator>
  <dc:description/>
  <dc:language>en-US</dc:language>
  <cp:lastModifiedBy/>
  <dcterms:modified xsi:type="dcterms:W3CDTF">2026-09-08T20:35:57Z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