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Exploratory Data Analysis (EDA)</w:t>
      </w:r>
    </w:p>
    <w:p>
      <w:pPr>
        <w:pStyle w:val="Heading2"/>
        <w:bidi w:val="0"/>
        <w:jc w:val="start"/>
        <w:rPr/>
      </w:pPr>
      <w:r>
        <w:rPr/>
        <w:t>1. Statistical Summary of the Dataset</w:t>
      </w:r>
    </w:p>
    <w:p>
      <w:pPr>
        <w:pStyle w:val="BodyText"/>
        <w:bidi w:val="0"/>
        <w:jc w:val="start"/>
        <w:rPr/>
      </w:pPr>
      <w:r>
        <w:rPr/>
        <w:t>After completing the data cleaning and preprocessing stages, an Exploratory Data Analysis (EDA) was performed to understand the structure of the dataset, summarize the characteristics of both categorical and numerical variables, and identify any unusual patterns before model development.</w:t>
      </w:r>
    </w:p>
    <w:p>
      <w:pPr>
        <w:pStyle w:val="HorizontalLine"/>
        <w:bidi w:val="0"/>
        <w:jc w:val="start"/>
        <w:rPr/>
      </w:pPr>
      <w:r>
        <w:rPr/>
      </w:r>
    </w:p>
    <w:p>
      <w:pPr>
        <w:pStyle w:val="Heading1"/>
        <w:bidi w:val="0"/>
        <w:jc w:val="start"/>
        <w:rPr/>
      </w:pPr>
      <w:r>
        <w:rPr/>
        <w:t>Step 1: Summary of Categorical Variables</w:t>
      </w:r>
    </w:p>
    <w:p>
      <w:pPr>
        <w:pStyle w:val="BodyText"/>
        <w:bidi w:val="0"/>
        <w:jc w:val="start"/>
        <w:rPr/>
      </w:pPr>
      <w:r>
        <w:rPr/>
        <w:t>The following code generates descriptive statistics for all categorical (</w:t>
      </w:r>
      <w:r>
        <w:rPr>
          <w:rStyle w:val="SourceText"/>
        </w:rPr>
        <w:t>object</w:t>
      </w:r>
      <w:r>
        <w:rPr/>
        <w:t xml:space="preserve"> or </w:t>
      </w:r>
      <w:r>
        <w:rPr>
          <w:rStyle w:val="SourceText"/>
        </w:rPr>
        <w:t>string</w:t>
      </w:r>
      <w:r>
        <w:rPr/>
        <w:t>) variables.</w:t>
      </w:r>
    </w:p>
    <w:p>
      <w:pPr>
        <w:sectPr>
          <w:type w:val="nextPage"/>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r>
        <w:rPr>
          <w:rStyle w:val="SourceText"/>
        </w:rPr>
        <w:t>print(df.describe(include=['object', 'string']))</w:t>
      </w:r>
    </w:p>
    <w:p>
      <w:pPr>
        <w:sectPr>
          <w:type w:val="continuous"/>
          <w:pgSz w:w="11906" w:h="16838"/>
          <w:pgMar w:left="1134" w:right="1134" w:gutter="0" w:header="0" w:top="1134" w:footer="0" w:bottom="1134"/>
          <w:formProt w:val="false"/>
          <w:textDirection w:val="lrTb"/>
        </w:sectPr>
      </w:pPr>
    </w:p>
    <w:p>
      <w:pPr>
        <w:pStyle w:val="Heading2"/>
        <w:bidi w:val="0"/>
        <w:jc w:val="start"/>
        <w:rPr/>
      </w:pPr>
      <w:r>
        <w:rPr/>
        <w:t>Purpose</w:t>
      </w:r>
    </w:p>
    <w:p>
      <w:pPr>
        <w:pStyle w:val="BodyText"/>
        <w:bidi w:val="0"/>
        <w:jc w:val="start"/>
        <w:rPr/>
      </w:pPr>
      <w:r>
        <w:rPr>
          <w:color w:val="C9211E"/>
        </w:rPr>
        <w:t xml:space="preserve">Unlike numerical variables, categorical features cannot be summarized using measures such as mean or standard deviation. Instead, </w:t>
      </w:r>
      <w:r>
        <w:rPr>
          <w:rStyle w:val="SourceText"/>
          <w:color w:val="C9211E"/>
        </w:rPr>
        <w:t>describe(include=['object', 'string'])</w:t>
      </w:r>
      <w:r>
        <w:rPr>
          <w:color w:val="C9211E"/>
        </w:rPr>
        <w:t xml:space="preserve"> provides:</w:t>
      </w:r>
    </w:p>
    <w:p>
      <w:pPr>
        <w:pStyle w:val="BodyText"/>
        <w:numPr>
          <w:ilvl w:val="0"/>
          <w:numId w:val="1"/>
        </w:numPr>
        <w:tabs>
          <w:tab w:val="clear" w:pos="709"/>
          <w:tab w:val="left" w:pos="709" w:leader="none"/>
        </w:tabs>
        <w:bidi w:val="0"/>
        <w:spacing w:before="0" w:after="0"/>
        <w:ind w:hanging="283" w:start="709"/>
        <w:jc w:val="start"/>
        <w:rPr/>
      </w:pPr>
      <w:r>
        <w:rPr>
          <w:color w:val="C9211E"/>
        </w:rPr>
        <w:t>Number of non-missing observations (</w:t>
      </w:r>
      <w:r>
        <w:rPr>
          <w:rStyle w:val="SourceText"/>
          <w:color w:val="C9211E"/>
        </w:rPr>
        <w:t>count</w:t>
      </w:r>
      <w:r>
        <w:rPr>
          <w:color w:val="C9211E"/>
        </w:rPr>
        <w:t xml:space="preserve">) </w:t>
      </w:r>
    </w:p>
    <w:p>
      <w:pPr>
        <w:pStyle w:val="BodyText"/>
        <w:numPr>
          <w:ilvl w:val="0"/>
          <w:numId w:val="1"/>
        </w:numPr>
        <w:tabs>
          <w:tab w:val="clear" w:pos="709"/>
          <w:tab w:val="left" w:pos="709" w:leader="none"/>
        </w:tabs>
        <w:bidi w:val="0"/>
        <w:spacing w:before="0" w:after="0"/>
        <w:ind w:hanging="283" w:start="709"/>
        <w:jc w:val="start"/>
        <w:rPr/>
      </w:pPr>
      <w:r>
        <w:rPr>
          <w:color w:val="C9211E"/>
        </w:rPr>
        <w:t>Number of unique categories (</w:t>
      </w:r>
      <w:r>
        <w:rPr>
          <w:rStyle w:val="SourceText"/>
          <w:color w:val="C9211E"/>
        </w:rPr>
        <w:t>unique</w:t>
      </w:r>
      <w:r>
        <w:rPr>
          <w:color w:val="C9211E"/>
        </w:rPr>
        <w:t xml:space="preserve">) </w:t>
      </w:r>
    </w:p>
    <w:p>
      <w:pPr>
        <w:pStyle w:val="BodyText"/>
        <w:numPr>
          <w:ilvl w:val="0"/>
          <w:numId w:val="1"/>
        </w:numPr>
        <w:tabs>
          <w:tab w:val="clear" w:pos="709"/>
          <w:tab w:val="left" w:pos="709" w:leader="none"/>
        </w:tabs>
        <w:bidi w:val="0"/>
        <w:spacing w:before="0" w:after="0"/>
        <w:ind w:hanging="283" w:start="709"/>
        <w:jc w:val="start"/>
        <w:rPr/>
      </w:pPr>
      <w:r>
        <w:rPr>
          <w:color w:val="C9211E"/>
        </w:rPr>
        <w:t>Most frequent category (</w:t>
      </w:r>
      <w:r>
        <w:rPr>
          <w:rStyle w:val="SourceText"/>
          <w:color w:val="C9211E"/>
        </w:rPr>
        <w:t>top</w:t>
      </w:r>
      <w:r>
        <w:rPr>
          <w:color w:val="C9211E"/>
        </w:rPr>
        <w:t xml:space="preserve">) </w:t>
      </w:r>
    </w:p>
    <w:p>
      <w:pPr>
        <w:pStyle w:val="BodyText"/>
        <w:numPr>
          <w:ilvl w:val="0"/>
          <w:numId w:val="1"/>
        </w:numPr>
        <w:tabs>
          <w:tab w:val="clear" w:pos="709"/>
          <w:tab w:val="left" w:pos="709" w:leader="none"/>
        </w:tabs>
        <w:bidi w:val="0"/>
        <w:ind w:hanging="283" w:start="709"/>
        <w:jc w:val="start"/>
        <w:rPr/>
      </w:pPr>
      <w:r>
        <w:rPr>
          <w:color w:val="C9211E"/>
        </w:rPr>
        <w:t>Frequency of the most common category (</w:t>
      </w:r>
      <w:r>
        <w:rPr>
          <w:rStyle w:val="SourceText"/>
          <w:color w:val="C9211E"/>
        </w:rPr>
        <w:t>freq</w:t>
      </w:r>
      <w:r>
        <w:rPr>
          <w:color w:val="C9211E"/>
        </w:rPr>
        <w:t xml:space="preserve">) </w:t>
      </w:r>
    </w:p>
    <w:p>
      <w:pPr>
        <w:pStyle w:val="HorizontalLine"/>
        <w:bidi w:val="0"/>
        <w:jc w:val="start"/>
        <w:rPr/>
      </w:pPr>
      <w:r>
        <w:rPr/>
      </w:r>
    </w:p>
    <w:p>
      <w:pPr>
        <w:pStyle w:val="Heading2"/>
        <w:bidi w:val="0"/>
        <w:jc w:val="start"/>
        <w:rPr/>
      </w:pPr>
      <w:r>
        <w:rPr/>
        <w:t>Outcome</w:t>
      </w:r>
    </w:p>
    <w:tbl>
      <w:tblPr>
        <w:tblW w:w="7330" w:type="dxa"/>
        <w:jc w:val="start"/>
        <w:tblInd w:w="0" w:type="dxa"/>
        <w:tblLayout w:type="fixed"/>
        <w:tblCellMar>
          <w:top w:w="28" w:type="dxa"/>
          <w:start w:w="28" w:type="dxa"/>
          <w:bottom w:w="28" w:type="dxa"/>
          <w:end w:w="28" w:type="dxa"/>
        </w:tblCellMar>
      </w:tblPr>
      <w:tblGrid>
        <w:gridCol w:w="1840"/>
        <w:gridCol w:w="766"/>
        <w:gridCol w:w="852"/>
        <w:gridCol w:w="2633"/>
        <w:gridCol w:w="1239"/>
      </w:tblGrid>
      <w:tr>
        <w:trPr>
          <w:tblHeader w:val="true"/>
        </w:trPr>
        <w:tc>
          <w:tcPr>
            <w:tcW w:w="1840" w:type="dxa"/>
            <w:tcBorders/>
            <w:vAlign w:val="center"/>
          </w:tcPr>
          <w:p>
            <w:pPr>
              <w:pStyle w:val="TableHeading"/>
              <w:suppressLineNumbers/>
              <w:bidi w:val="0"/>
              <w:jc w:val="center"/>
              <w:rPr/>
            </w:pPr>
            <w:r>
              <w:rPr/>
              <w:t>Feature</w:t>
            </w:r>
          </w:p>
        </w:tc>
        <w:tc>
          <w:tcPr>
            <w:tcW w:w="766" w:type="dxa"/>
            <w:tcBorders/>
            <w:vAlign w:val="center"/>
          </w:tcPr>
          <w:p>
            <w:pPr>
              <w:pStyle w:val="TableHeading"/>
              <w:suppressLineNumbers/>
              <w:bidi w:val="0"/>
              <w:jc w:val="center"/>
              <w:rPr/>
            </w:pPr>
            <w:r>
              <w:rPr/>
              <w:t>Count</w:t>
            </w:r>
          </w:p>
        </w:tc>
        <w:tc>
          <w:tcPr>
            <w:tcW w:w="852" w:type="dxa"/>
            <w:tcBorders/>
            <w:vAlign w:val="center"/>
          </w:tcPr>
          <w:p>
            <w:pPr>
              <w:pStyle w:val="TableHeading"/>
              <w:suppressLineNumbers/>
              <w:bidi w:val="0"/>
              <w:jc w:val="center"/>
              <w:rPr/>
            </w:pPr>
            <w:r>
              <w:rPr/>
              <w:t>Unique</w:t>
            </w:r>
          </w:p>
        </w:tc>
        <w:tc>
          <w:tcPr>
            <w:tcW w:w="2633" w:type="dxa"/>
            <w:tcBorders/>
            <w:vAlign w:val="center"/>
          </w:tcPr>
          <w:p>
            <w:pPr>
              <w:pStyle w:val="TableHeading"/>
              <w:suppressLineNumbers/>
              <w:bidi w:val="0"/>
              <w:jc w:val="center"/>
              <w:rPr/>
            </w:pPr>
            <w:r>
              <w:rPr/>
              <w:t>Most Frequent Category</w:t>
            </w:r>
          </w:p>
        </w:tc>
        <w:tc>
          <w:tcPr>
            <w:tcW w:w="1239" w:type="dxa"/>
            <w:tcBorders/>
            <w:vAlign w:val="center"/>
          </w:tcPr>
          <w:p>
            <w:pPr>
              <w:pStyle w:val="TableHeading"/>
              <w:suppressLineNumbers/>
              <w:bidi w:val="0"/>
              <w:jc w:val="center"/>
              <w:rPr/>
            </w:pPr>
            <w:r>
              <w:rPr/>
              <w:t>Frequency</w:t>
            </w:r>
          </w:p>
        </w:tc>
      </w:tr>
      <w:tr>
        <w:trPr/>
        <w:tc>
          <w:tcPr>
            <w:tcW w:w="1840" w:type="dxa"/>
            <w:tcBorders/>
            <w:vAlign w:val="center"/>
          </w:tcPr>
          <w:p>
            <w:pPr>
              <w:pStyle w:val="TableContents"/>
              <w:widowControl w:val="false"/>
              <w:suppressLineNumbers/>
              <w:bidi w:val="0"/>
              <w:jc w:val="start"/>
              <w:rPr/>
            </w:pPr>
            <w:r>
              <w:rPr/>
              <w:t>customer_id</w:t>
            </w:r>
          </w:p>
        </w:tc>
        <w:tc>
          <w:tcPr>
            <w:tcW w:w="766" w:type="dxa"/>
            <w:tcBorders/>
            <w:vAlign w:val="center"/>
          </w:tcPr>
          <w:p>
            <w:pPr>
              <w:pStyle w:val="TableContents"/>
              <w:widowControl w:val="false"/>
              <w:suppressLineNumbers/>
              <w:bidi w:val="0"/>
              <w:jc w:val="start"/>
              <w:rPr/>
            </w:pPr>
            <w:r>
              <w:rPr/>
              <w:t>49,999</w:t>
            </w:r>
          </w:p>
        </w:tc>
        <w:tc>
          <w:tcPr>
            <w:tcW w:w="852" w:type="dxa"/>
            <w:tcBorders/>
            <w:vAlign w:val="center"/>
          </w:tcPr>
          <w:p>
            <w:pPr>
              <w:pStyle w:val="TableContents"/>
              <w:widowControl w:val="false"/>
              <w:suppressLineNumbers/>
              <w:bidi w:val="0"/>
              <w:jc w:val="start"/>
              <w:rPr/>
            </w:pPr>
            <w:r>
              <w:rPr/>
              <w:t>49,999</w:t>
            </w:r>
          </w:p>
        </w:tc>
        <w:tc>
          <w:tcPr>
            <w:tcW w:w="2633" w:type="dxa"/>
            <w:tcBorders/>
            <w:vAlign w:val="center"/>
          </w:tcPr>
          <w:p>
            <w:pPr>
              <w:pStyle w:val="TableContents"/>
              <w:widowControl w:val="false"/>
              <w:suppressLineNumbers/>
              <w:bidi w:val="0"/>
              <w:jc w:val="start"/>
              <w:rPr/>
            </w:pPr>
            <w:r>
              <w:rPr/>
              <w:t>CUST100001</w:t>
            </w:r>
          </w:p>
        </w:tc>
        <w:tc>
          <w:tcPr>
            <w:tcW w:w="1239" w:type="dxa"/>
            <w:tcBorders/>
            <w:vAlign w:val="center"/>
          </w:tcPr>
          <w:p>
            <w:pPr>
              <w:pStyle w:val="TableContents"/>
              <w:widowControl w:val="false"/>
              <w:suppressLineNumbers/>
              <w:bidi w:val="0"/>
              <w:jc w:val="start"/>
              <w:rPr/>
            </w:pPr>
            <w:r>
              <w:rPr/>
              <w:t>1</w:t>
            </w:r>
          </w:p>
        </w:tc>
      </w:tr>
      <w:tr>
        <w:trPr/>
        <w:tc>
          <w:tcPr>
            <w:tcW w:w="1840" w:type="dxa"/>
            <w:tcBorders/>
            <w:vAlign w:val="center"/>
          </w:tcPr>
          <w:p>
            <w:pPr>
              <w:pStyle w:val="TableContents"/>
              <w:widowControl w:val="false"/>
              <w:suppressLineNumbers/>
              <w:bidi w:val="0"/>
              <w:jc w:val="start"/>
              <w:rPr/>
            </w:pPr>
            <w:r>
              <w:rPr/>
              <w:t>occupation_status</w:t>
            </w:r>
          </w:p>
        </w:tc>
        <w:tc>
          <w:tcPr>
            <w:tcW w:w="766" w:type="dxa"/>
            <w:tcBorders/>
            <w:vAlign w:val="center"/>
          </w:tcPr>
          <w:p>
            <w:pPr>
              <w:pStyle w:val="TableContents"/>
              <w:widowControl w:val="false"/>
              <w:suppressLineNumbers/>
              <w:bidi w:val="0"/>
              <w:jc w:val="start"/>
              <w:rPr/>
            </w:pPr>
            <w:r>
              <w:rPr/>
              <w:t>49,999</w:t>
            </w:r>
          </w:p>
        </w:tc>
        <w:tc>
          <w:tcPr>
            <w:tcW w:w="852" w:type="dxa"/>
            <w:tcBorders/>
            <w:vAlign w:val="center"/>
          </w:tcPr>
          <w:p>
            <w:pPr>
              <w:pStyle w:val="TableContents"/>
              <w:widowControl w:val="false"/>
              <w:suppressLineNumbers/>
              <w:bidi w:val="0"/>
              <w:jc w:val="start"/>
              <w:rPr/>
            </w:pPr>
            <w:r>
              <w:rPr/>
              <w:t>3</w:t>
            </w:r>
          </w:p>
        </w:tc>
        <w:tc>
          <w:tcPr>
            <w:tcW w:w="2633" w:type="dxa"/>
            <w:tcBorders/>
            <w:vAlign w:val="center"/>
          </w:tcPr>
          <w:p>
            <w:pPr>
              <w:pStyle w:val="TableContents"/>
              <w:widowControl w:val="false"/>
              <w:suppressLineNumbers/>
              <w:bidi w:val="0"/>
              <w:jc w:val="start"/>
              <w:rPr/>
            </w:pPr>
            <w:r>
              <w:rPr/>
              <w:t>Employed</w:t>
            </w:r>
          </w:p>
        </w:tc>
        <w:tc>
          <w:tcPr>
            <w:tcW w:w="1239" w:type="dxa"/>
            <w:tcBorders/>
            <w:vAlign w:val="center"/>
          </w:tcPr>
          <w:p>
            <w:pPr>
              <w:pStyle w:val="TableContents"/>
              <w:widowControl w:val="false"/>
              <w:suppressLineNumbers/>
              <w:bidi w:val="0"/>
              <w:jc w:val="start"/>
              <w:rPr/>
            </w:pPr>
            <w:r>
              <w:rPr/>
              <w:t>34,970</w:t>
            </w:r>
          </w:p>
        </w:tc>
      </w:tr>
      <w:tr>
        <w:trPr/>
        <w:tc>
          <w:tcPr>
            <w:tcW w:w="1840" w:type="dxa"/>
            <w:tcBorders/>
            <w:vAlign w:val="center"/>
          </w:tcPr>
          <w:p>
            <w:pPr>
              <w:pStyle w:val="TableContents"/>
              <w:widowControl w:val="false"/>
              <w:suppressLineNumbers/>
              <w:bidi w:val="0"/>
              <w:jc w:val="start"/>
              <w:rPr/>
            </w:pPr>
            <w:r>
              <w:rPr/>
              <w:t>product_type</w:t>
            </w:r>
          </w:p>
        </w:tc>
        <w:tc>
          <w:tcPr>
            <w:tcW w:w="766" w:type="dxa"/>
            <w:tcBorders/>
            <w:vAlign w:val="center"/>
          </w:tcPr>
          <w:p>
            <w:pPr>
              <w:pStyle w:val="TableContents"/>
              <w:widowControl w:val="false"/>
              <w:suppressLineNumbers/>
              <w:bidi w:val="0"/>
              <w:jc w:val="start"/>
              <w:rPr/>
            </w:pPr>
            <w:r>
              <w:rPr/>
              <w:t>49,999</w:t>
            </w:r>
          </w:p>
        </w:tc>
        <w:tc>
          <w:tcPr>
            <w:tcW w:w="852" w:type="dxa"/>
            <w:tcBorders/>
            <w:vAlign w:val="center"/>
          </w:tcPr>
          <w:p>
            <w:pPr>
              <w:pStyle w:val="TableContents"/>
              <w:widowControl w:val="false"/>
              <w:suppressLineNumbers/>
              <w:bidi w:val="0"/>
              <w:jc w:val="start"/>
              <w:rPr/>
            </w:pPr>
            <w:r>
              <w:rPr/>
              <w:t>3</w:t>
            </w:r>
          </w:p>
        </w:tc>
        <w:tc>
          <w:tcPr>
            <w:tcW w:w="2633" w:type="dxa"/>
            <w:tcBorders/>
            <w:vAlign w:val="center"/>
          </w:tcPr>
          <w:p>
            <w:pPr>
              <w:pStyle w:val="TableContents"/>
              <w:widowControl w:val="false"/>
              <w:suppressLineNumbers/>
              <w:bidi w:val="0"/>
              <w:jc w:val="start"/>
              <w:rPr/>
            </w:pPr>
            <w:r>
              <w:rPr/>
              <w:t>Credit Card</w:t>
            </w:r>
          </w:p>
        </w:tc>
        <w:tc>
          <w:tcPr>
            <w:tcW w:w="1239" w:type="dxa"/>
            <w:tcBorders/>
            <w:vAlign w:val="center"/>
          </w:tcPr>
          <w:p>
            <w:pPr>
              <w:pStyle w:val="TableContents"/>
              <w:widowControl w:val="false"/>
              <w:suppressLineNumbers/>
              <w:bidi w:val="0"/>
              <w:jc w:val="start"/>
              <w:rPr/>
            </w:pPr>
            <w:r>
              <w:rPr/>
              <w:t>22,454</w:t>
            </w:r>
          </w:p>
        </w:tc>
      </w:tr>
      <w:tr>
        <w:trPr/>
        <w:tc>
          <w:tcPr>
            <w:tcW w:w="1840" w:type="dxa"/>
            <w:tcBorders/>
            <w:vAlign w:val="center"/>
          </w:tcPr>
          <w:p>
            <w:pPr>
              <w:pStyle w:val="TableContents"/>
              <w:widowControl w:val="false"/>
              <w:suppressLineNumbers/>
              <w:bidi w:val="0"/>
              <w:jc w:val="start"/>
              <w:rPr/>
            </w:pPr>
            <w:r>
              <w:rPr/>
              <w:t>loan_intent</w:t>
            </w:r>
          </w:p>
        </w:tc>
        <w:tc>
          <w:tcPr>
            <w:tcW w:w="766" w:type="dxa"/>
            <w:tcBorders/>
            <w:vAlign w:val="center"/>
          </w:tcPr>
          <w:p>
            <w:pPr>
              <w:pStyle w:val="TableContents"/>
              <w:widowControl w:val="false"/>
              <w:suppressLineNumbers/>
              <w:bidi w:val="0"/>
              <w:jc w:val="start"/>
              <w:rPr/>
            </w:pPr>
            <w:r>
              <w:rPr/>
              <w:t>49,999</w:t>
            </w:r>
          </w:p>
        </w:tc>
        <w:tc>
          <w:tcPr>
            <w:tcW w:w="852" w:type="dxa"/>
            <w:tcBorders/>
            <w:vAlign w:val="center"/>
          </w:tcPr>
          <w:p>
            <w:pPr>
              <w:pStyle w:val="TableContents"/>
              <w:widowControl w:val="false"/>
              <w:suppressLineNumbers/>
              <w:bidi w:val="0"/>
              <w:jc w:val="start"/>
              <w:rPr/>
            </w:pPr>
            <w:r>
              <w:rPr/>
              <w:t>6</w:t>
            </w:r>
          </w:p>
        </w:tc>
        <w:tc>
          <w:tcPr>
            <w:tcW w:w="2633" w:type="dxa"/>
            <w:tcBorders/>
            <w:vAlign w:val="center"/>
          </w:tcPr>
          <w:p>
            <w:pPr>
              <w:pStyle w:val="TableContents"/>
              <w:widowControl w:val="false"/>
              <w:suppressLineNumbers/>
              <w:bidi w:val="0"/>
              <w:jc w:val="start"/>
              <w:rPr/>
            </w:pPr>
            <w:r>
              <w:rPr/>
              <w:t>Personal</w:t>
            </w:r>
          </w:p>
        </w:tc>
        <w:tc>
          <w:tcPr>
            <w:tcW w:w="1239" w:type="dxa"/>
            <w:tcBorders/>
            <w:vAlign w:val="center"/>
          </w:tcPr>
          <w:p>
            <w:pPr>
              <w:pStyle w:val="TableContents"/>
              <w:widowControl w:val="false"/>
              <w:suppressLineNumbers/>
              <w:bidi w:val="0"/>
              <w:jc w:val="start"/>
              <w:rPr/>
            </w:pPr>
            <w:r>
              <w:rPr/>
              <w:t>12,429</w:t>
            </w:r>
          </w:p>
        </w:tc>
      </w:tr>
    </w:tbl>
    <w:p>
      <w:pPr>
        <w:pStyle w:val="Heading3"/>
        <w:bidi w:val="0"/>
        <w:jc w:val="start"/>
        <w:rPr/>
      </w:pPr>
      <w:r>
        <w:rPr/>
        <w:t>Interpretation</w:t>
      </w:r>
    </w:p>
    <w:p>
      <w:pPr>
        <w:pStyle w:val="BodyText"/>
        <w:numPr>
          <w:ilvl w:val="0"/>
          <w:numId w:val="2"/>
        </w:numPr>
        <w:tabs>
          <w:tab w:val="clear" w:pos="709"/>
          <w:tab w:val="left" w:pos="709" w:leader="none"/>
        </w:tabs>
        <w:bidi w:val="0"/>
        <w:spacing w:before="0" w:after="0"/>
        <w:ind w:hanging="283" w:start="709"/>
        <w:jc w:val="start"/>
        <w:rPr/>
      </w:pPr>
      <w:r>
        <w:rPr>
          <w:rStyle w:val="Strong"/>
        </w:rPr>
        <w:t>customer_id</w:t>
      </w:r>
      <w:r>
        <w:rPr/>
        <w:t xml:space="preserve"> is a unique identifier, as each applicant has a distinct customer ID. </w:t>
      </w:r>
    </w:p>
    <w:p>
      <w:pPr>
        <w:pStyle w:val="BodyText"/>
        <w:numPr>
          <w:ilvl w:val="0"/>
          <w:numId w:val="2"/>
        </w:numPr>
        <w:tabs>
          <w:tab w:val="clear" w:pos="709"/>
          <w:tab w:val="left" w:pos="709" w:leader="none"/>
        </w:tabs>
        <w:bidi w:val="0"/>
        <w:spacing w:before="0" w:after="0"/>
        <w:ind w:hanging="283" w:start="709"/>
        <w:jc w:val="start"/>
        <w:rPr/>
      </w:pPr>
      <w:r>
        <w:rPr>
          <w:rStyle w:val="Strong"/>
        </w:rPr>
        <w:t>occupation_status</w:t>
      </w:r>
      <w:r>
        <w:rPr/>
        <w:t xml:space="preserve"> contains three employment categories, with </w:t>
      </w:r>
      <w:r>
        <w:rPr>
          <w:rStyle w:val="Strong"/>
        </w:rPr>
        <w:t>Employed</w:t>
      </w:r>
      <w:r>
        <w:rPr/>
        <w:t xml:space="preserve"> being the most common (approximately 70% of applicants). </w:t>
      </w:r>
    </w:p>
    <w:p>
      <w:pPr>
        <w:pStyle w:val="BodyText"/>
        <w:numPr>
          <w:ilvl w:val="0"/>
          <w:numId w:val="2"/>
        </w:numPr>
        <w:tabs>
          <w:tab w:val="clear" w:pos="709"/>
          <w:tab w:val="left" w:pos="709" w:leader="none"/>
        </w:tabs>
        <w:bidi w:val="0"/>
        <w:spacing w:before="0" w:after="0"/>
        <w:ind w:hanging="283" w:start="709"/>
        <w:jc w:val="start"/>
        <w:rPr/>
      </w:pPr>
      <w:r>
        <w:rPr>
          <w:rStyle w:val="Strong"/>
        </w:rPr>
        <w:t>product_type</w:t>
      </w:r>
      <w:r>
        <w:rPr/>
        <w:t xml:space="preserve"> consists of three loan product categories, with </w:t>
      </w:r>
      <w:r>
        <w:rPr>
          <w:rStyle w:val="Strong"/>
        </w:rPr>
        <w:t>Credit Card</w:t>
      </w:r>
      <w:r>
        <w:rPr/>
        <w:t xml:space="preserve"> representing the largest proportion. </w:t>
      </w:r>
    </w:p>
    <w:p>
      <w:pPr>
        <w:pStyle w:val="BodyText"/>
        <w:numPr>
          <w:ilvl w:val="0"/>
          <w:numId w:val="2"/>
        </w:numPr>
        <w:tabs>
          <w:tab w:val="clear" w:pos="709"/>
          <w:tab w:val="left" w:pos="709" w:leader="none"/>
        </w:tabs>
        <w:bidi w:val="0"/>
        <w:ind w:hanging="283" w:start="709"/>
        <w:jc w:val="start"/>
        <w:rPr/>
      </w:pPr>
      <w:r>
        <w:rPr>
          <w:rStyle w:val="Strong"/>
        </w:rPr>
        <w:t>loan_intent</w:t>
      </w:r>
      <w:r>
        <w:rPr/>
        <w:t xml:space="preserve"> includes six borrowing purposes, where </w:t>
      </w:r>
      <w:r>
        <w:rPr>
          <w:rStyle w:val="Strong"/>
        </w:rPr>
        <w:t>Personal</w:t>
      </w:r>
      <w:r>
        <w:rPr/>
        <w:t xml:space="preserve"> loans are the most frequently requested. </w:t>
      </w:r>
    </w:p>
    <w:p>
      <w:pPr>
        <w:pStyle w:val="BodyText"/>
        <w:bidi w:val="0"/>
        <w:jc w:val="start"/>
        <w:rPr/>
      </w:pPr>
      <w:r>
        <w:rPr/>
        <w:t>These results confirm that the categorical variables are complete, consistent, and contain the expected number of categories.</w:t>
      </w:r>
    </w:p>
    <w:p>
      <w:pPr>
        <w:pStyle w:val="HorizontalLine"/>
        <w:bidi w:val="0"/>
        <w:jc w:val="start"/>
        <w:rPr/>
      </w:pPr>
      <w:r>
        <w:rPr/>
      </w:r>
    </w:p>
    <w:p>
      <w:pPr>
        <w:pStyle w:val="Heading1"/>
        <w:bidi w:val="0"/>
        <w:jc w:val="start"/>
        <w:rPr/>
      </w:pPr>
      <w:r>
        <w:rPr/>
        <w:t>Step 2: Count Unique Values</w:t>
      </w:r>
    </w:p>
    <w:p>
      <w:pPr>
        <w:pStyle w:val="BodyText"/>
        <w:bidi w:val="0"/>
        <w:jc w:val="start"/>
        <w:rPr/>
      </w:pPr>
      <w:r>
        <w:rPr/>
        <w:t>The following command counts the number of distinct values in every column.</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0" w:name="code-block-viewer"/>
      <w:bookmarkEnd w:id="0"/>
      <w:r>
        <w:rPr>
          <w:rStyle w:val="SourceText"/>
        </w:rPr>
        <w:t>print(df.nunique())</w:t>
      </w:r>
    </w:p>
    <w:p>
      <w:pPr>
        <w:sectPr>
          <w:type w:val="continuous"/>
          <w:pgSz w:w="11906" w:h="16838"/>
          <w:pgMar w:left="1134" w:right="1134" w:gutter="0" w:header="0" w:top="1134" w:footer="0" w:bottom="1134"/>
          <w:formProt w:val="false"/>
          <w:textDirection w:val="lrTb"/>
        </w:sectPr>
      </w:pPr>
    </w:p>
    <w:p>
      <w:pPr>
        <w:pStyle w:val="Heading2"/>
        <w:bidi w:val="0"/>
        <w:jc w:val="start"/>
        <w:rPr/>
      </w:pPr>
      <w:r>
        <w:rPr/>
        <w:t>Purpose</w:t>
      </w:r>
    </w:p>
    <w:p>
      <w:pPr>
        <w:pStyle w:val="BodyText"/>
        <w:bidi w:val="0"/>
        <w:jc w:val="start"/>
        <w:rPr/>
      </w:pPr>
      <w:r>
        <w:rPr>
          <w:rStyle w:val="SourceText"/>
        </w:rPr>
        <w:t>nunique()</w:t>
      </w:r>
      <w:r>
        <w:rPr/>
        <w:t xml:space="preserve"> measures the cardinality of each feature, which helps distinguish between:</w:t>
      </w:r>
    </w:p>
    <w:p>
      <w:pPr>
        <w:pStyle w:val="BodyText"/>
        <w:numPr>
          <w:ilvl w:val="0"/>
          <w:numId w:val="3"/>
        </w:numPr>
        <w:tabs>
          <w:tab w:val="clear" w:pos="709"/>
          <w:tab w:val="left" w:pos="709" w:leader="none"/>
        </w:tabs>
        <w:bidi w:val="0"/>
        <w:spacing w:before="0" w:after="0"/>
        <w:ind w:hanging="283" w:start="709"/>
        <w:jc w:val="start"/>
        <w:rPr/>
      </w:pPr>
      <w:r>
        <w:rPr/>
        <w:t xml:space="preserve">Continuous numerical variables </w:t>
      </w:r>
    </w:p>
    <w:p>
      <w:pPr>
        <w:pStyle w:val="BodyText"/>
        <w:numPr>
          <w:ilvl w:val="0"/>
          <w:numId w:val="3"/>
        </w:numPr>
        <w:tabs>
          <w:tab w:val="clear" w:pos="709"/>
          <w:tab w:val="left" w:pos="709" w:leader="none"/>
        </w:tabs>
        <w:bidi w:val="0"/>
        <w:spacing w:before="0" w:after="0"/>
        <w:ind w:hanging="283" w:start="709"/>
        <w:jc w:val="start"/>
        <w:rPr/>
      </w:pPr>
      <w:r>
        <w:rPr/>
        <w:t xml:space="preserve">Categorical variables </w:t>
      </w:r>
    </w:p>
    <w:p>
      <w:pPr>
        <w:pStyle w:val="BodyText"/>
        <w:numPr>
          <w:ilvl w:val="0"/>
          <w:numId w:val="3"/>
        </w:numPr>
        <w:tabs>
          <w:tab w:val="clear" w:pos="709"/>
          <w:tab w:val="left" w:pos="709" w:leader="none"/>
        </w:tabs>
        <w:bidi w:val="0"/>
        <w:spacing w:before="0" w:after="0"/>
        <w:ind w:hanging="283" w:start="709"/>
        <w:jc w:val="start"/>
        <w:rPr/>
      </w:pPr>
      <w:r>
        <w:rPr/>
        <w:t xml:space="preserve">Binary variables </w:t>
      </w:r>
    </w:p>
    <w:p>
      <w:pPr>
        <w:pStyle w:val="BodyText"/>
        <w:numPr>
          <w:ilvl w:val="0"/>
          <w:numId w:val="3"/>
        </w:numPr>
        <w:tabs>
          <w:tab w:val="clear" w:pos="709"/>
          <w:tab w:val="left" w:pos="709" w:leader="none"/>
        </w:tabs>
        <w:bidi w:val="0"/>
        <w:ind w:hanging="283" w:start="709"/>
        <w:jc w:val="start"/>
        <w:rPr/>
      </w:pPr>
      <w:r>
        <w:rPr/>
        <w:t xml:space="preserve">Unique identifiers </w:t>
      </w:r>
    </w:p>
    <w:p>
      <w:pPr>
        <w:pStyle w:val="HorizontalLine"/>
        <w:bidi w:val="0"/>
        <w:jc w:val="start"/>
        <w:rPr/>
      </w:pPr>
      <w:r>
        <w:rPr/>
      </w:r>
    </w:p>
    <w:p>
      <w:pPr>
        <w:pStyle w:val="Heading2"/>
        <w:bidi w:val="0"/>
        <w:jc w:val="start"/>
        <w:rPr/>
      </w:pPr>
      <w:r>
        <w:rPr/>
        <w:t>Outcome</w:t>
      </w:r>
    </w:p>
    <w:p>
      <w:pPr>
        <w:pStyle w:val="BodyText"/>
        <w:bidi w:val="0"/>
        <w:jc w:val="start"/>
        <w:rPr/>
      </w:pPr>
      <w:r>
        <w:rPr/>
        <w:t>Some important results include:</w:t>
      </w:r>
    </w:p>
    <w:tbl>
      <w:tblPr>
        <w:tblW w:w="7803" w:type="dxa"/>
        <w:jc w:val="start"/>
        <w:tblInd w:w="0" w:type="dxa"/>
        <w:tblLayout w:type="fixed"/>
        <w:tblCellMar>
          <w:top w:w="28" w:type="dxa"/>
          <w:start w:w="28" w:type="dxa"/>
          <w:bottom w:w="28" w:type="dxa"/>
          <w:end w:w="28" w:type="dxa"/>
        </w:tblCellMar>
      </w:tblPr>
      <w:tblGrid>
        <w:gridCol w:w="1840"/>
        <w:gridCol w:w="1583"/>
        <w:gridCol w:w="4380"/>
      </w:tblGrid>
      <w:tr>
        <w:trPr>
          <w:tblHeader w:val="true"/>
        </w:trPr>
        <w:tc>
          <w:tcPr>
            <w:tcW w:w="1840" w:type="dxa"/>
            <w:tcBorders/>
            <w:vAlign w:val="center"/>
          </w:tcPr>
          <w:p>
            <w:pPr>
              <w:pStyle w:val="TableHeading"/>
              <w:suppressLineNumbers/>
              <w:bidi w:val="0"/>
              <w:jc w:val="center"/>
              <w:rPr/>
            </w:pPr>
            <w:r>
              <w:rPr/>
              <w:t>Variable</w:t>
            </w:r>
          </w:p>
        </w:tc>
        <w:tc>
          <w:tcPr>
            <w:tcW w:w="1583" w:type="dxa"/>
            <w:tcBorders/>
            <w:vAlign w:val="center"/>
          </w:tcPr>
          <w:p>
            <w:pPr>
              <w:pStyle w:val="TableHeading"/>
              <w:suppressLineNumbers/>
              <w:bidi w:val="0"/>
              <w:jc w:val="center"/>
              <w:rPr/>
            </w:pPr>
            <w:r>
              <w:rPr/>
              <w:t>Unique Values</w:t>
            </w:r>
          </w:p>
        </w:tc>
        <w:tc>
          <w:tcPr>
            <w:tcW w:w="4380" w:type="dxa"/>
            <w:tcBorders/>
            <w:vAlign w:val="center"/>
          </w:tcPr>
          <w:p>
            <w:pPr>
              <w:pStyle w:val="TableHeading"/>
              <w:suppressLineNumbers/>
              <w:bidi w:val="0"/>
              <w:jc w:val="center"/>
              <w:rPr/>
            </w:pPr>
            <w:r>
              <w:rPr/>
              <w:t>Interpretation</w:t>
            </w:r>
          </w:p>
        </w:tc>
      </w:tr>
      <w:tr>
        <w:trPr/>
        <w:tc>
          <w:tcPr>
            <w:tcW w:w="1840" w:type="dxa"/>
            <w:tcBorders/>
            <w:vAlign w:val="center"/>
          </w:tcPr>
          <w:p>
            <w:pPr>
              <w:pStyle w:val="TableContents"/>
              <w:widowControl w:val="false"/>
              <w:suppressLineNumbers/>
              <w:bidi w:val="0"/>
              <w:jc w:val="start"/>
              <w:rPr/>
            </w:pPr>
            <w:r>
              <w:rPr/>
              <w:t>customer_id</w:t>
            </w:r>
          </w:p>
        </w:tc>
        <w:tc>
          <w:tcPr>
            <w:tcW w:w="1583" w:type="dxa"/>
            <w:tcBorders/>
            <w:vAlign w:val="center"/>
          </w:tcPr>
          <w:p>
            <w:pPr>
              <w:pStyle w:val="TableContents"/>
              <w:widowControl w:val="false"/>
              <w:suppressLineNumbers/>
              <w:bidi w:val="0"/>
              <w:jc w:val="start"/>
              <w:rPr/>
            </w:pPr>
            <w:r>
              <w:rPr/>
              <w:t>49,999</w:t>
            </w:r>
          </w:p>
        </w:tc>
        <w:tc>
          <w:tcPr>
            <w:tcW w:w="4380" w:type="dxa"/>
            <w:tcBorders/>
            <w:vAlign w:val="center"/>
          </w:tcPr>
          <w:p>
            <w:pPr>
              <w:pStyle w:val="TableContents"/>
              <w:widowControl w:val="false"/>
              <w:suppressLineNumbers/>
              <w:bidi w:val="0"/>
              <w:jc w:val="start"/>
              <w:rPr/>
            </w:pPr>
            <w:r>
              <w:rPr/>
              <w:t>Every customer is unique.</w:t>
            </w:r>
          </w:p>
        </w:tc>
      </w:tr>
      <w:tr>
        <w:trPr/>
        <w:tc>
          <w:tcPr>
            <w:tcW w:w="1840" w:type="dxa"/>
            <w:tcBorders/>
            <w:vAlign w:val="center"/>
          </w:tcPr>
          <w:p>
            <w:pPr>
              <w:pStyle w:val="TableContents"/>
              <w:widowControl w:val="false"/>
              <w:suppressLineNumbers/>
              <w:bidi w:val="0"/>
              <w:jc w:val="start"/>
              <w:rPr/>
            </w:pPr>
            <w:r>
              <w:rPr/>
              <w:t>age</w:t>
            </w:r>
          </w:p>
        </w:tc>
        <w:tc>
          <w:tcPr>
            <w:tcW w:w="1583" w:type="dxa"/>
            <w:tcBorders/>
            <w:vAlign w:val="center"/>
          </w:tcPr>
          <w:p>
            <w:pPr>
              <w:pStyle w:val="TableContents"/>
              <w:widowControl w:val="false"/>
              <w:suppressLineNumbers/>
              <w:bidi w:val="0"/>
              <w:jc w:val="start"/>
              <w:rPr/>
            </w:pPr>
            <w:r>
              <w:rPr/>
              <w:t>53</w:t>
            </w:r>
          </w:p>
        </w:tc>
        <w:tc>
          <w:tcPr>
            <w:tcW w:w="4380" w:type="dxa"/>
            <w:tcBorders/>
            <w:vAlign w:val="center"/>
          </w:tcPr>
          <w:p>
            <w:pPr>
              <w:pStyle w:val="TableContents"/>
              <w:widowControl w:val="false"/>
              <w:suppressLineNumbers/>
              <w:bidi w:val="0"/>
              <w:jc w:val="start"/>
              <w:rPr/>
            </w:pPr>
            <w:r>
              <w:rPr/>
              <w:t>Applicants span 53 different ages.</w:t>
            </w:r>
          </w:p>
        </w:tc>
      </w:tr>
      <w:tr>
        <w:trPr/>
        <w:tc>
          <w:tcPr>
            <w:tcW w:w="1840" w:type="dxa"/>
            <w:tcBorders/>
            <w:vAlign w:val="center"/>
          </w:tcPr>
          <w:p>
            <w:pPr>
              <w:pStyle w:val="TableContents"/>
              <w:widowControl w:val="false"/>
              <w:suppressLineNumbers/>
              <w:bidi w:val="0"/>
              <w:jc w:val="start"/>
              <w:rPr/>
            </w:pPr>
            <w:r>
              <w:rPr/>
              <w:t>occupation_status</w:t>
            </w:r>
          </w:p>
        </w:tc>
        <w:tc>
          <w:tcPr>
            <w:tcW w:w="1583" w:type="dxa"/>
            <w:tcBorders/>
            <w:vAlign w:val="center"/>
          </w:tcPr>
          <w:p>
            <w:pPr>
              <w:pStyle w:val="TableContents"/>
              <w:widowControl w:val="false"/>
              <w:suppressLineNumbers/>
              <w:bidi w:val="0"/>
              <w:jc w:val="start"/>
              <w:rPr/>
            </w:pPr>
            <w:r>
              <w:rPr/>
              <w:t>3</w:t>
            </w:r>
          </w:p>
        </w:tc>
        <w:tc>
          <w:tcPr>
            <w:tcW w:w="4380" w:type="dxa"/>
            <w:tcBorders/>
            <w:vAlign w:val="center"/>
          </w:tcPr>
          <w:p>
            <w:pPr>
              <w:pStyle w:val="TableContents"/>
              <w:widowControl w:val="false"/>
              <w:suppressLineNumbers/>
              <w:bidi w:val="0"/>
              <w:jc w:val="start"/>
              <w:rPr/>
            </w:pPr>
            <w:r>
              <w:rPr/>
              <w:t>Three employment categories.</w:t>
            </w:r>
          </w:p>
        </w:tc>
      </w:tr>
      <w:tr>
        <w:trPr/>
        <w:tc>
          <w:tcPr>
            <w:tcW w:w="1840" w:type="dxa"/>
            <w:tcBorders/>
            <w:vAlign w:val="center"/>
          </w:tcPr>
          <w:p>
            <w:pPr>
              <w:pStyle w:val="TableContents"/>
              <w:widowControl w:val="false"/>
              <w:suppressLineNumbers/>
              <w:bidi w:val="0"/>
              <w:jc w:val="start"/>
              <w:rPr/>
            </w:pPr>
            <w:r>
              <w:rPr/>
              <w:t>annual_income</w:t>
            </w:r>
          </w:p>
        </w:tc>
        <w:tc>
          <w:tcPr>
            <w:tcW w:w="1583" w:type="dxa"/>
            <w:tcBorders/>
            <w:vAlign w:val="center"/>
          </w:tcPr>
          <w:p>
            <w:pPr>
              <w:pStyle w:val="TableContents"/>
              <w:widowControl w:val="false"/>
              <w:suppressLineNumbers/>
              <w:bidi w:val="0"/>
              <w:jc w:val="start"/>
              <w:rPr/>
            </w:pPr>
            <w:r>
              <w:rPr/>
              <w:t>35,769</w:t>
            </w:r>
          </w:p>
        </w:tc>
        <w:tc>
          <w:tcPr>
            <w:tcW w:w="4380" w:type="dxa"/>
            <w:tcBorders/>
            <w:vAlign w:val="center"/>
          </w:tcPr>
          <w:p>
            <w:pPr>
              <w:pStyle w:val="TableContents"/>
              <w:widowControl w:val="false"/>
              <w:suppressLineNumbers/>
              <w:bidi w:val="0"/>
              <w:jc w:val="start"/>
              <w:rPr/>
            </w:pPr>
            <w:r>
              <w:rPr/>
              <w:t>Highly continuous financial variable.</w:t>
            </w:r>
          </w:p>
        </w:tc>
      </w:tr>
      <w:tr>
        <w:trPr/>
        <w:tc>
          <w:tcPr>
            <w:tcW w:w="1840" w:type="dxa"/>
            <w:tcBorders/>
            <w:vAlign w:val="center"/>
          </w:tcPr>
          <w:p>
            <w:pPr>
              <w:pStyle w:val="TableContents"/>
              <w:widowControl w:val="false"/>
              <w:suppressLineNumbers/>
              <w:bidi w:val="0"/>
              <w:jc w:val="start"/>
              <w:rPr/>
            </w:pPr>
            <w:r>
              <w:rPr/>
              <w:t>credit_score</w:t>
            </w:r>
          </w:p>
        </w:tc>
        <w:tc>
          <w:tcPr>
            <w:tcW w:w="1583" w:type="dxa"/>
            <w:tcBorders/>
            <w:vAlign w:val="center"/>
          </w:tcPr>
          <w:p>
            <w:pPr>
              <w:pStyle w:val="TableContents"/>
              <w:widowControl w:val="false"/>
              <w:suppressLineNumbers/>
              <w:bidi w:val="0"/>
              <w:jc w:val="start"/>
              <w:rPr/>
            </w:pPr>
            <w:r>
              <w:rPr/>
              <w:t>432</w:t>
            </w:r>
          </w:p>
        </w:tc>
        <w:tc>
          <w:tcPr>
            <w:tcW w:w="4380" w:type="dxa"/>
            <w:tcBorders/>
            <w:vAlign w:val="center"/>
          </w:tcPr>
          <w:p>
            <w:pPr>
              <w:pStyle w:val="TableContents"/>
              <w:widowControl w:val="false"/>
              <w:suppressLineNumbers/>
              <w:bidi w:val="0"/>
              <w:jc w:val="start"/>
              <w:rPr/>
            </w:pPr>
            <w:r>
              <w:rPr/>
              <w:t>Wide range of credit scores.</w:t>
            </w:r>
          </w:p>
        </w:tc>
      </w:tr>
      <w:tr>
        <w:trPr/>
        <w:tc>
          <w:tcPr>
            <w:tcW w:w="1840" w:type="dxa"/>
            <w:tcBorders/>
            <w:vAlign w:val="center"/>
          </w:tcPr>
          <w:p>
            <w:pPr>
              <w:pStyle w:val="TableContents"/>
              <w:widowControl w:val="false"/>
              <w:suppressLineNumbers/>
              <w:bidi w:val="0"/>
              <w:jc w:val="start"/>
              <w:rPr/>
            </w:pPr>
            <w:r>
              <w:rPr/>
              <w:t>loan_amount</w:t>
            </w:r>
          </w:p>
        </w:tc>
        <w:tc>
          <w:tcPr>
            <w:tcW w:w="1583" w:type="dxa"/>
            <w:tcBorders/>
            <w:vAlign w:val="center"/>
          </w:tcPr>
          <w:p>
            <w:pPr>
              <w:pStyle w:val="TableContents"/>
              <w:widowControl w:val="false"/>
              <w:suppressLineNumbers/>
              <w:bidi w:val="0"/>
              <w:jc w:val="start"/>
              <w:rPr/>
            </w:pPr>
            <w:r>
              <w:rPr/>
              <w:t>996</w:t>
            </w:r>
          </w:p>
        </w:tc>
        <w:tc>
          <w:tcPr>
            <w:tcW w:w="4380" w:type="dxa"/>
            <w:tcBorders/>
            <w:vAlign w:val="center"/>
          </w:tcPr>
          <w:p>
            <w:pPr>
              <w:pStyle w:val="TableContents"/>
              <w:widowControl w:val="false"/>
              <w:suppressLineNumbers/>
              <w:bidi w:val="0"/>
              <w:jc w:val="start"/>
              <w:rPr/>
            </w:pPr>
            <w:r>
              <w:rPr/>
              <w:t>Many different requested loan amounts.</w:t>
            </w:r>
          </w:p>
        </w:tc>
      </w:tr>
      <w:tr>
        <w:trPr/>
        <w:tc>
          <w:tcPr>
            <w:tcW w:w="1840" w:type="dxa"/>
            <w:tcBorders/>
            <w:vAlign w:val="center"/>
          </w:tcPr>
          <w:p>
            <w:pPr>
              <w:pStyle w:val="TableContents"/>
              <w:widowControl w:val="false"/>
              <w:suppressLineNumbers/>
              <w:bidi w:val="0"/>
              <w:jc w:val="start"/>
              <w:rPr/>
            </w:pPr>
            <w:r>
              <w:rPr/>
              <w:t>defaults_on_file</w:t>
            </w:r>
          </w:p>
        </w:tc>
        <w:tc>
          <w:tcPr>
            <w:tcW w:w="1583" w:type="dxa"/>
            <w:tcBorders/>
            <w:vAlign w:val="center"/>
          </w:tcPr>
          <w:p>
            <w:pPr>
              <w:pStyle w:val="TableContents"/>
              <w:widowControl w:val="false"/>
              <w:suppressLineNumbers/>
              <w:bidi w:val="0"/>
              <w:jc w:val="start"/>
              <w:rPr/>
            </w:pPr>
            <w:r>
              <w:rPr/>
              <w:t>2</w:t>
            </w:r>
          </w:p>
        </w:tc>
        <w:tc>
          <w:tcPr>
            <w:tcW w:w="4380" w:type="dxa"/>
            <w:tcBorders/>
            <w:vAlign w:val="center"/>
          </w:tcPr>
          <w:p>
            <w:pPr>
              <w:pStyle w:val="TableContents"/>
              <w:widowControl w:val="false"/>
              <w:suppressLineNumbers/>
              <w:bidi w:val="0"/>
              <w:jc w:val="start"/>
              <w:rPr/>
            </w:pPr>
            <w:r>
              <w:rPr/>
              <w:t>Binary variable.</w:t>
            </w:r>
          </w:p>
        </w:tc>
      </w:tr>
      <w:tr>
        <w:trPr/>
        <w:tc>
          <w:tcPr>
            <w:tcW w:w="1840" w:type="dxa"/>
            <w:tcBorders/>
            <w:vAlign w:val="center"/>
          </w:tcPr>
          <w:p>
            <w:pPr>
              <w:pStyle w:val="TableContents"/>
              <w:widowControl w:val="false"/>
              <w:suppressLineNumbers/>
              <w:bidi w:val="0"/>
              <w:jc w:val="start"/>
              <w:rPr/>
            </w:pPr>
            <w:r>
              <w:rPr/>
              <w:t>loan_status</w:t>
            </w:r>
          </w:p>
        </w:tc>
        <w:tc>
          <w:tcPr>
            <w:tcW w:w="1583" w:type="dxa"/>
            <w:tcBorders/>
            <w:vAlign w:val="center"/>
          </w:tcPr>
          <w:p>
            <w:pPr>
              <w:pStyle w:val="TableContents"/>
              <w:widowControl w:val="false"/>
              <w:suppressLineNumbers/>
              <w:bidi w:val="0"/>
              <w:jc w:val="start"/>
              <w:rPr/>
            </w:pPr>
            <w:r>
              <w:rPr/>
              <w:t>2</w:t>
            </w:r>
          </w:p>
        </w:tc>
        <w:tc>
          <w:tcPr>
            <w:tcW w:w="4380" w:type="dxa"/>
            <w:tcBorders/>
            <w:vAlign w:val="center"/>
          </w:tcPr>
          <w:p>
            <w:pPr>
              <w:pStyle w:val="TableContents"/>
              <w:widowControl w:val="false"/>
              <w:suppressLineNumbers/>
              <w:bidi w:val="0"/>
              <w:jc w:val="start"/>
              <w:rPr/>
            </w:pPr>
            <w:r>
              <w:rPr/>
              <w:t>Binary target variable (Approved/Rejected).</w:t>
            </w:r>
          </w:p>
        </w:tc>
      </w:tr>
    </w:tbl>
    <w:p>
      <w:pPr>
        <w:pStyle w:val="Heading3"/>
        <w:bidi w:val="0"/>
        <w:jc w:val="start"/>
        <w:rPr/>
      </w:pPr>
      <w:r>
        <w:rPr/>
        <w:t>Interpretation</w:t>
      </w:r>
    </w:p>
    <w:p>
      <w:pPr>
        <w:pStyle w:val="BodyText"/>
        <w:bidi w:val="0"/>
        <w:jc w:val="start"/>
        <w:rPr/>
      </w:pPr>
      <w:r>
        <w:rPr/>
        <w:t>The results indicate that:</w:t>
      </w:r>
    </w:p>
    <w:p>
      <w:pPr>
        <w:pStyle w:val="BodyText"/>
        <w:numPr>
          <w:ilvl w:val="0"/>
          <w:numId w:val="4"/>
        </w:numPr>
        <w:tabs>
          <w:tab w:val="clear" w:pos="709"/>
          <w:tab w:val="left" w:pos="709" w:leader="none"/>
        </w:tabs>
        <w:bidi w:val="0"/>
        <w:spacing w:before="0" w:after="0"/>
        <w:ind w:hanging="283" w:start="709"/>
        <w:jc w:val="start"/>
        <w:rPr/>
      </w:pPr>
      <w:r>
        <w:rPr/>
        <w:t xml:space="preserve">Financial variables (e.g., </w:t>
      </w:r>
      <w:r>
        <w:rPr>
          <w:rStyle w:val="Strong"/>
        </w:rPr>
        <w:t>annual_income</w:t>
      </w:r>
      <w:r>
        <w:rPr/>
        <w:t xml:space="preserve">, </w:t>
      </w:r>
      <w:r>
        <w:rPr>
          <w:rStyle w:val="Strong"/>
        </w:rPr>
        <w:t>current_debt</w:t>
      </w:r>
      <w:r>
        <w:rPr/>
        <w:t xml:space="preserve">, and </w:t>
      </w:r>
      <w:r>
        <w:rPr>
          <w:rStyle w:val="Strong"/>
        </w:rPr>
        <w:t>loan_amount</w:t>
      </w:r>
      <w:r>
        <w:rPr/>
        <w:t xml:space="preserve">) contain many distinct values, reflecting continuous measurements. </w:t>
      </w:r>
    </w:p>
    <w:p>
      <w:pPr>
        <w:pStyle w:val="BodyText"/>
        <w:numPr>
          <w:ilvl w:val="0"/>
          <w:numId w:val="4"/>
        </w:numPr>
        <w:tabs>
          <w:tab w:val="clear" w:pos="709"/>
          <w:tab w:val="left" w:pos="709" w:leader="none"/>
        </w:tabs>
        <w:bidi w:val="0"/>
        <w:spacing w:before="0" w:after="0"/>
        <w:ind w:hanging="283" w:start="709"/>
        <w:jc w:val="start"/>
        <w:rPr/>
      </w:pPr>
      <w:r>
        <w:rPr/>
        <w:t xml:space="preserve">Binary variables such as </w:t>
      </w:r>
      <w:r>
        <w:rPr>
          <w:rStyle w:val="Strong"/>
        </w:rPr>
        <w:t>loan_status</w:t>
      </w:r>
      <w:r>
        <w:rPr/>
        <w:t xml:space="preserve"> and </w:t>
      </w:r>
      <w:r>
        <w:rPr>
          <w:rStyle w:val="Strong"/>
        </w:rPr>
        <w:t>defaults_on_file</w:t>
      </w:r>
      <w:r>
        <w:rPr/>
        <w:t xml:space="preserve"> contain only two unique values. </w:t>
      </w:r>
    </w:p>
    <w:p>
      <w:pPr>
        <w:pStyle w:val="BodyText"/>
        <w:numPr>
          <w:ilvl w:val="0"/>
          <w:numId w:val="4"/>
        </w:numPr>
        <w:tabs>
          <w:tab w:val="clear" w:pos="709"/>
          <w:tab w:val="left" w:pos="709" w:leader="none"/>
        </w:tabs>
        <w:bidi w:val="0"/>
        <w:ind w:hanging="283" w:start="709"/>
        <w:jc w:val="start"/>
        <w:rPr>
          <w:color w:val="C9211E"/>
        </w:rPr>
      </w:pPr>
      <w:r>
        <w:rPr>
          <w:color w:val="C9211E"/>
        </w:rPr>
        <w:t>Categorical variables have relatively few categories, making them suitable for encoding during machine learning preprocessing.</w:t>
      </w:r>
    </w:p>
    <w:p>
      <w:pPr>
        <w:pStyle w:val="BodyText"/>
        <w:bidi w:val="0"/>
        <w:jc w:val="start"/>
        <w:rPr>
          <w:color w:val="C9211E"/>
        </w:rPr>
      </w:pPr>
      <w:r>
        <w:rPr>
          <w:color w:val="C9211E"/>
        </w:rPr>
      </w:r>
    </w:p>
    <w:p>
      <w:pPr>
        <w:pStyle w:val="Heading1"/>
        <w:bidi w:val="0"/>
        <w:jc w:val="start"/>
        <w:rPr>
          <w:color w:val="000000"/>
        </w:rPr>
      </w:pPr>
      <w:r>
        <w:rPr>
          <w:color w:val="000000"/>
        </w:rPr>
        <w:t>Step 3: Statistical Summary of Numerical Variables</w:t>
      </w:r>
    </w:p>
    <w:p>
      <w:pPr>
        <w:pStyle w:val="BodyText"/>
        <w:bidi w:val="0"/>
        <w:jc w:val="start"/>
        <w:rPr>
          <w:color w:val="000000"/>
        </w:rPr>
      </w:pPr>
      <w:r>
        <w:rPr>
          <w:color w:val="000000"/>
        </w:rPr>
        <w:t>Before displaying the complete summary, the following option is used:</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color w:val="C9211E"/>
        </w:rPr>
      </w:pPr>
      <w:bookmarkStart w:id="1" w:name="code-block-viewer_Copy_1"/>
      <w:bookmarkEnd w:id="1"/>
      <w:r>
        <w:rPr>
          <w:rStyle w:val="SourceText"/>
          <w:color w:val="000000"/>
        </w:rPr>
        <w:t>pd.set_option('display.max_columns', None)</w:t>
      </w:r>
    </w:p>
    <w:p>
      <w:pPr>
        <w:sectPr>
          <w:type w:val="continuous"/>
          <w:pgSz w:w="11906" w:h="16838"/>
          <w:pgMar w:left="1134" w:right="1134" w:gutter="0" w:header="0" w:top="1134" w:footer="0" w:bottom="1134"/>
          <w:formProt w:val="false"/>
          <w:textDirection w:val="lrTb"/>
        </w:sectPr>
      </w:pPr>
    </w:p>
    <w:p>
      <w:pPr>
        <w:pStyle w:val="BodyText"/>
        <w:bidi w:val="0"/>
        <w:jc w:val="start"/>
        <w:rPr>
          <w:color w:val="000000"/>
        </w:rPr>
      </w:pPr>
      <w:r>
        <w:rPr>
          <w:color w:val="000000"/>
        </w:rPr>
        <w:t>This ensures that all numerical variables are displayed without truncation.</w:t>
      </w:r>
    </w:p>
    <w:p>
      <w:pPr>
        <w:pStyle w:val="BodyText"/>
        <w:bidi w:val="0"/>
        <w:jc w:val="start"/>
        <w:rPr>
          <w:color w:val="000000"/>
        </w:rPr>
      </w:pPr>
      <w:r>
        <w:rPr>
          <w:color w:val="000000"/>
        </w:rPr>
        <w:t>The statistical summary is then generated using:</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color w:val="C9211E"/>
        </w:rPr>
      </w:pPr>
      <w:bookmarkStart w:id="2" w:name="code-block-viewer_Copy_2"/>
      <w:bookmarkEnd w:id="2"/>
      <w:r>
        <w:rPr>
          <w:rStyle w:val="SourceText"/>
          <w:color w:val="000000"/>
        </w:rPr>
        <w:t>print(df.describe())</w:t>
      </w:r>
    </w:p>
    <w:p>
      <w:pPr>
        <w:sectPr>
          <w:type w:val="continuous"/>
          <w:pgSz w:w="11906" w:h="16838"/>
          <w:pgMar w:left="1134" w:right="1134" w:gutter="0" w:header="0" w:top="1134" w:footer="0" w:bottom="1134"/>
          <w:formProt w:val="false"/>
          <w:textDirection w:val="lrTb"/>
        </w:sectPr>
      </w:pPr>
    </w:p>
    <w:p>
      <w:pPr>
        <w:pStyle w:val="Heading2"/>
        <w:bidi w:val="0"/>
        <w:spacing w:lineRule="auto" w:line="276" w:before="0" w:after="140"/>
        <w:jc w:val="start"/>
        <w:rPr>
          <w:color w:val="000000"/>
        </w:rPr>
      </w:pPr>
      <w:r>
        <w:rPr>
          <w:color w:val="000000"/>
        </w:rPr>
        <w:t>Purpose</w:t>
      </w:r>
    </w:p>
    <w:p>
      <w:pPr>
        <w:pStyle w:val="BodyText"/>
        <w:bidi w:val="0"/>
        <w:jc w:val="start"/>
        <w:rPr>
          <w:color w:val="C9211E"/>
        </w:rPr>
      </w:pPr>
      <w:r>
        <w:rPr>
          <w:rStyle w:val="SourceText"/>
          <w:color w:val="000000"/>
        </w:rPr>
        <w:t>describe()</w:t>
      </w:r>
      <w:r>
        <w:rPr>
          <w:color w:val="000000"/>
        </w:rPr>
        <w:t xml:space="preserve"> computes common descriptive statistics for numerical variables, including:</w:t>
      </w:r>
    </w:p>
    <w:p>
      <w:pPr>
        <w:pStyle w:val="BodyText"/>
        <w:numPr>
          <w:ilvl w:val="0"/>
          <w:numId w:val="5"/>
        </w:numPr>
        <w:tabs>
          <w:tab w:val="clear" w:pos="709"/>
          <w:tab w:val="left" w:pos="709" w:leader="none"/>
        </w:tabs>
        <w:bidi w:val="0"/>
        <w:spacing w:before="0" w:after="0"/>
        <w:ind w:hanging="283" w:start="709"/>
        <w:jc w:val="start"/>
        <w:rPr>
          <w:color w:val="000000"/>
        </w:rPr>
      </w:pPr>
      <w:r>
        <w:rPr>
          <w:color w:val="000000"/>
        </w:rPr>
        <w:t xml:space="preserve">Count </w:t>
      </w:r>
    </w:p>
    <w:p>
      <w:pPr>
        <w:pStyle w:val="BodyText"/>
        <w:numPr>
          <w:ilvl w:val="0"/>
          <w:numId w:val="5"/>
        </w:numPr>
        <w:tabs>
          <w:tab w:val="clear" w:pos="709"/>
          <w:tab w:val="left" w:pos="709" w:leader="none"/>
        </w:tabs>
        <w:bidi w:val="0"/>
        <w:spacing w:before="0" w:after="0"/>
        <w:ind w:hanging="283" w:start="709"/>
        <w:jc w:val="start"/>
        <w:rPr>
          <w:color w:val="000000"/>
        </w:rPr>
      </w:pPr>
      <w:r>
        <w:rPr>
          <w:color w:val="000000"/>
        </w:rPr>
        <w:t xml:space="preserve">Mean </w:t>
      </w:r>
    </w:p>
    <w:p>
      <w:pPr>
        <w:pStyle w:val="BodyText"/>
        <w:numPr>
          <w:ilvl w:val="0"/>
          <w:numId w:val="5"/>
        </w:numPr>
        <w:tabs>
          <w:tab w:val="clear" w:pos="709"/>
          <w:tab w:val="left" w:pos="709" w:leader="none"/>
        </w:tabs>
        <w:bidi w:val="0"/>
        <w:spacing w:before="0" w:after="0"/>
        <w:ind w:hanging="283" w:start="709"/>
        <w:jc w:val="start"/>
        <w:rPr>
          <w:color w:val="000000"/>
        </w:rPr>
      </w:pPr>
      <w:r>
        <w:rPr>
          <w:color w:val="000000"/>
        </w:rPr>
        <w:t xml:space="preserve">Standard deviation </w:t>
      </w:r>
    </w:p>
    <w:p>
      <w:pPr>
        <w:pStyle w:val="BodyText"/>
        <w:numPr>
          <w:ilvl w:val="0"/>
          <w:numId w:val="5"/>
        </w:numPr>
        <w:tabs>
          <w:tab w:val="clear" w:pos="709"/>
          <w:tab w:val="left" w:pos="709" w:leader="none"/>
        </w:tabs>
        <w:bidi w:val="0"/>
        <w:spacing w:before="0" w:after="0"/>
        <w:ind w:hanging="283" w:start="709"/>
        <w:jc w:val="start"/>
        <w:rPr>
          <w:color w:val="000000"/>
        </w:rPr>
      </w:pPr>
      <w:r>
        <w:rPr>
          <w:color w:val="000000"/>
        </w:rPr>
        <w:t xml:space="preserve">Minimum </w:t>
      </w:r>
    </w:p>
    <w:p>
      <w:pPr>
        <w:pStyle w:val="BodyText"/>
        <w:numPr>
          <w:ilvl w:val="0"/>
          <w:numId w:val="5"/>
        </w:numPr>
        <w:tabs>
          <w:tab w:val="clear" w:pos="709"/>
          <w:tab w:val="left" w:pos="709" w:leader="none"/>
        </w:tabs>
        <w:bidi w:val="0"/>
        <w:spacing w:before="0" w:after="0"/>
        <w:ind w:hanging="283" w:start="709"/>
        <w:jc w:val="start"/>
        <w:rPr>
          <w:color w:val="000000"/>
        </w:rPr>
      </w:pPr>
      <w:r>
        <w:rPr>
          <w:color w:val="000000"/>
        </w:rPr>
        <w:t xml:space="preserve">25th percentile (Q1) </w:t>
      </w:r>
    </w:p>
    <w:p>
      <w:pPr>
        <w:pStyle w:val="BodyText"/>
        <w:numPr>
          <w:ilvl w:val="0"/>
          <w:numId w:val="5"/>
        </w:numPr>
        <w:tabs>
          <w:tab w:val="clear" w:pos="709"/>
          <w:tab w:val="left" w:pos="709" w:leader="none"/>
        </w:tabs>
        <w:bidi w:val="0"/>
        <w:spacing w:before="0" w:after="0"/>
        <w:ind w:hanging="283" w:start="709"/>
        <w:jc w:val="start"/>
        <w:rPr>
          <w:color w:val="000000"/>
        </w:rPr>
      </w:pPr>
      <w:r>
        <w:rPr>
          <w:color w:val="000000"/>
        </w:rPr>
        <w:t xml:space="preserve">Median (50%) </w:t>
      </w:r>
    </w:p>
    <w:p>
      <w:pPr>
        <w:pStyle w:val="BodyText"/>
        <w:numPr>
          <w:ilvl w:val="0"/>
          <w:numId w:val="5"/>
        </w:numPr>
        <w:tabs>
          <w:tab w:val="clear" w:pos="709"/>
          <w:tab w:val="left" w:pos="709" w:leader="none"/>
        </w:tabs>
        <w:bidi w:val="0"/>
        <w:spacing w:before="0" w:after="0"/>
        <w:ind w:hanging="283" w:start="709"/>
        <w:jc w:val="start"/>
        <w:rPr>
          <w:color w:val="000000"/>
        </w:rPr>
      </w:pPr>
      <w:r>
        <w:rPr>
          <w:color w:val="000000"/>
        </w:rPr>
        <w:t xml:space="preserve">75th percentile (Q3) </w:t>
      </w:r>
    </w:p>
    <w:p>
      <w:pPr>
        <w:pStyle w:val="BodyText"/>
        <w:numPr>
          <w:ilvl w:val="0"/>
          <w:numId w:val="5"/>
        </w:numPr>
        <w:tabs>
          <w:tab w:val="clear" w:pos="709"/>
          <w:tab w:val="left" w:pos="709" w:leader="none"/>
        </w:tabs>
        <w:bidi w:val="0"/>
        <w:ind w:hanging="283" w:start="709"/>
        <w:jc w:val="start"/>
        <w:rPr>
          <w:color w:val="000000"/>
        </w:rPr>
      </w:pPr>
      <w:r>
        <w:rPr>
          <w:color w:val="000000"/>
        </w:rPr>
        <w:t xml:space="preserve">Maximum </w:t>
      </w:r>
    </w:p>
    <w:p>
      <w:pPr>
        <w:pStyle w:val="BodyText"/>
        <w:bidi w:val="0"/>
        <w:jc w:val="start"/>
        <w:rPr>
          <w:color w:val="000000"/>
        </w:rPr>
      </w:pPr>
      <w:r>
        <w:rPr>
          <w:color w:val="000000"/>
        </w:rPr>
        <w:t>These statistics provide an overview of the central tendency and variability of each numerical feature.</w:t>
      </w:r>
    </w:p>
    <w:p>
      <w:pPr>
        <w:pStyle w:val="HorizontalLine"/>
        <w:bidi w:val="0"/>
        <w:spacing w:lineRule="auto" w:line="276" w:before="0" w:after="140"/>
        <w:jc w:val="start"/>
        <w:rPr>
          <w:color w:val="000000"/>
        </w:rPr>
      </w:pPr>
      <w:r>
        <w:rPr>
          <w:color w:val="000000"/>
        </w:rPr>
      </w:r>
    </w:p>
    <w:p>
      <w:pPr>
        <w:pStyle w:val="Heading2"/>
        <w:bidi w:val="0"/>
        <w:spacing w:lineRule="auto" w:line="276" w:before="0" w:after="140"/>
        <w:jc w:val="start"/>
        <w:rPr>
          <w:color w:val="000000"/>
        </w:rPr>
      </w:pPr>
      <w:r>
        <w:rPr>
          <w:color w:val="000000"/>
        </w:rPr>
        <w:t>Interpretation of the Output</w:t>
      </w:r>
    </w:p>
    <w:p>
      <w:pPr>
        <w:pStyle w:val="BodyText"/>
        <w:bidi w:val="0"/>
        <w:jc w:val="start"/>
        <w:rPr>
          <w:color w:val="000000"/>
        </w:rPr>
      </w:pPr>
      <w:r>
        <w:rPr>
          <w:color w:val="000000"/>
        </w:rPr>
        <w:t>The summary shows descriptive statistics for all numerical variables in the dataset. For example, the quartiles and maximum values indicate the spread of the data. The last rows of the output show:</w:t>
      </w:r>
    </w:p>
    <w:tbl>
      <w:tblPr>
        <w:tblW w:w="5216" w:type="dxa"/>
        <w:jc w:val="start"/>
        <w:tblInd w:w="0" w:type="dxa"/>
        <w:tblLayout w:type="fixed"/>
        <w:tblCellMar>
          <w:top w:w="28" w:type="dxa"/>
          <w:start w:w="28" w:type="dxa"/>
          <w:bottom w:w="28" w:type="dxa"/>
          <w:end w:w="28" w:type="dxa"/>
        </w:tblCellMar>
      </w:tblPr>
      <w:tblGrid>
        <w:gridCol w:w="1120"/>
        <w:gridCol w:w="2785"/>
        <w:gridCol w:w="1311"/>
      </w:tblGrid>
      <w:tr>
        <w:trPr>
          <w:tblHeader w:val="true"/>
        </w:trPr>
        <w:tc>
          <w:tcPr>
            <w:tcW w:w="1120" w:type="dxa"/>
            <w:tcBorders/>
            <w:vAlign w:val="center"/>
          </w:tcPr>
          <w:p>
            <w:pPr>
              <w:pStyle w:val="TableHeading"/>
              <w:bidi w:val="0"/>
              <w:rPr>
                <w:color w:val="000000"/>
              </w:rPr>
            </w:pPr>
            <w:r>
              <w:rPr>
                <w:color w:val="000000"/>
              </w:rPr>
              <w:t>Statistic</w:t>
            </w:r>
          </w:p>
        </w:tc>
        <w:tc>
          <w:tcPr>
            <w:tcW w:w="2785" w:type="dxa"/>
            <w:tcBorders/>
            <w:vAlign w:val="center"/>
          </w:tcPr>
          <w:p>
            <w:pPr>
              <w:pStyle w:val="TableHeading"/>
              <w:bidi w:val="0"/>
              <w:rPr>
                <w:color w:val="000000"/>
              </w:rPr>
            </w:pPr>
            <w:r>
              <w:rPr>
                <w:color w:val="000000"/>
              </w:rPr>
              <w:t>payment_to_income_ratio</w:t>
            </w:r>
          </w:p>
        </w:tc>
        <w:tc>
          <w:tcPr>
            <w:tcW w:w="1311" w:type="dxa"/>
            <w:tcBorders/>
            <w:vAlign w:val="center"/>
          </w:tcPr>
          <w:p>
            <w:pPr>
              <w:pStyle w:val="TableHeading"/>
              <w:bidi w:val="0"/>
              <w:rPr>
                <w:color w:val="000000"/>
              </w:rPr>
            </w:pPr>
            <w:r>
              <w:rPr>
                <w:color w:val="000000"/>
              </w:rPr>
              <w:t>loan_status</w:t>
            </w:r>
          </w:p>
        </w:tc>
      </w:tr>
      <w:tr>
        <w:trPr/>
        <w:tc>
          <w:tcPr>
            <w:tcW w:w="1120" w:type="dxa"/>
            <w:tcBorders/>
            <w:vAlign w:val="center"/>
          </w:tcPr>
          <w:p>
            <w:pPr>
              <w:pStyle w:val="TableContents"/>
              <w:bidi w:val="0"/>
              <w:jc w:val="start"/>
              <w:rPr>
                <w:color w:val="000000"/>
              </w:rPr>
            </w:pPr>
            <w:r>
              <w:rPr>
                <w:color w:val="000000"/>
              </w:rPr>
              <w:t>25%</w:t>
            </w:r>
          </w:p>
        </w:tc>
        <w:tc>
          <w:tcPr>
            <w:tcW w:w="2785" w:type="dxa"/>
            <w:tcBorders/>
            <w:vAlign w:val="center"/>
          </w:tcPr>
          <w:p>
            <w:pPr>
              <w:pStyle w:val="TableContents"/>
              <w:bidi w:val="0"/>
              <w:jc w:val="start"/>
              <w:rPr>
                <w:color w:val="000000"/>
              </w:rPr>
            </w:pPr>
            <w:r>
              <w:rPr>
                <w:color w:val="000000"/>
              </w:rPr>
              <w:t>76</w:t>
            </w:r>
          </w:p>
        </w:tc>
        <w:tc>
          <w:tcPr>
            <w:tcW w:w="1311" w:type="dxa"/>
            <w:tcBorders/>
            <w:vAlign w:val="center"/>
          </w:tcPr>
          <w:p>
            <w:pPr>
              <w:pStyle w:val="TableContents"/>
              <w:bidi w:val="0"/>
              <w:jc w:val="start"/>
              <w:rPr>
                <w:color w:val="000000"/>
              </w:rPr>
            </w:pPr>
            <w:r>
              <w:rPr>
                <w:color w:val="000000"/>
              </w:rPr>
              <w:t>0</w:t>
            </w:r>
          </w:p>
        </w:tc>
      </w:tr>
      <w:tr>
        <w:trPr/>
        <w:tc>
          <w:tcPr>
            <w:tcW w:w="1120" w:type="dxa"/>
            <w:tcBorders/>
            <w:vAlign w:val="center"/>
          </w:tcPr>
          <w:p>
            <w:pPr>
              <w:pStyle w:val="TableContents"/>
              <w:bidi w:val="0"/>
              <w:jc w:val="start"/>
              <w:rPr>
                <w:color w:val="000000"/>
              </w:rPr>
            </w:pPr>
            <w:r>
              <w:rPr>
                <w:color w:val="000000"/>
              </w:rPr>
              <w:t>50%</w:t>
            </w:r>
          </w:p>
        </w:tc>
        <w:tc>
          <w:tcPr>
            <w:tcW w:w="2785" w:type="dxa"/>
            <w:tcBorders/>
            <w:vAlign w:val="center"/>
          </w:tcPr>
          <w:p>
            <w:pPr>
              <w:pStyle w:val="TableContents"/>
              <w:bidi w:val="0"/>
              <w:jc w:val="start"/>
              <w:rPr>
                <w:color w:val="000000"/>
              </w:rPr>
            </w:pPr>
            <w:r>
              <w:rPr>
                <w:color w:val="000000"/>
              </w:rPr>
              <w:t>184</w:t>
            </w:r>
          </w:p>
        </w:tc>
        <w:tc>
          <w:tcPr>
            <w:tcW w:w="1311" w:type="dxa"/>
            <w:tcBorders/>
            <w:vAlign w:val="center"/>
          </w:tcPr>
          <w:p>
            <w:pPr>
              <w:pStyle w:val="TableContents"/>
              <w:bidi w:val="0"/>
              <w:jc w:val="start"/>
              <w:rPr>
                <w:color w:val="000000"/>
              </w:rPr>
            </w:pPr>
            <w:r>
              <w:rPr>
                <w:color w:val="000000"/>
              </w:rPr>
              <w:t>1</w:t>
            </w:r>
          </w:p>
        </w:tc>
      </w:tr>
      <w:tr>
        <w:trPr/>
        <w:tc>
          <w:tcPr>
            <w:tcW w:w="1120" w:type="dxa"/>
            <w:tcBorders/>
            <w:vAlign w:val="center"/>
          </w:tcPr>
          <w:p>
            <w:pPr>
              <w:pStyle w:val="TableContents"/>
              <w:bidi w:val="0"/>
              <w:jc w:val="start"/>
              <w:rPr>
                <w:color w:val="000000"/>
              </w:rPr>
            </w:pPr>
            <w:r>
              <w:rPr>
                <w:color w:val="000000"/>
              </w:rPr>
              <w:t>75%</w:t>
            </w:r>
          </w:p>
        </w:tc>
        <w:tc>
          <w:tcPr>
            <w:tcW w:w="2785" w:type="dxa"/>
            <w:tcBorders/>
            <w:vAlign w:val="center"/>
          </w:tcPr>
          <w:p>
            <w:pPr>
              <w:pStyle w:val="TableContents"/>
              <w:bidi w:val="0"/>
              <w:jc w:val="start"/>
              <w:rPr>
                <w:color w:val="000000"/>
              </w:rPr>
            </w:pPr>
            <w:r>
              <w:rPr>
                <w:color w:val="000000"/>
              </w:rPr>
              <w:t>318</w:t>
            </w:r>
          </w:p>
        </w:tc>
        <w:tc>
          <w:tcPr>
            <w:tcW w:w="1311" w:type="dxa"/>
            <w:tcBorders/>
            <w:vAlign w:val="center"/>
          </w:tcPr>
          <w:p>
            <w:pPr>
              <w:pStyle w:val="TableContents"/>
              <w:bidi w:val="0"/>
              <w:jc w:val="start"/>
              <w:rPr>
                <w:color w:val="000000"/>
              </w:rPr>
            </w:pPr>
            <w:r>
              <w:rPr>
                <w:color w:val="000000"/>
              </w:rPr>
              <w:t>1</w:t>
            </w:r>
          </w:p>
        </w:tc>
      </w:tr>
      <w:tr>
        <w:trPr/>
        <w:tc>
          <w:tcPr>
            <w:tcW w:w="1120" w:type="dxa"/>
            <w:tcBorders/>
            <w:vAlign w:val="center"/>
          </w:tcPr>
          <w:p>
            <w:pPr>
              <w:pStyle w:val="TableContents"/>
              <w:bidi w:val="0"/>
              <w:jc w:val="start"/>
              <w:rPr>
                <w:color w:val="000000"/>
              </w:rPr>
            </w:pPr>
            <w:r>
              <w:rPr>
                <w:color w:val="000000"/>
              </w:rPr>
              <w:t>Maximum</w:t>
            </w:r>
          </w:p>
        </w:tc>
        <w:tc>
          <w:tcPr>
            <w:tcW w:w="2785" w:type="dxa"/>
            <w:tcBorders/>
            <w:vAlign w:val="center"/>
          </w:tcPr>
          <w:p>
            <w:pPr>
              <w:pStyle w:val="TableContents"/>
              <w:bidi w:val="0"/>
              <w:jc w:val="start"/>
              <w:rPr>
                <w:color w:val="000000"/>
              </w:rPr>
            </w:pPr>
            <w:r>
              <w:rPr>
                <w:color w:val="000000"/>
              </w:rPr>
              <w:t>667</w:t>
            </w:r>
          </w:p>
        </w:tc>
        <w:tc>
          <w:tcPr>
            <w:tcW w:w="1311" w:type="dxa"/>
            <w:tcBorders/>
            <w:vAlign w:val="center"/>
          </w:tcPr>
          <w:p>
            <w:pPr>
              <w:pStyle w:val="TableContents"/>
              <w:bidi w:val="0"/>
              <w:jc w:val="start"/>
              <w:rPr>
                <w:color w:val="000000"/>
              </w:rPr>
            </w:pPr>
            <w:r>
              <w:rPr>
                <w:color w:val="000000"/>
              </w:rPr>
              <w:t>1</w:t>
            </w:r>
          </w:p>
        </w:tc>
      </w:tr>
    </w:tbl>
    <w:p>
      <w:pPr>
        <w:pStyle w:val="BodyText"/>
        <w:bidi w:val="0"/>
        <w:jc w:val="start"/>
        <w:rPr>
          <w:color w:val="000000"/>
        </w:rPr>
      </w:pPr>
      <w:r>
        <w:rPr>
          <w:color w:val="000000"/>
        </w:rPr>
        <w:t>These values illustrate the distribution of the variables across the dataset. Similar statistics are provided for all other numerical features, allowing comparison of their ranges and variability.</w:t>
      </w:r>
    </w:p>
    <w:p>
      <w:pPr>
        <w:pStyle w:val="BodyText"/>
        <w:bidi w:val="0"/>
        <w:jc w:val="start"/>
        <w:rPr>
          <w:color w:val="C9211E"/>
        </w:rPr>
      </w:pPr>
      <w:r>
        <w:rPr>
          <w:color w:val="000000"/>
        </w:rPr>
        <w:t xml:space="preserve">Overall, the descriptive statistics reveal that financial variables such as </w:t>
      </w:r>
      <w:r>
        <w:rPr>
          <w:rStyle w:val="Strong"/>
          <w:color w:val="000000"/>
        </w:rPr>
        <w:t>annual_income</w:t>
      </w:r>
      <w:r>
        <w:rPr>
          <w:color w:val="000000"/>
        </w:rPr>
        <w:t xml:space="preserve">, </w:t>
      </w:r>
      <w:r>
        <w:rPr>
          <w:rStyle w:val="Strong"/>
          <w:color w:val="000000"/>
        </w:rPr>
        <w:t>current_debt</w:t>
      </w:r>
      <w:r>
        <w:rPr>
          <w:color w:val="000000"/>
        </w:rPr>
        <w:t xml:space="preserve">, and </w:t>
      </w:r>
      <w:r>
        <w:rPr>
          <w:rStyle w:val="Strong"/>
          <w:color w:val="000000"/>
        </w:rPr>
        <w:t>loan_amount</w:t>
      </w:r>
      <w:r>
        <w:rPr>
          <w:color w:val="000000"/>
        </w:rPr>
        <w:t xml:space="preserve"> exhibit wider ranges and greater variability than demographic variables such as </w:t>
      </w:r>
      <w:r>
        <w:rPr>
          <w:rStyle w:val="Strong"/>
          <w:color w:val="000000"/>
        </w:rPr>
        <w:t>age</w:t>
      </w:r>
      <w:r>
        <w:rPr>
          <w:color w:val="000000"/>
        </w:rPr>
        <w:t>. This is expected because financial characteristics naturally differ substantially among applicants.</w:t>
      </w:r>
    </w:p>
    <w:p>
      <w:pPr>
        <w:pStyle w:val="HorizontalLine"/>
        <w:bidi w:val="0"/>
        <w:spacing w:lineRule="auto" w:line="276" w:before="0" w:after="140"/>
        <w:jc w:val="start"/>
        <w:rPr>
          <w:color w:val="000000"/>
        </w:rPr>
      </w:pPr>
      <w:r>
        <w:rPr>
          <w:color w:val="000000"/>
        </w:rPr>
      </w:r>
    </w:p>
    <w:p>
      <w:pPr>
        <w:pStyle w:val="Heading1"/>
        <w:bidi w:val="0"/>
        <w:spacing w:lineRule="auto" w:line="276" w:before="0" w:after="140"/>
        <w:jc w:val="start"/>
        <w:rPr>
          <w:color w:val="000000"/>
        </w:rPr>
      </w:pPr>
      <w:r>
        <w:rPr>
          <w:color w:val="000000"/>
        </w:rPr>
        <w:t>Overall Outcome</w:t>
      </w:r>
    </w:p>
    <w:p>
      <w:pPr>
        <w:pStyle w:val="BodyText"/>
        <w:bidi w:val="0"/>
        <w:jc w:val="start"/>
        <w:rPr>
          <w:color w:val="000000"/>
        </w:rPr>
      </w:pPr>
      <w:r>
        <w:rPr>
          <w:color w:val="000000"/>
        </w:rPr>
        <w:t>The exploratory analysis confirms several important characteristics of the dataset:</w:t>
      </w:r>
    </w:p>
    <w:p>
      <w:pPr>
        <w:pStyle w:val="BodyText"/>
        <w:numPr>
          <w:ilvl w:val="0"/>
          <w:numId w:val="6"/>
        </w:numPr>
        <w:tabs>
          <w:tab w:val="clear" w:pos="709"/>
          <w:tab w:val="left" w:pos="709" w:leader="none"/>
        </w:tabs>
        <w:bidi w:val="0"/>
        <w:spacing w:before="0" w:after="0"/>
        <w:ind w:hanging="283" w:start="709"/>
        <w:jc w:val="start"/>
        <w:rPr>
          <w:color w:val="C9211E"/>
        </w:rPr>
      </w:pPr>
      <w:r>
        <w:rPr>
          <w:color w:val="000000"/>
        </w:rPr>
        <w:t xml:space="preserve">The dataset contains </w:t>
      </w:r>
      <w:r>
        <w:rPr>
          <w:rStyle w:val="Strong"/>
          <w:color w:val="000000"/>
        </w:rPr>
        <w:t>49,999 unique loan applications</w:t>
      </w:r>
      <w:r>
        <w:rPr>
          <w:color w:val="000000"/>
        </w:rPr>
        <w:t xml:space="preserve"> with no duplicate customer identifiers. </w:t>
      </w:r>
    </w:p>
    <w:p>
      <w:pPr>
        <w:pStyle w:val="BodyText"/>
        <w:numPr>
          <w:ilvl w:val="0"/>
          <w:numId w:val="6"/>
        </w:numPr>
        <w:tabs>
          <w:tab w:val="clear" w:pos="709"/>
          <w:tab w:val="left" w:pos="709" w:leader="none"/>
        </w:tabs>
        <w:bidi w:val="0"/>
        <w:spacing w:before="0" w:after="0"/>
        <w:ind w:hanging="283" w:start="709"/>
        <w:jc w:val="start"/>
        <w:rPr>
          <w:color w:val="000000"/>
        </w:rPr>
      </w:pPr>
      <w:r>
        <w:rPr>
          <w:color w:val="000000"/>
        </w:rPr>
        <w:t xml:space="preserve">Categorical variables are well-structured, containing only a small number of consistent categories. </w:t>
      </w:r>
    </w:p>
    <w:p>
      <w:pPr>
        <w:pStyle w:val="BodyText"/>
        <w:numPr>
          <w:ilvl w:val="0"/>
          <w:numId w:val="6"/>
        </w:numPr>
        <w:tabs>
          <w:tab w:val="clear" w:pos="709"/>
          <w:tab w:val="left" w:pos="709" w:leader="none"/>
        </w:tabs>
        <w:bidi w:val="0"/>
        <w:spacing w:before="0" w:after="0"/>
        <w:ind w:hanging="283" w:start="709"/>
        <w:jc w:val="start"/>
        <w:rPr>
          <w:color w:val="000000"/>
        </w:rPr>
      </w:pPr>
      <w:r>
        <w:rPr>
          <w:color w:val="000000"/>
        </w:rPr>
        <w:t xml:space="preserve">Numerical variables display realistic ranges and substantial variability, particularly for financial attributes such as income, debt, and loan amount. </w:t>
      </w:r>
    </w:p>
    <w:p>
      <w:pPr>
        <w:pStyle w:val="BodyText"/>
        <w:numPr>
          <w:ilvl w:val="0"/>
          <w:numId w:val="6"/>
        </w:numPr>
        <w:tabs>
          <w:tab w:val="clear" w:pos="709"/>
          <w:tab w:val="left" w:pos="709" w:leader="none"/>
        </w:tabs>
        <w:bidi w:val="0"/>
        <w:spacing w:before="0" w:after="0"/>
        <w:ind w:hanging="283" w:start="709"/>
        <w:jc w:val="start"/>
        <w:rPr>
          <w:color w:val="C9211E"/>
        </w:rPr>
      </w:pPr>
      <w:r>
        <w:rPr>
          <w:color w:val="000000"/>
        </w:rPr>
        <w:t xml:space="preserve">Binary variables, including </w:t>
      </w:r>
      <w:r>
        <w:rPr>
          <w:rStyle w:val="Strong"/>
          <w:color w:val="000000"/>
        </w:rPr>
        <w:t>loan_status</w:t>
      </w:r>
      <w:r>
        <w:rPr>
          <w:color w:val="000000"/>
        </w:rPr>
        <w:t xml:space="preserve">, are correctly represented with two unique values. </w:t>
      </w:r>
    </w:p>
    <w:p>
      <w:pPr>
        <w:pStyle w:val="BodyText"/>
        <w:numPr>
          <w:ilvl w:val="0"/>
          <w:numId w:val="6"/>
        </w:numPr>
        <w:tabs>
          <w:tab w:val="clear" w:pos="709"/>
          <w:tab w:val="left" w:pos="709" w:leader="none"/>
        </w:tabs>
        <w:bidi w:val="0"/>
        <w:ind w:hanging="283" w:start="709"/>
        <w:jc w:val="start"/>
        <w:rPr>
          <w:color w:val="000000"/>
        </w:rPr>
      </w:pPr>
      <w:r>
        <w:rPr>
          <w:color w:val="000000"/>
        </w:rPr>
        <w:t>The descriptive statistics provide a clear understanding of the distribution and variability of each feature, establishing a solid foundation for subsequent visualization, feature engineering, and machine learning model development.</w:t>
      </w:r>
    </w:p>
    <w:p>
      <w:pPr>
        <w:pStyle w:val="BodyText"/>
        <w:bidi w:val="0"/>
        <w:jc w:val="start"/>
        <w:rPr>
          <w:color w:val="C9211E"/>
        </w:rPr>
      </w:pPr>
      <w:r>
        <w:rPr>
          <w:color w:val="C9211E"/>
        </w:rPr>
      </w:r>
    </w:p>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ourceText">
    <w:name w:val="Source Text"/>
    <w:qFormat/>
    <w:rPr>
      <w:rFonts w:ascii="Liberation Mono" w:hAnsi="Liberation Mono" w:eastAsia="NSimSun" w:cs="Liberation Mono"/>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LibreOffice/26.2.4.2$Windows_X86_64 LibreOffice_project/0229ac93fcf0d7cbc6376066c6f35021cef002dc</Application>
  <AppVersion>15.0000</AppVersion>
  <Pages>4</Pages>
  <Words>670</Words>
  <Characters>4429</Characters>
  <CharactersWithSpaces>4967</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2026-07-18T14:27:34Z</dcterms:created>
  <dc:creator/>
  <dc:description/>
  <dc:language>en-US</dc:language>
  <cp:lastModifiedBy/>
  <dcterms:modified xsi:type="dcterms:W3CDTF">2026-07-18T14:46:02Z</dcterms:modified>
  <cp:revision>3</cp:revision>
  <dc:subject/>
  <dc:title/>
</cp:coreProperties>
</file>