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Modality Analysis of the Transformed Features</w:t>
      </w:r>
    </w:p>
    <w:p>
      <w:pPr>
        <w:pStyle w:val="BodyText"/>
        <w:bidi w:val="0"/>
        <w:jc w:val="start"/>
        <w:rPr/>
      </w:pPr>
      <w:r>
        <w:rPr/>
        <w:t xml:space="preserve">After applying the feature transformations, the distributions of the transformed numerical variables were examined to determine their </w:t>
      </w:r>
      <w:r>
        <w:rPr>
          <w:rStyle w:val="Strong"/>
        </w:rPr>
        <w:t>modality</w:t>
      </w:r>
      <w:r>
        <w:rPr/>
        <w:t>. Modality analysis identifies the number of peaks (modes) in a distribution and helps assess whether a feature represents a single homogeneous population or multiple underlying subgroups. Understanding the distribution of each feature is useful for feature engineering and for selecting appropriate machine learning models.</w:t>
      </w:r>
    </w:p>
    <w:p>
      <w:pPr>
        <w:pStyle w:val="HorizontalLine"/>
        <w:bidi w:val="0"/>
        <w:jc w:val="start"/>
        <w:rPr/>
      </w:pPr>
      <w:r>
        <w:rPr/>
      </w:r>
    </w:p>
    <w:p>
      <w:pPr>
        <w:pStyle w:val="Heading1"/>
        <w:bidi w:val="0"/>
        <w:jc w:val="start"/>
        <w:rPr/>
      </w:pPr>
      <w:r>
        <w:rPr/>
        <w:t>Objectives</w:t>
      </w:r>
    </w:p>
    <w:p>
      <w:pPr>
        <w:pStyle w:val="BodyText"/>
        <w:bidi w:val="0"/>
        <w:jc w:val="start"/>
        <w:rPr/>
      </w:pPr>
      <w:r>
        <w:rPr/>
        <w:t>The modality analysis was performed to:</w:t>
      </w:r>
    </w:p>
    <w:p>
      <w:pPr>
        <w:pStyle w:val="BodyText"/>
        <w:numPr>
          <w:ilvl w:val="0"/>
          <w:numId w:val="1"/>
        </w:numPr>
        <w:tabs>
          <w:tab w:val="clear" w:pos="709"/>
          <w:tab w:val="left" w:pos="709" w:leader="none"/>
        </w:tabs>
        <w:bidi w:val="0"/>
        <w:spacing w:before="0" w:after="0"/>
        <w:ind w:hanging="283" w:start="709"/>
        <w:jc w:val="start"/>
        <w:rPr/>
      </w:pPr>
      <w:r>
        <w:rPr/>
        <w:t xml:space="preserve">Visualize the distributions of the transformed numerical features. </w:t>
      </w:r>
    </w:p>
    <w:p>
      <w:pPr>
        <w:pStyle w:val="BodyText"/>
        <w:numPr>
          <w:ilvl w:val="0"/>
          <w:numId w:val="1"/>
        </w:numPr>
        <w:tabs>
          <w:tab w:val="clear" w:pos="709"/>
          <w:tab w:val="left" w:pos="709" w:leader="none"/>
        </w:tabs>
        <w:bidi w:val="0"/>
        <w:spacing w:before="0" w:after="0"/>
        <w:ind w:hanging="283" w:start="709"/>
        <w:jc w:val="start"/>
        <w:rPr/>
      </w:pPr>
      <w:r>
        <w:rPr/>
        <w:t xml:space="preserve">Determine whether each feature is </w:t>
      </w:r>
      <w:r>
        <w:rPr>
          <w:rStyle w:val="Strong"/>
        </w:rPr>
        <w:t>unimodal</w:t>
      </w:r>
      <w:r>
        <w:rPr/>
        <w:t xml:space="preserve">, </w:t>
      </w:r>
      <w:r>
        <w:rPr>
          <w:rStyle w:val="Strong"/>
        </w:rPr>
        <w:t>bimodal</w:t>
      </w:r>
      <w:r>
        <w:rPr/>
        <w:t xml:space="preserve">, or </w:t>
      </w:r>
      <w:r>
        <w:rPr>
          <w:rStyle w:val="Strong"/>
        </w:rPr>
        <w:t>multimodal</w:t>
      </w:r>
      <w:r>
        <w:rPr/>
        <w:t xml:space="preserve">. </w:t>
      </w:r>
    </w:p>
    <w:p>
      <w:pPr>
        <w:pStyle w:val="BodyText"/>
        <w:numPr>
          <w:ilvl w:val="0"/>
          <w:numId w:val="1"/>
        </w:numPr>
        <w:tabs>
          <w:tab w:val="clear" w:pos="709"/>
          <w:tab w:val="left" w:pos="709" w:leader="none"/>
        </w:tabs>
        <w:bidi w:val="0"/>
        <w:spacing w:before="0" w:after="0"/>
        <w:ind w:hanging="283" w:start="709"/>
        <w:jc w:val="start"/>
        <w:rPr/>
      </w:pPr>
      <w:r>
        <w:rPr/>
        <w:t xml:space="preserve">Verify whether the applied transformations improved the distribution of skewed variables. </w:t>
      </w:r>
    </w:p>
    <w:p>
      <w:pPr>
        <w:pStyle w:val="BodyText"/>
        <w:numPr>
          <w:ilvl w:val="0"/>
          <w:numId w:val="1"/>
        </w:numPr>
        <w:tabs>
          <w:tab w:val="clear" w:pos="709"/>
          <w:tab w:val="left" w:pos="709" w:leader="none"/>
        </w:tabs>
        <w:bidi w:val="0"/>
        <w:ind w:hanging="283" w:start="709"/>
        <w:jc w:val="start"/>
        <w:rPr/>
      </w:pPr>
      <w:r>
        <w:rPr/>
        <w:t xml:space="preserve">Identify features that may require additional preprocessing. </w:t>
      </w:r>
    </w:p>
    <w:p>
      <w:pPr>
        <w:pStyle w:val="HorizontalLine"/>
        <w:bidi w:val="0"/>
        <w:jc w:val="start"/>
        <w:rPr/>
      </w:pPr>
      <w:r>
        <w:rPr/>
      </w:r>
    </w:p>
    <w:p>
      <w:pPr>
        <w:pStyle w:val="Heading1"/>
        <w:bidi w:val="0"/>
        <w:jc w:val="start"/>
        <w:rPr/>
      </w:pPr>
      <w:r>
        <w:rPr/>
        <w:t>Step 1: Select the Transformed Features</w:t>
      </w:r>
    </w:p>
    <w:p>
      <w:pPr>
        <w:pStyle w:val="BodyText"/>
        <w:bidi w:val="0"/>
        <w:jc w:val="start"/>
        <w:rPr/>
      </w:pPr>
      <w:r>
        <w:rPr/>
        <w:t>The following transformed variables were included in the analysis:</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features = [</w:t>
      </w:r>
    </w:p>
    <w:p>
      <w:pPr>
        <w:pStyle w:val="PreformattedText"/>
        <w:bidi w:val="0"/>
        <w:jc w:val="start"/>
        <w:rPr/>
      </w:pPr>
      <w:r>
        <w:rPr>
          <w:rStyle w:val="SourceText"/>
        </w:rPr>
        <w:t xml:space="preserve">    </w:t>
      </w:r>
      <w:r>
        <w:rPr>
          <w:rStyle w:val="SourceText"/>
        </w:rPr>
        <w:t>'years_employed_log',</w:t>
      </w:r>
    </w:p>
    <w:p>
      <w:pPr>
        <w:pStyle w:val="PreformattedText"/>
        <w:bidi w:val="0"/>
        <w:jc w:val="start"/>
        <w:rPr/>
      </w:pPr>
      <w:r>
        <w:rPr>
          <w:rStyle w:val="SourceText"/>
        </w:rPr>
        <w:t xml:space="preserve">    </w:t>
      </w:r>
      <w:r>
        <w:rPr>
          <w:rStyle w:val="SourceText"/>
        </w:rPr>
        <w:t>'current_debt_log',</w:t>
      </w:r>
    </w:p>
    <w:p>
      <w:pPr>
        <w:pStyle w:val="PreformattedText"/>
        <w:bidi w:val="0"/>
        <w:jc w:val="start"/>
        <w:rPr/>
      </w:pPr>
      <w:r>
        <w:rPr>
          <w:rStyle w:val="SourceText"/>
        </w:rPr>
        <w:t xml:space="preserve">    </w:t>
      </w:r>
      <w:r>
        <w:rPr>
          <w:rStyle w:val="SourceText"/>
        </w:rPr>
        <w:t>'loan_amount_scaled',</w:t>
      </w:r>
    </w:p>
    <w:p>
      <w:pPr>
        <w:pStyle w:val="PreformattedText"/>
        <w:bidi w:val="0"/>
        <w:jc w:val="start"/>
        <w:rPr/>
      </w:pPr>
      <w:r>
        <w:rPr>
          <w:rStyle w:val="SourceText"/>
        </w:rPr>
        <w:t xml:space="preserve">    </w:t>
      </w:r>
      <w:r>
        <w:rPr>
          <w:rStyle w:val="SourceText"/>
        </w:rPr>
        <w:t>'annual_income_log',</w:t>
      </w:r>
    </w:p>
    <w:p>
      <w:pPr>
        <w:pStyle w:val="PreformattedText"/>
        <w:bidi w:val="0"/>
        <w:jc w:val="start"/>
        <w:rPr/>
      </w:pPr>
      <w:r>
        <w:rPr>
          <w:rStyle w:val="SourceText"/>
        </w:rPr>
        <w:t xml:space="preserve">    </w:t>
      </w:r>
      <w:r>
        <w:rPr>
          <w:rStyle w:val="SourceText"/>
        </w:rPr>
        <w:t>'credit_history_years_scaled',</w:t>
      </w:r>
    </w:p>
    <w:p>
      <w:pPr>
        <w:pStyle w:val="PreformattedText"/>
        <w:bidi w:val="0"/>
        <w:jc w:val="start"/>
        <w:rPr/>
      </w:pPr>
      <w:r>
        <w:rPr>
          <w:rStyle w:val="SourceText"/>
        </w:rPr>
        <w:t xml:space="preserve">    </w:t>
      </w:r>
      <w:r>
        <w:rPr>
          <w:rStyle w:val="SourceText"/>
        </w:rPr>
        <w:t>'savings_assets_log',</w:t>
      </w:r>
    </w:p>
    <w:p>
      <w:pPr>
        <w:pStyle w:val="PreformattedText"/>
        <w:bidi w:val="0"/>
        <w:jc w:val="start"/>
        <w:rPr/>
      </w:pPr>
      <w:r>
        <w:rPr>
          <w:rStyle w:val="SourceText"/>
        </w:rPr>
        <w:t xml:space="preserve">    </w:t>
      </w:r>
      <w:r>
        <w:rPr>
          <w:rStyle w:val="SourceText"/>
        </w:rPr>
        <w:t>'age_scaled',</w:t>
      </w:r>
    </w:p>
    <w:p>
      <w:pPr>
        <w:pStyle w:val="PreformattedText"/>
        <w:bidi w:val="0"/>
        <w:jc w:val="start"/>
        <w:rPr/>
      </w:pPr>
      <w:r>
        <w:rPr>
          <w:rStyle w:val="SourceText"/>
        </w:rPr>
        <w:t xml:space="preserve">    </w:t>
      </w:r>
      <w:r>
        <w:rPr>
          <w:rStyle w:val="SourceText"/>
        </w:rPr>
        <w:t>'credit_score_scaled',</w:t>
      </w:r>
    </w:p>
    <w:p>
      <w:pPr>
        <w:pStyle w:val="PreformattedText"/>
        <w:bidi w:val="0"/>
        <w:jc w:val="start"/>
        <w:rPr/>
      </w:pPr>
      <w:r>
        <w:rPr>
          <w:rStyle w:val="SourceText"/>
        </w:rPr>
        <w:t xml:space="preserve">    </w:t>
      </w:r>
      <w:r>
        <w:rPr>
          <w:rStyle w:val="SourceText"/>
        </w:rPr>
        <w:t>'interest_rate_scaled',</w:t>
      </w:r>
    </w:p>
    <w:p>
      <w:pPr>
        <w:pStyle w:val="PreformattedText"/>
        <w:bidi w:val="0"/>
        <w:jc w:val="start"/>
        <w:rPr/>
      </w:pPr>
      <w:r>
        <w:rPr>
          <w:rStyle w:val="SourceText"/>
        </w:rPr>
        <w:t xml:space="preserve">    </w:t>
      </w:r>
      <w:r>
        <w:rPr>
          <w:rStyle w:val="SourceText"/>
        </w:rPr>
        <w:t>'age_scaled',</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These variables include the log-transformed and standardized features created during preprocessing. The analysis focuses on the engineered variables because they are the features that will be used for model training.</w:t>
      </w:r>
    </w:p>
    <w:p>
      <w:pPr>
        <w:pStyle w:val="HorizontalLine"/>
        <w:bidi w:val="0"/>
        <w:jc w:val="start"/>
        <w:rPr/>
      </w:pPr>
      <w:r>
        <w:rPr/>
      </w:r>
    </w:p>
    <w:p>
      <w:pPr>
        <w:pStyle w:val="Heading1"/>
        <w:bidi w:val="0"/>
        <w:jc w:val="start"/>
        <w:rPr/>
      </w:pPr>
      <w:r>
        <w:rPr/>
        <w:t>Step 2: Plot the Distribution of Each Feature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for col in features:</w:t>
      </w:r>
    </w:p>
    <w:p>
      <w:pPr>
        <w:pStyle w:val="PreformattedText"/>
        <w:bidi w:val="0"/>
        <w:jc w:val="start"/>
        <w:rPr/>
      </w:pPr>
      <w:r>
        <w:rPr>
          <w:rStyle w:val="SourceText"/>
        </w:rPr>
        <w:t xml:space="preserve">    </w:t>
      </w:r>
      <w:r>
        <w:rPr>
          <w:rStyle w:val="SourceText"/>
        </w:rPr>
        <w:t>plt.figure(figsize=(6,4))</w:t>
      </w:r>
    </w:p>
    <w:p>
      <w:pPr>
        <w:pStyle w:val="PreformattedText"/>
        <w:bidi w:val="0"/>
        <w:spacing w:before="0" w:after="283"/>
        <w:jc w:val="start"/>
        <w:rPr/>
      </w:pPr>
      <w:r>
        <w:rPr>
          <w:rStyle w:val="SourceText"/>
        </w:rPr>
        <w:t xml:space="preserve">    </w:t>
      </w:r>
      <w:r>
        <w:rPr>
          <w:rStyle w:val="SourceText"/>
        </w:rPr>
        <w:t>sns.histplot(df_transform[col], kde=True)</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 xml:space="preserve">For each feature, a histogram with a </w:t>
      </w:r>
      <w:r>
        <w:rPr>
          <w:rStyle w:val="Strong"/>
        </w:rPr>
        <w:t>Kernel Density Estimation (KDE)</w:t>
      </w:r>
      <w:r>
        <w:rPr/>
        <w:t xml:space="preserve"> curve is generated.</w:t>
      </w:r>
    </w:p>
    <w:p>
      <w:pPr>
        <w:pStyle w:val="BodyText"/>
        <w:bidi w:val="0"/>
        <w:jc w:val="start"/>
        <w:rPr/>
      </w:pPr>
      <w:r>
        <w:rPr/>
        <w:t>The histogram shows the frequency distribution of the data, while the KDE curve provides a smooth estimate of the underlying probability density.</w:t>
      </w:r>
    </w:p>
    <w:p>
      <w:pPr>
        <w:pStyle w:val="BodyText"/>
        <w:bidi w:val="0"/>
        <w:jc w:val="start"/>
        <w:rPr/>
      </w:pPr>
      <w:r>
        <w:rPr/>
        <w:t>This combination makes it easier to identify the number of peaks in each distribution.</w:t>
      </w:r>
    </w:p>
    <w:p>
      <w:pPr>
        <w:pStyle w:val="HorizontalLine"/>
        <w:bidi w:val="0"/>
        <w:jc w:val="start"/>
        <w:rPr/>
      </w:pPr>
      <w:r>
        <w:rPr/>
      </w:r>
    </w:p>
    <w:p>
      <w:pPr>
        <w:pStyle w:val="Heading1"/>
        <w:bidi w:val="0"/>
        <w:jc w:val="start"/>
        <w:rPr/>
      </w:pPr>
      <w:r>
        <w:rPr/>
        <w:t>Step 3: Interpretation of Modality</w:t>
      </w:r>
    </w:p>
    <w:p>
      <w:pPr>
        <w:pStyle w:val="BodyText"/>
        <w:bidi w:val="0"/>
        <w:jc w:val="start"/>
        <w:rPr/>
      </w:pPr>
      <w:r>
        <w:rPr/>
        <w:t>The distributions were classified according to the number of peaks observed.</w:t>
      </w:r>
    </w:p>
    <w:tbl>
      <w:tblPr>
        <w:tblW w:w="4105" w:type="dxa"/>
        <w:jc w:val="start"/>
        <w:tblInd w:w="0" w:type="dxa"/>
        <w:tblLayout w:type="fixed"/>
        <w:tblCellMar>
          <w:top w:w="28" w:type="dxa"/>
          <w:start w:w="28" w:type="dxa"/>
          <w:bottom w:w="28" w:type="dxa"/>
          <w:end w:w="28" w:type="dxa"/>
        </w:tblCellMar>
      </w:tblPr>
      <w:tblGrid>
        <w:gridCol w:w="1936"/>
        <w:gridCol w:w="2169"/>
      </w:tblGrid>
      <w:tr>
        <w:trPr>
          <w:tblHeader w:val="true"/>
        </w:trPr>
        <w:tc>
          <w:tcPr>
            <w:tcW w:w="1936" w:type="dxa"/>
            <w:tcBorders/>
            <w:vAlign w:val="center"/>
          </w:tcPr>
          <w:p>
            <w:pPr>
              <w:pStyle w:val="TableHeading"/>
              <w:bidi w:val="0"/>
              <w:rPr>
                <w:color w:val="FF0000"/>
              </w:rPr>
            </w:pPr>
            <w:r>
              <w:rPr>
                <w:color w:val="FF0000"/>
              </w:rPr>
              <w:t>Distribution Type</w:t>
            </w:r>
          </w:p>
        </w:tc>
        <w:tc>
          <w:tcPr>
            <w:tcW w:w="2169" w:type="dxa"/>
            <w:tcBorders/>
            <w:vAlign w:val="center"/>
          </w:tcPr>
          <w:p>
            <w:pPr>
              <w:pStyle w:val="TableHeading"/>
              <w:bidi w:val="0"/>
              <w:rPr>
                <w:color w:val="FF0000"/>
              </w:rPr>
            </w:pPr>
            <w:r>
              <w:rPr>
                <w:color w:val="FF0000"/>
              </w:rPr>
              <w:t>Interpretation</w:t>
            </w:r>
          </w:p>
        </w:tc>
      </w:tr>
      <w:tr>
        <w:trPr/>
        <w:tc>
          <w:tcPr>
            <w:tcW w:w="1936" w:type="dxa"/>
            <w:tcBorders/>
            <w:vAlign w:val="center"/>
          </w:tcPr>
          <w:p>
            <w:pPr>
              <w:pStyle w:val="TableContents"/>
              <w:widowControl w:val="false"/>
              <w:suppressLineNumbers/>
              <w:bidi w:val="0"/>
              <w:jc w:val="start"/>
              <w:rPr/>
            </w:pPr>
            <w:r>
              <w:rPr>
                <w:rStyle w:val="Strong"/>
                <w:color w:val="FF0000"/>
              </w:rPr>
              <w:t>Unimodal</w:t>
            </w:r>
          </w:p>
        </w:tc>
        <w:tc>
          <w:tcPr>
            <w:tcW w:w="2169" w:type="dxa"/>
            <w:tcBorders/>
            <w:vAlign w:val="center"/>
          </w:tcPr>
          <w:p>
            <w:pPr>
              <w:pStyle w:val="TableContents"/>
              <w:bidi w:val="0"/>
              <w:jc w:val="start"/>
              <w:rPr>
                <w:color w:val="FF0000"/>
              </w:rPr>
            </w:pPr>
            <w:r>
              <w:rPr>
                <w:color w:val="FF0000"/>
              </w:rPr>
              <w:t>One dominant peak</w:t>
            </w:r>
          </w:p>
        </w:tc>
      </w:tr>
      <w:tr>
        <w:trPr/>
        <w:tc>
          <w:tcPr>
            <w:tcW w:w="1936" w:type="dxa"/>
            <w:tcBorders/>
            <w:vAlign w:val="center"/>
          </w:tcPr>
          <w:p>
            <w:pPr>
              <w:pStyle w:val="TableContents"/>
              <w:widowControl w:val="false"/>
              <w:suppressLineNumbers/>
              <w:bidi w:val="0"/>
              <w:jc w:val="start"/>
              <w:rPr/>
            </w:pPr>
            <w:r>
              <w:rPr>
                <w:rStyle w:val="Strong"/>
                <w:color w:val="FF0000"/>
              </w:rPr>
              <w:t>Bimodal</w:t>
            </w:r>
          </w:p>
        </w:tc>
        <w:tc>
          <w:tcPr>
            <w:tcW w:w="2169" w:type="dxa"/>
            <w:tcBorders/>
            <w:vAlign w:val="center"/>
          </w:tcPr>
          <w:p>
            <w:pPr>
              <w:pStyle w:val="TableContents"/>
              <w:bidi w:val="0"/>
              <w:jc w:val="start"/>
              <w:rPr>
                <w:color w:val="FF0000"/>
              </w:rPr>
            </w:pPr>
            <w:r>
              <w:rPr>
                <w:color w:val="FF0000"/>
              </w:rPr>
              <w:t>Two distinct peaks</w:t>
            </w:r>
          </w:p>
        </w:tc>
      </w:tr>
      <w:tr>
        <w:trPr/>
        <w:tc>
          <w:tcPr>
            <w:tcW w:w="1936" w:type="dxa"/>
            <w:tcBorders/>
            <w:vAlign w:val="center"/>
          </w:tcPr>
          <w:p>
            <w:pPr>
              <w:pStyle w:val="TableContents"/>
              <w:widowControl w:val="false"/>
              <w:suppressLineNumbers/>
              <w:bidi w:val="0"/>
              <w:jc w:val="start"/>
              <w:rPr/>
            </w:pPr>
            <w:r>
              <w:rPr>
                <w:rStyle w:val="Strong"/>
                <w:color w:val="FF0000"/>
              </w:rPr>
              <w:t>Multimodal</w:t>
            </w:r>
          </w:p>
        </w:tc>
        <w:tc>
          <w:tcPr>
            <w:tcW w:w="2169" w:type="dxa"/>
            <w:tcBorders/>
            <w:vAlign w:val="center"/>
          </w:tcPr>
          <w:p>
            <w:pPr>
              <w:pStyle w:val="TableContents"/>
              <w:bidi w:val="0"/>
              <w:jc w:val="start"/>
              <w:rPr>
                <w:color w:val="FF0000"/>
              </w:rPr>
            </w:pPr>
            <w:r>
              <w:rPr>
                <w:color w:val="FF0000"/>
              </w:rPr>
              <w:t>More than two peaks</w:t>
            </w:r>
          </w:p>
        </w:tc>
      </w:tr>
    </w:tbl>
    <w:p>
      <w:pPr>
        <w:pStyle w:val="HorizontalLine"/>
        <w:bidi w:val="0"/>
        <w:jc w:val="start"/>
        <w:rPr/>
      </w:pPr>
      <w:r>
        <w:rPr/>
      </w:r>
    </w:p>
    <w:p>
      <w:pPr>
        <w:pStyle w:val="Heading1"/>
        <w:bidi w:val="0"/>
        <w:jc w:val="start"/>
        <w:rPr/>
      </w:pPr>
      <w:r>
        <w:rPr/>
        <w:t>Results</w:t>
      </w:r>
    </w:p>
    <w:p>
      <w:pPr>
        <w:pStyle w:val="BodyText"/>
        <w:bidi w:val="0"/>
        <w:jc w:val="start"/>
        <w:rPr/>
      </w:pPr>
      <w:r>
        <w:rPr/>
        <w:t xml:space="preserve">The histograms indicated that </w:t>
      </w:r>
      <w:r>
        <w:rPr>
          <w:rStyle w:val="Strong"/>
        </w:rPr>
        <w:t>most transformed features exhibited a unimodal distribution</w:t>
      </w:r>
      <w:r>
        <w:rPr/>
        <w:t>, suggesting that the preprocessing techniques (logarithmic transformation and standardization) successfully reduced skewness and produced smoother, more regular distributions.</w:t>
      </w:r>
    </w:p>
    <w:p>
      <w:pPr>
        <w:pStyle w:val="BodyText"/>
        <w:bidi w:val="0"/>
        <w:jc w:val="start"/>
        <w:rPr/>
      </w:pPr>
      <w:r>
        <w:rPr/>
        <w:t>Examples include:</w:t>
      </w:r>
    </w:p>
    <w:p>
      <w:pPr>
        <w:pStyle w:val="BodyText"/>
        <w:numPr>
          <w:ilvl w:val="0"/>
          <w:numId w:val="2"/>
        </w:numPr>
        <w:tabs>
          <w:tab w:val="clear" w:pos="709"/>
          <w:tab w:val="left" w:pos="709" w:leader="none"/>
        </w:tabs>
        <w:bidi w:val="0"/>
        <w:spacing w:before="0" w:after="0"/>
        <w:ind w:hanging="283" w:start="709"/>
        <w:jc w:val="start"/>
        <w:rPr/>
      </w:pPr>
      <w:r>
        <w:rPr>
          <w:rStyle w:val="SourceText"/>
        </w:rPr>
        <w:t>years_employed_log</w:t>
      </w:r>
      <w:r>
        <w:rPr/>
        <w:t xml:space="preserve"> </w:t>
      </w:r>
    </w:p>
    <w:p>
      <w:pPr>
        <w:pStyle w:val="BodyText"/>
        <w:numPr>
          <w:ilvl w:val="0"/>
          <w:numId w:val="2"/>
        </w:numPr>
        <w:tabs>
          <w:tab w:val="clear" w:pos="709"/>
          <w:tab w:val="left" w:pos="709" w:leader="none"/>
        </w:tabs>
        <w:bidi w:val="0"/>
        <w:spacing w:before="0" w:after="0"/>
        <w:ind w:hanging="283" w:start="709"/>
        <w:jc w:val="start"/>
        <w:rPr/>
      </w:pPr>
      <w:r>
        <w:rPr>
          <w:rStyle w:val="SourceText"/>
        </w:rPr>
        <w:t>current_debt_log</w:t>
      </w:r>
      <w:r>
        <w:rPr/>
        <w:t xml:space="preserve"> </w:t>
      </w:r>
    </w:p>
    <w:p>
      <w:pPr>
        <w:pStyle w:val="BodyText"/>
        <w:numPr>
          <w:ilvl w:val="0"/>
          <w:numId w:val="2"/>
        </w:numPr>
        <w:tabs>
          <w:tab w:val="clear" w:pos="709"/>
          <w:tab w:val="left" w:pos="709" w:leader="none"/>
        </w:tabs>
        <w:bidi w:val="0"/>
        <w:spacing w:before="0" w:after="0"/>
        <w:ind w:hanging="283" w:start="709"/>
        <w:jc w:val="start"/>
        <w:rPr/>
      </w:pPr>
      <w:r>
        <w:rPr>
          <w:rStyle w:val="SourceText"/>
        </w:rPr>
        <w:t>annual_income_log</w:t>
      </w:r>
      <w:r>
        <w:rPr/>
        <w:t xml:space="preserve"> </w:t>
      </w:r>
    </w:p>
    <w:p>
      <w:pPr>
        <w:pStyle w:val="BodyText"/>
        <w:numPr>
          <w:ilvl w:val="0"/>
          <w:numId w:val="2"/>
        </w:numPr>
        <w:tabs>
          <w:tab w:val="clear" w:pos="709"/>
          <w:tab w:val="left" w:pos="709" w:leader="none"/>
        </w:tabs>
        <w:bidi w:val="0"/>
        <w:spacing w:before="0" w:after="0"/>
        <w:ind w:hanging="283" w:start="709"/>
        <w:jc w:val="start"/>
        <w:rPr/>
      </w:pPr>
      <w:r>
        <w:rPr>
          <w:rStyle w:val="SourceText"/>
        </w:rPr>
        <w:t>credit_history_years_scaled</w:t>
      </w:r>
      <w:r>
        <w:rPr/>
        <w:t xml:space="preserve"> </w:t>
      </w:r>
    </w:p>
    <w:p>
      <w:pPr>
        <w:pStyle w:val="BodyText"/>
        <w:numPr>
          <w:ilvl w:val="0"/>
          <w:numId w:val="2"/>
        </w:numPr>
        <w:tabs>
          <w:tab w:val="clear" w:pos="709"/>
          <w:tab w:val="left" w:pos="709" w:leader="none"/>
        </w:tabs>
        <w:bidi w:val="0"/>
        <w:spacing w:before="0" w:after="0"/>
        <w:ind w:hanging="283" w:start="709"/>
        <w:jc w:val="start"/>
        <w:rPr/>
      </w:pPr>
      <w:r>
        <w:rPr>
          <w:rStyle w:val="SourceText"/>
        </w:rPr>
        <w:t>savings_assets_log</w:t>
      </w:r>
      <w:r>
        <w:rPr/>
        <w:t xml:space="preserve"> </w:t>
      </w:r>
    </w:p>
    <w:p>
      <w:pPr>
        <w:pStyle w:val="BodyText"/>
        <w:numPr>
          <w:ilvl w:val="0"/>
          <w:numId w:val="2"/>
        </w:numPr>
        <w:tabs>
          <w:tab w:val="clear" w:pos="709"/>
          <w:tab w:val="left" w:pos="709" w:leader="none"/>
        </w:tabs>
        <w:bidi w:val="0"/>
        <w:spacing w:before="0" w:after="0"/>
        <w:ind w:hanging="283" w:start="709"/>
        <w:jc w:val="start"/>
        <w:rPr/>
      </w:pPr>
      <w:r>
        <w:rPr>
          <w:rStyle w:val="SourceText"/>
        </w:rPr>
        <w:t>age_scaled</w:t>
      </w:r>
      <w:r>
        <w:rPr/>
        <w:t xml:space="preserve"> </w:t>
      </w:r>
    </w:p>
    <w:p>
      <w:pPr>
        <w:pStyle w:val="BodyText"/>
        <w:numPr>
          <w:ilvl w:val="0"/>
          <w:numId w:val="2"/>
        </w:numPr>
        <w:tabs>
          <w:tab w:val="clear" w:pos="709"/>
          <w:tab w:val="left" w:pos="709" w:leader="none"/>
        </w:tabs>
        <w:bidi w:val="0"/>
        <w:spacing w:before="0" w:after="0"/>
        <w:ind w:hanging="283" w:start="709"/>
        <w:jc w:val="start"/>
        <w:rPr/>
      </w:pPr>
      <w:r>
        <w:rPr>
          <w:rStyle w:val="SourceText"/>
        </w:rPr>
        <w:t>credit_score_scaled</w:t>
      </w:r>
      <w:r>
        <w:rPr/>
        <w:t xml:space="preserve"> </w:t>
      </w:r>
    </w:p>
    <w:p>
      <w:pPr>
        <w:pStyle w:val="BodyText"/>
        <w:numPr>
          <w:ilvl w:val="0"/>
          <w:numId w:val="2"/>
        </w:numPr>
        <w:tabs>
          <w:tab w:val="clear" w:pos="709"/>
          <w:tab w:val="left" w:pos="709" w:leader="none"/>
        </w:tabs>
        <w:bidi w:val="0"/>
        <w:ind w:hanging="283" w:start="709"/>
        <w:jc w:val="start"/>
        <w:rPr/>
      </w:pPr>
      <w:r>
        <w:rPr>
          <w:rStyle w:val="SourceText"/>
        </w:rPr>
        <w:t>interest_rate_scaled</w:t>
      </w:r>
      <w:r>
        <w:rPr/>
        <w:t xml:space="preserve"> </w:t>
      </w:r>
    </w:p>
    <w:p>
      <w:pPr>
        <w:pStyle w:val="BodyText"/>
        <w:bidi w:val="0"/>
        <w:jc w:val="start"/>
        <w:rPr/>
      </w:pPr>
      <w:r>
        <w:rPr/>
        <w:t>These variables displayed a single dominant peak with no evidence of multiple underlying subpopulations.</w:t>
      </w:r>
    </w:p>
    <w:p>
      <w:pPr>
        <w:pStyle w:val="HorizontalLine"/>
        <w:bidi w:val="0"/>
        <w:jc w:val="start"/>
        <w:rPr/>
      </w:pPr>
      <w:r>
        <w:rPr/>
      </w:r>
    </w:p>
    <w:p>
      <w:pPr>
        <w:pStyle w:val="Heading1"/>
        <w:bidi w:val="0"/>
        <w:jc w:val="start"/>
        <w:rPr/>
      </w:pPr>
      <w:r>
        <w:rPr/>
        <w:t>Loan Amount Distribution</w:t>
      </w:r>
    </w:p>
    <w:p>
      <w:pPr>
        <w:pStyle w:val="BodyText"/>
        <w:bidi w:val="0"/>
        <w:jc w:val="start"/>
        <w:rPr/>
      </w:pPr>
      <w:r>
        <w:rPr/>
        <w:t>The only exception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 w:name="code-block-viewer_Copy_1"/>
      <w:bookmarkEnd w:id="1"/>
      <w:r>
        <w:rPr>
          <w:rStyle w:val="SourceText"/>
        </w:rPr>
        <w:t>loan_amount_scaled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Its histogram showed </w:t>
      </w:r>
      <w:r>
        <w:rPr>
          <w:rStyle w:val="Strong"/>
        </w:rPr>
        <w:t>multiple distinct peaks</w:t>
      </w:r>
      <w:r>
        <w:rPr/>
        <w:t xml:space="preserve">, indicating a </w:t>
      </w:r>
      <w:r>
        <w:rPr>
          <w:rStyle w:val="Strong"/>
        </w:rPr>
        <w:t>multimodal distribution</w:t>
      </w:r>
      <w:r>
        <w:rPr/>
        <w:t>.</w:t>
      </w:r>
    </w:p>
    <w:p>
      <w:pPr>
        <w:pStyle w:val="Heading3"/>
        <w:bidi w:val="0"/>
        <w:jc w:val="start"/>
        <w:rPr/>
      </w:pPr>
      <w:r>
        <w:rPr/>
        <w:t>Interpretation</w:t>
      </w:r>
    </w:p>
    <w:p>
      <w:pPr>
        <w:pStyle w:val="BodyText"/>
        <w:bidi w:val="0"/>
        <w:jc w:val="start"/>
        <w:rPr/>
      </w:pPr>
      <w:r>
        <w:rPr/>
        <w:t>The multimodal pattern suggests that loan amounts are not continuously distributed around a single center. Instead, applicants tend to request loans in several common ranges, likely corresponding to different loan products or borrowing purposes. For example, smaller loans may represent personal or education loans, while larger amounts may correspond to home improvement or business loans.</w:t>
      </w:r>
    </w:p>
    <w:p>
      <w:pPr>
        <w:pStyle w:val="BodyText"/>
        <w:bidi w:val="0"/>
        <w:jc w:val="start"/>
        <w:rPr/>
      </w:pPr>
      <w:r>
        <w:rPr>
          <w:color w:val="FF0000"/>
        </w:rPr>
        <w:t xml:space="preserve">Unlike skewness, </w:t>
      </w:r>
      <w:r>
        <w:rPr>
          <w:rStyle w:val="Strong"/>
          <w:color w:val="FF0000"/>
        </w:rPr>
        <w:t>standardization does not change the shape of a distribution</w:t>
      </w:r>
      <w:r>
        <w:rPr>
          <w:color w:val="FF0000"/>
        </w:rPr>
        <w:t>.</w:t>
      </w:r>
      <w:r>
        <w:rPr/>
        <w:t xml:space="preserve"> It only rescales the values by centering them around zero and dividing by the standard deviation. Consequently, the multimodal structure observed in the original loan amount variable remained after scaling.</w:t>
      </w:r>
    </w:p>
    <w:p>
      <w:pPr>
        <w:pStyle w:val="HorizontalLine"/>
        <w:bidi w:val="0"/>
        <w:jc w:val="start"/>
        <w:rPr/>
      </w:pPr>
      <w:r>
        <w:rPr/>
      </w:r>
    </w:p>
    <w:p>
      <w:pPr>
        <w:pStyle w:val="Heading1"/>
        <w:bidi w:val="0"/>
        <w:jc w:val="start"/>
        <w:rPr/>
      </w:pPr>
      <w:r>
        <w:rPr/>
        <w:t>Why Categorize Loan Amount?</w:t>
      </w:r>
    </w:p>
    <w:p>
      <w:pPr>
        <w:pStyle w:val="BodyText"/>
        <w:bidi w:val="0"/>
        <w:jc w:val="start"/>
        <w:rPr/>
      </w:pPr>
      <w:r>
        <w:rPr/>
        <w:t xml:space="preserve">Because the </w:t>
      </w:r>
      <w:r>
        <w:rPr>
          <w:rStyle w:val="Strong"/>
        </w:rPr>
        <w:t>loan amount</w:t>
      </w:r>
      <w:r>
        <w:rPr/>
        <w:t xml:space="preserve"> variable exhibited a clear multimodal distribution, it was further transformed into </w:t>
      </w:r>
      <w:r>
        <w:rPr>
          <w:rStyle w:val="Strong"/>
        </w:rPr>
        <w:t>three categorical groups</w:t>
      </w:r>
      <w:r>
        <w:rPr/>
        <w:t>. Grouping loan amounts into categories helps separate the different borrowing ranges represented by the multiple peaks and simplifies the underlying distribution.</w:t>
      </w:r>
    </w:p>
    <w:p>
      <w:pPr>
        <w:pStyle w:val="BodyText"/>
        <w:bidi w:val="0"/>
        <w:jc w:val="start"/>
        <w:rPr/>
      </w:pPr>
      <w:r>
        <w:rPr/>
        <w:t>Categorizing the variable offers several advantages:</w:t>
      </w:r>
    </w:p>
    <w:p>
      <w:pPr>
        <w:pStyle w:val="BodyText"/>
        <w:numPr>
          <w:ilvl w:val="0"/>
          <w:numId w:val="3"/>
        </w:numPr>
        <w:tabs>
          <w:tab w:val="clear" w:pos="709"/>
          <w:tab w:val="left" w:pos="709" w:leader="none"/>
        </w:tabs>
        <w:bidi w:val="0"/>
        <w:spacing w:before="0" w:after="0"/>
        <w:ind w:hanging="283" w:start="709"/>
        <w:jc w:val="start"/>
        <w:rPr/>
      </w:pPr>
      <w:r>
        <w:rPr/>
        <w:t xml:space="preserve">reduces the influence of multiple peaks, </w:t>
      </w:r>
    </w:p>
    <w:p>
      <w:pPr>
        <w:pStyle w:val="BodyText"/>
        <w:numPr>
          <w:ilvl w:val="0"/>
          <w:numId w:val="3"/>
        </w:numPr>
        <w:tabs>
          <w:tab w:val="clear" w:pos="709"/>
          <w:tab w:val="left" w:pos="709" w:leader="none"/>
        </w:tabs>
        <w:bidi w:val="0"/>
        <w:spacing w:before="0" w:after="0"/>
        <w:ind w:hanging="283" w:start="709"/>
        <w:jc w:val="start"/>
        <w:rPr/>
      </w:pPr>
      <w:r>
        <w:rPr/>
        <w:t xml:space="preserve">captures meaningful loan size segments, </w:t>
      </w:r>
    </w:p>
    <w:p>
      <w:pPr>
        <w:pStyle w:val="BodyText"/>
        <w:numPr>
          <w:ilvl w:val="0"/>
          <w:numId w:val="3"/>
        </w:numPr>
        <w:tabs>
          <w:tab w:val="clear" w:pos="709"/>
          <w:tab w:val="left" w:pos="709" w:leader="none"/>
        </w:tabs>
        <w:bidi w:val="0"/>
        <w:spacing w:before="0" w:after="0"/>
        <w:ind w:hanging="283" w:start="709"/>
        <w:jc w:val="start"/>
        <w:rPr/>
      </w:pPr>
      <w:r>
        <w:rPr/>
        <w:t xml:space="preserve">improves interpretability, </w:t>
      </w:r>
    </w:p>
    <w:p>
      <w:pPr>
        <w:pStyle w:val="BodyText"/>
        <w:numPr>
          <w:ilvl w:val="0"/>
          <w:numId w:val="3"/>
        </w:numPr>
        <w:tabs>
          <w:tab w:val="clear" w:pos="709"/>
          <w:tab w:val="left" w:pos="709" w:leader="none"/>
        </w:tabs>
        <w:bidi w:val="0"/>
        <w:ind w:hanging="283" w:start="709"/>
        <w:jc w:val="start"/>
        <w:rPr/>
      </w:pPr>
      <w:r>
        <w:rPr/>
        <w:t xml:space="preserve">allows machine learning models to learn differences between small, medium, and large loans more effectively. </w:t>
      </w:r>
    </w:p>
    <w:p>
      <w:pPr>
        <w:pStyle w:val="HorizontalLine"/>
        <w:bidi w:val="0"/>
        <w:jc w:val="start"/>
        <w:rPr/>
      </w:pPr>
      <w:r>
        <w:rPr/>
      </w:r>
    </w:p>
    <w:p>
      <w:pPr>
        <w:pStyle w:val="Heading1"/>
        <w:bidi w:val="0"/>
        <w:jc w:val="start"/>
        <w:rPr/>
      </w:pPr>
      <w:r>
        <w:rPr/>
        <w:t>Overall Outcome</w:t>
      </w:r>
    </w:p>
    <w:p>
      <w:pPr>
        <w:pStyle w:val="BodyText"/>
        <w:bidi w:val="0"/>
        <w:jc w:val="start"/>
        <w:rPr/>
      </w:pPr>
      <w:r>
        <w:rPr/>
        <w:t xml:space="preserve">The modality analysis demonstrated that the applied preprocessing successfully improved the distributions of nearly all transformed numerical variables. Most engineered features exhibited </w:t>
      </w:r>
      <w:r>
        <w:rPr>
          <w:rStyle w:val="Strong"/>
        </w:rPr>
        <w:t>unimodal distributions</w:t>
      </w:r>
      <w:r>
        <w:rPr/>
        <w:t xml:space="preserve">, indicating that the logarithmic transformations effectively reduced skewness while standardization preserved well-behaved distributions. However, the </w:t>
      </w:r>
      <w:r>
        <w:rPr>
          <w:rStyle w:val="Strong"/>
        </w:rPr>
        <w:t>loan amount</w:t>
      </w:r>
      <w:r>
        <w:rPr/>
        <w:t xml:space="preserve"> variable remained </w:t>
      </w:r>
      <w:r>
        <w:rPr>
          <w:rStyle w:val="Strong"/>
        </w:rPr>
        <w:t>multimodal</w:t>
      </w:r>
      <w:r>
        <w:rPr/>
        <w:t xml:space="preserve">, reflecting the presence of multiple common loan size ranges within the dataset. To better represent this structure, the variable was subsequently categorized into </w:t>
      </w:r>
      <w:r>
        <w:rPr>
          <w:rStyle w:val="Strong"/>
        </w:rPr>
        <w:t>three loan amount groups</w:t>
      </w:r>
      <w:r>
        <w:rPr/>
        <w:t>, providing a more meaningful representation for the subsequent machine learning analysis.</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LibreOffice/26.2.4.2$Windows_X86_64 LibreOffice_project/0229ac93fcf0d7cbc6376066c6f35021cef002dc</Application>
  <AppVersion>15.0000</AppVersion>
  <Pages>3</Pages>
  <Words>614</Words>
  <Characters>4208</Characters>
  <CharactersWithSpaces>4800</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2026-07-18T16:27:18Z</dcterms:created>
  <dc:creator/>
  <dc:description/>
  <dc:language>en-US</dc:language>
  <cp:lastModifiedBy/>
  <dcterms:modified xsi:type="dcterms:W3CDTF">2026-07-18T16:30:10Z</dcterms:modified>
  <cp:revision>2</cp:revision>
  <dc:subject/>
  <dc:title/>
</cp:coreProperties>
</file>