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spacing/>
        <w:jc w:val="right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چکیده (Abstract):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این مطالعه به ارائه یک </w:t>
      </w:r>
      <w:r>
        <w:rPr>
          <w:rFonts w:cs="Arial"/>
          <w:b/>
          <w:highlight w:val="yellow"/>
          <w:bCs/>
          <w:sz w:val="20"/>
          <w:szCs w:val="28"/>
        </w:rPr>
        <w:t>تحلیل مقایسه‌ای</w:t>
      </w:r>
      <w:r>
        <w:rPr>
          <w:rFonts w:cs="Arial"/>
          <w:b w:val="0"/>
          <w:bCs/>
          <w:sz w:val="20"/>
          <w:szCs w:val="28"/>
        </w:rPr>
        <w:t xml:space="preserve"> از </w:t>
      </w:r>
      <w:r>
        <w:rPr>
          <w:rFonts w:cs="Arial"/>
          <w:b w:val="0"/>
          <w:highlight w:val="yellow"/>
          <w:bCs/>
          <w:sz w:val="20"/>
          <w:szCs w:val="28"/>
        </w:rPr>
        <w:t xml:space="preserve">روش‌های </w:t>
      </w:r>
      <w:r>
        <w:rPr>
          <w:rFonts w:cs="Arial"/>
          <w:b/>
          <w:highlight w:val="yellow"/>
          <w:bCs/>
          <w:sz w:val="20"/>
          <w:szCs w:val="28"/>
        </w:rPr>
        <w:t>یادگیری حساس به هزینه</w:t>
      </w:r>
      <w:r>
        <w:rPr>
          <w:rFonts w:cs="Arial"/>
          <w:b/>
          <w:bCs/>
          <w:sz w:val="20"/>
          <w:szCs w:val="28"/>
        </w:rPr>
        <w:t xml:space="preserve"> (Cost-Sensitive Learning)</w:t>
      </w:r>
      <w:r>
        <w:rPr>
          <w:rFonts w:cs="Arial"/>
          <w:b w:val="0"/>
          <w:bCs/>
          <w:sz w:val="20"/>
          <w:szCs w:val="28"/>
        </w:rPr>
        <w:t xml:space="preserve"> و </w:t>
      </w:r>
      <w:r>
        <w:rPr>
          <w:rFonts w:cs="Arial"/>
          <w:b/>
          <w:highlight w:val="yellow"/>
          <w:bCs/>
          <w:sz w:val="20"/>
          <w:szCs w:val="28"/>
        </w:rPr>
        <w:t>تکنیک‌های متعادل‌سازی داده‌ها</w:t>
      </w:r>
      <w:r>
        <w:rPr>
          <w:rFonts w:cs="Arial"/>
          <w:b/>
          <w:bCs/>
          <w:sz w:val="20"/>
          <w:szCs w:val="28"/>
        </w:rPr>
        <w:t xml:space="preserve"> (Data Balancing)</w:t>
      </w:r>
      <w:r>
        <w:rPr>
          <w:rFonts w:cs="Arial"/>
          <w:b w:val="0"/>
          <w:bCs/>
          <w:sz w:val="20"/>
          <w:szCs w:val="28"/>
        </w:rPr>
        <w:t xml:space="preserve"> در زمینه </w:t>
      </w:r>
      <w:r>
        <w:rPr>
          <w:rFonts w:cs="Arial"/>
          <w:b/>
          <w:bCs/>
          <w:sz w:val="20"/>
          <w:szCs w:val="28"/>
        </w:rPr>
        <w:t>مدل‌سازی ریسک اعتباری</w:t>
      </w:r>
      <w:r>
        <w:rPr>
          <w:rFonts w:cs="Arial"/>
          <w:b w:val="0"/>
          <w:bCs/>
          <w:sz w:val="20"/>
          <w:szCs w:val="28"/>
        </w:rPr>
        <w:t xml:space="preserve"> می‌پردازد.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در حالی که مؤسسات مالی در تلاش هستند دقت ارزیابی‌های اعتباری خود را بهبود دهند، چالش‌های ناشی از </w:t>
      </w:r>
      <w:r>
        <w:rPr>
          <w:rFonts w:cs="Arial"/>
          <w:b/>
          <w:bCs/>
          <w:sz w:val="20"/>
          <w:szCs w:val="28"/>
        </w:rPr>
        <w:t>داده‌های نامتوازن (Imbalanced Datasets)</w:t>
      </w:r>
      <w:r>
        <w:rPr>
          <w:rFonts w:cs="Arial"/>
          <w:b w:val="0"/>
          <w:bCs/>
          <w:sz w:val="20"/>
          <w:szCs w:val="28"/>
        </w:rPr>
        <w:t xml:space="preserve"> و همچنین </w:t>
      </w:r>
      <w:r>
        <w:rPr>
          <w:rFonts w:cs="Arial"/>
          <w:b/>
          <w:bCs/>
          <w:sz w:val="20"/>
          <w:szCs w:val="28"/>
        </w:rPr>
        <w:t>هزینه‌های مرتبط با خطاهای طبقه‌بندی</w:t>
      </w:r>
      <w:r>
        <w:rPr>
          <w:rFonts w:cs="Arial"/>
          <w:b w:val="0"/>
          <w:bCs/>
          <w:sz w:val="20"/>
          <w:szCs w:val="28"/>
        </w:rPr>
        <w:t xml:space="preserve"> اهمیت بیشتری پیدا می‌کنند.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این تحقیق، اثربخشی رویکردهای یادگیری حساس به هزینه — که در آن‌ها هزینه‌های متفاوتی به خطاهای مختلف اختصاص داده می‌شود — را در مقایسه با روش‌های سنتی متعادل‌سازی داده مانند: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Oversampling (افزایش نمونه‌های کلاس اقلیت)</w:t>
      </w: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Undersampling (کاهش نمونه‌های کلاس اکثریت)</w:t>
      </w:r>
      <w:r>
        <w:rPr>
          <w:rFonts w:cs="Arial"/>
          <w:b w:val="0"/>
          <w:bCs/>
          <w:sz w:val="20"/>
          <w:szCs w:val="28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ارزیابی می‌کند.</w:t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با اعمال این تکنیک‌ها روی یک </w:t>
      </w:r>
      <w:r>
        <w:rPr>
          <w:rFonts w:cs="Arial"/>
          <w:b/>
          <w:bCs/>
          <w:sz w:val="20"/>
          <w:szCs w:val="28"/>
        </w:rPr>
        <w:t>مجموعه داده واقعی ریسک اعتباری</w:t>
      </w:r>
      <w:r>
        <w:rPr>
          <w:rFonts w:cs="Arial"/>
          <w:b w:val="0"/>
          <w:bCs/>
          <w:sz w:val="20"/>
          <w:szCs w:val="28"/>
        </w:rPr>
        <w:t>، تأثیر آن‌ها بر معیارهای عملکرد مدل از جمله موارد زیر بررسی می‌شود: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دقت (Accuracy)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دقت مثبت (Precision)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یادآوری (Recall)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و </w:t>
      </w:r>
      <w:r>
        <w:rPr>
          <w:rFonts w:cs="Arial"/>
          <w:b/>
          <w:bCs/>
          <w:sz w:val="20"/>
          <w:szCs w:val="28"/>
        </w:rPr>
        <w:t>کارایی از نظر هزینه (Cost-effectiveness)</w:t>
      </w:r>
      <w:r>
        <w:rPr>
          <w:rFonts w:cs="Arial"/>
          <w:b w:val="0"/>
          <w:bCs/>
          <w:sz w:val="20"/>
          <w:szCs w:val="28"/>
        </w:rPr>
      </w:r>
    </w:p>
    <w:p>
      <w:pPr>
        <w:spacing/>
        <w:jc w:val="right"/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highlight w:val="yellow"/>
          <w:bCs/>
          <w:sz w:val="20"/>
          <w:szCs w:val="28"/>
        </w:rPr>
      </w:pPr>
      <w:r>
        <w:rPr>
          <w:rFonts w:cs="Arial"/>
          <w:b/>
          <w:highlight w:val="yellow"/>
          <w:bCs/>
          <w:sz w:val="20"/>
          <w:szCs w:val="28"/>
        </w:rPr>
        <w:t>نتایج نشان می‌دهد</w:t>
      </w:r>
      <w:r>
        <w:rPr>
          <w:rFonts w:cs="Arial"/>
          <w:b w:val="0"/>
          <w:highlight w:val="yellow"/>
          <w:bCs/>
          <w:sz w:val="20"/>
          <w:szCs w:val="28"/>
        </w:rPr>
        <w:t xml:space="preserve"> که اگرچه هر دو روش می‌توانند عملکرد پیش‌بینی را بهبود دهند، اما </w:t>
      </w:r>
      <w:r>
        <w:rPr>
          <w:rFonts w:cs="Arial"/>
          <w:b/>
          <w:highlight w:val="yellow"/>
          <w:bCs/>
          <w:sz w:val="20"/>
          <w:szCs w:val="28"/>
        </w:rPr>
        <w:t>یادگیری حساس به هزینه</w:t>
      </w:r>
      <w:r>
        <w:rPr>
          <w:rFonts w:cs="Arial"/>
          <w:b w:val="0"/>
          <w:highlight w:val="yellow"/>
          <w:bCs/>
          <w:sz w:val="20"/>
          <w:szCs w:val="28"/>
        </w:rPr>
        <w:t xml:space="preserve"> اغلب رویکردی دقیق‌تر و هوشمندانه‌تر ارائه می‌دهد که پیامدهای مالی خطاها را بهتر در نظر می‌گیرد و در نتیجه منجر به </w:t>
      </w:r>
      <w:r>
        <w:rPr>
          <w:rFonts w:cs="Arial"/>
          <w:b/>
          <w:highlight w:val="yellow"/>
          <w:bCs/>
          <w:sz w:val="20"/>
          <w:szCs w:val="28"/>
        </w:rPr>
        <w:t>تصمیم‌گیری‌های بهتر در اعطای وام</w:t>
      </w:r>
      <w:r>
        <w:rPr>
          <w:rFonts w:cs="Arial"/>
          <w:b w:val="0"/>
          <w:highlight w:val="yellow"/>
          <w:bCs/>
          <w:sz w:val="20"/>
          <w:szCs w:val="28"/>
        </w:rPr>
        <w:t xml:space="preserve"> می‌شود.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2"/>
      <w:tmLastPosIdx w:val="258"/>
    </w:tmLastPosCaret>
    <w:tmLastPosAnchor>
      <w:tmLastPosPgfIdx w:val="0"/>
      <w:tmLastPosIdx w:val="0"/>
    </w:tmLastPosAnchor>
    <w:tmLastPosTblRect w:left="0" w:top="0" w:right="0" w:bottom="0"/>
  </w:tmLastPos>
  <w:tmAppRevision w:date="177479365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2026-03-29T14:13:39Z</dcterms:created>
  <dcterms:modified xsi:type="dcterms:W3CDTF">2026-03-29T14:14:17Z</dcterms:modified>
</cp:coreProperties>
</file>