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Georgia" w:cs="Georgia" w:eastAsia="Georgia" w:hAnsi="Georgia"/>
          <w:b/>
          <w:bCs/>
          <w:color w:val="14110F"/>
          <w:sz w:val="32"/>
          <w:szCs w:val="32"/>
        </w:rPr>
        <w:t xml:space="preserve">Facial Esthetic Photography</w:t>
      </w:r>
    </w:p>
    <w:p>
      <w:pPr>
        <w:spacing w:after="220"/>
        <w:jc w:val="center"/>
      </w:pPr>
      <w:r>
        <w:rPr>
          <w:rFonts w:ascii="Calibri" w:cs="Calibri" w:eastAsia="Calibri" w:hAnsi="Calibri"/>
          <w:i/>
          <w:iCs/>
          <w:color w:val="7A5C2A"/>
          <w:sz w:val="20"/>
          <w:szCs w:val="20"/>
        </w:rPr>
        <w:t xml:space="preserve">Documentation Protocol for Consistent Before &amp; After Imaging</w:t>
      </w:r>
    </w:p>
    <w:p>
      <w:pPr>
        <w:spacing w:after="160" w:line="268"/>
        <w:jc w:val="both"/>
      </w:pPr>
      <w:r>
        <w:rPr>
          <w:rFonts w:ascii="Calibri" w:cs="Calibri" w:eastAsia="Calibri" w:hAnsi="Calibri"/>
          <w:color w:val="14110F"/>
          <w:sz w:val="21"/>
          <w:szCs w:val="21"/>
        </w:rPr>
        <w:t xml:space="preserve">Consistent, well-lit photo documentation is the foundation of every advanced facial treatment plan at House of Rose Aesthetics. This protocol standardizes how we set up the studio, position the client, and capture each visit — so that before-and-after comparisons are accurate, treatment planning is defensible, and every client can see her own progress clearly.</w:t>
      </w:r>
    </w:p>
    <w:p>
      <w:pPr>
        <w:pBdr>
          <w:bottom w:val="single" w:color="C9A24B" w:sz="4" w:space="3"/>
        </w:pBdr>
        <w:spacing w:after="110" w:before="260"/>
      </w:pPr>
      <w:r>
        <w:rPr>
          <w:rFonts w:ascii="Georgia" w:cs="Georgia" w:eastAsia="Georgia" w:hAnsi="Georgia"/>
          <w:b/>
          <w:bCs/>
          <w:color w:val="2F3A2B"/>
          <w:spacing w:val="8"/>
          <w:sz w:val="22"/>
          <w:szCs w:val="22"/>
        </w:rPr>
        <w:t xml:space="preserve">WHY WE DOCUMENT</w:t>
      </w:r>
    </w:p>
    <w:p>
      <w:pPr>
        <w:spacing w:after="100" w:line="268"/>
        <w:jc w:val="both"/>
      </w:pPr>
      <w:r>
        <w:rPr>
          <w:rFonts w:ascii="Calibri" w:cs="Calibri" w:eastAsia="Calibri" w:hAnsi="Calibri"/>
          <w:color w:val="14110F"/>
          <w:sz w:val="21"/>
          <w:szCs w:val="21"/>
        </w:rPr>
        <w:t xml:space="preserve">Consistent photo documentation supports every stage of care, and — with the client’s written consent — can also support our marketing and training efforts:</w:t>
      </w:r>
    </w:p>
    <w:p>
      <w:pPr>
        <w:pStyle w:val="ListParagraph"/>
        <w:numPr>
          <w:ilvl w:val="0"/>
          <w:numId w:val="2"/>
        </w:numPr>
        <w:spacing w:after="90"/>
      </w:pPr>
      <w:r>
        <w:rPr>
          <w:rFonts w:ascii="Calibri" w:cs="Calibri" w:eastAsia="Calibri" w:hAnsi="Calibri"/>
          <w:color w:val="14110F"/>
          <w:sz w:val="21"/>
          <w:szCs w:val="21"/>
        </w:rPr>
        <w:t xml:space="preserve">Documentation — an objective, dated record of skin condition at every visit.</w:t>
      </w:r>
    </w:p>
    <w:p>
      <w:pPr>
        <w:pStyle w:val="ListParagraph"/>
        <w:numPr>
          <w:ilvl w:val="0"/>
          <w:numId w:val="2"/>
        </w:numPr>
        <w:spacing w:after="90"/>
      </w:pPr>
      <w:r>
        <w:rPr>
          <w:rFonts w:ascii="Calibri" w:cs="Calibri" w:eastAsia="Calibri" w:hAnsi="Calibri"/>
          <w:color w:val="14110F"/>
          <w:sz w:val="21"/>
          <w:szCs w:val="21"/>
        </w:rPr>
        <w:t xml:space="preserve">Case acceptance — clients see and understand their own concerns more clearly in photos than in a mirror.</w:t>
      </w:r>
    </w:p>
    <w:p>
      <w:pPr>
        <w:pStyle w:val="ListParagraph"/>
        <w:numPr>
          <w:ilvl w:val="0"/>
          <w:numId w:val="2"/>
        </w:numPr>
        <w:spacing w:after="90"/>
      </w:pPr>
      <w:r>
        <w:rPr>
          <w:rFonts w:ascii="Calibri" w:cs="Calibri" w:eastAsia="Calibri" w:hAnsi="Calibri"/>
          <w:color w:val="14110F"/>
          <w:sz w:val="21"/>
          <w:szCs w:val="21"/>
        </w:rPr>
        <w:t xml:space="preserve">Treatment planning — before/after comparison guides protocol adjustments across a treatment series.</w:t>
      </w:r>
    </w:p>
    <w:p>
      <w:pPr>
        <w:pStyle w:val="ListParagraph"/>
        <w:numPr>
          <w:ilvl w:val="0"/>
          <w:numId w:val="2"/>
        </w:numPr>
        <w:spacing w:after="90"/>
      </w:pPr>
      <w:r>
        <w:rPr>
          <w:rFonts w:ascii="Calibri" w:cs="Calibri" w:eastAsia="Calibri" w:hAnsi="Calibri"/>
          <w:color w:val="14110F"/>
          <w:sz w:val="21"/>
          <w:szCs w:val="21"/>
        </w:rPr>
        <w:t xml:space="preserve">Progress tracking — demonstrates real, cumulative improvement over a course of treatments.</w:t>
      </w:r>
    </w:p>
    <w:p>
      <w:pPr>
        <w:pStyle w:val="ListParagraph"/>
        <w:numPr>
          <w:ilvl w:val="0"/>
          <w:numId w:val="2"/>
        </w:numPr>
        <w:spacing w:after="90"/>
      </w:pPr>
      <w:r>
        <w:rPr>
          <w:rFonts w:ascii="Calibri" w:cs="Calibri" w:eastAsia="Calibri" w:hAnsi="Calibri"/>
          <w:color w:val="14110F"/>
          <w:sz w:val="21"/>
          <w:szCs w:val="21"/>
        </w:rPr>
        <w:t xml:space="preserve">Marketing — with signed release only, results may be shared to educate future clients.</w:t>
      </w:r>
    </w:p>
    <w:p>
      <w:pPr>
        <w:pStyle w:val="ListParagraph"/>
        <w:numPr>
          <w:ilvl w:val="0"/>
          <w:numId w:val="2"/>
        </w:numPr>
        <w:spacing w:after="90"/>
      </w:pPr>
      <w:r>
        <w:rPr>
          <w:rFonts w:ascii="Calibri" w:cs="Calibri" w:eastAsia="Calibri" w:hAnsi="Calibri"/>
          <w:color w:val="14110F"/>
          <w:sz w:val="21"/>
          <w:szCs w:val="21"/>
        </w:rPr>
        <w:t xml:space="preserve">Technique refinement — internal review of outcomes to continually improve protocols.</w:t>
      </w:r>
    </w:p>
    <w:p>
      <w:pPr>
        <w:pBdr>
          <w:bottom w:val="single" w:color="C9A24B" w:sz="4" w:space="3"/>
        </w:pBdr>
        <w:spacing w:after="110" w:before="260"/>
      </w:pPr>
      <w:r>
        <w:rPr>
          <w:rFonts w:ascii="Georgia" w:cs="Georgia" w:eastAsia="Georgia" w:hAnsi="Georgia"/>
          <w:b/>
          <w:bCs/>
          <w:color w:val="2F3A2B"/>
          <w:spacing w:val="8"/>
          <w:sz w:val="22"/>
          <w:szCs w:val="22"/>
        </w:rPr>
        <w:t xml:space="preserve">STUDIO SETUP</w:t>
      </w:r>
    </w:p>
    <w:p>
      <w:pPr>
        <w:spacing w:after="120" w:line="268"/>
        <w:jc w:val="both"/>
      </w:pPr>
      <w:r>
        <w:rPr>
          <w:rFonts w:ascii="Calibri" w:cs="Calibri" w:eastAsia="Calibri" w:hAnsi="Calibri"/>
          <w:color w:val="14110F"/>
          <w:sz w:val="21"/>
          <w:szCs w:val="21"/>
        </w:rPr>
        <w:t xml:space="preserve">A dedicated, repeatable camera station removes lighting and angle as variables, so any change between photos reflects the skin — not the setup.</w:t>
      </w:r>
    </w:p>
    <w:p>
      <w:pPr>
        <w:spacing w:after="80" w:before="180"/>
      </w:pPr>
      <w:r>
        <w:rPr>
          <w:rFonts w:ascii="Georgia" w:cs="Georgia" w:eastAsia="Georgia" w:hAnsi="Georgia"/>
          <w:b/>
          <w:bCs/>
          <w:i/>
          <w:iCs/>
          <w:color w:val="3E2C20"/>
          <w:sz w:val="20"/>
          <w:szCs w:val="20"/>
        </w:rPr>
        <w:t xml:space="preserve">Equipment</w:t>
      </w:r>
    </w:p>
    <w:p>
      <w:pPr>
        <w:pStyle w:val="ListParagraph"/>
        <w:numPr>
          <w:ilvl w:val="0"/>
          <w:numId w:val="2"/>
        </w:numPr>
        <w:spacing w:after="90"/>
      </w:pPr>
      <w:r>
        <w:rPr>
          <w:rFonts w:ascii="Calibri" w:cs="Calibri" w:eastAsia="Calibri" w:hAnsi="Calibri"/>
          <w:color w:val="14110F"/>
          <w:sz w:val="21"/>
          <w:szCs w:val="21"/>
        </w:rPr>
        <w:t xml:space="preserve">Camera body with an external flash or dedicated ring/beauty light.</w:t>
      </w:r>
    </w:p>
    <w:p>
      <w:pPr>
        <w:pStyle w:val="ListParagraph"/>
        <w:numPr>
          <w:ilvl w:val="0"/>
          <w:numId w:val="2"/>
        </w:numPr>
        <w:spacing w:after="90"/>
      </w:pPr>
      <w:r>
        <w:rPr>
          <w:rFonts w:ascii="Calibri" w:cs="Calibri" w:eastAsia="Calibri" w:hAnsi="Calibri"/>
          <w:color w:val="14110F"/>
          <w:sz w:val="21"/>
          <w:szCs w:val="21"/>
        </w:rPr>
        <w:t xml:space="preserve">Two to three studio lights on stands, positioned symmetrically to eliminate harsh shadow.</w:t>
      </w:r>
    </w:p>
    <w:p>
      <w:pPr>
        <w:pStyle w:val="ListParagraph"/>
        <w:numPr>
          <w:ilvl w:val="0"/>
          <w:numId w:val="2"/>
        </w:numPr>
        <w:spacing w:after="90"/>
      </w:pPr>
      <w:r>
        <w:rPr>
          <w:rFonts w:ascii="Calibri" w:cs="Calibri" w:eastAsia="Calibri" w:hAnsi="Calibri"/>
          <w:color w:val="14110F"/>
          <w:sz w:val="21"/>
          <w:szCs w:val="21"/>
        </w:rPr>
        <w:t xml:space="preserve">A seamless white or neutral backdrop, wrinkle-free and wide enough to clear the client’s shoulders at every angle.</w:t>
      </w:r>
    </w:p>
    <w:p>
      <w:pPr>
        <w:pStyle w:val="ListParagraph"/>
        <w:numPr>
          <w:ilvl w:val="0"/>
          <w:numId w:val="2"/>
        </w:numPr>
        <w:spacing w:after="90"/>
      </w:pPr>
      <w:r>
        <w:rPr>
          <w:rFonts w:ascii="Calibri" w:cs="Calibri" w:eastAsia="Calibri" w:hAnsi="Calibri"/>
          <w:color w:val="14110F"/>
          <w:sz w:val="21"/>
          <w:szCs w:val="21"/>
        </w:rPr>
        <w:t xml:space="preserve">An armless swivel stool set to a fixed height, marked so it returns to the same position each visit.</w:t>
      </w:r>
    </w:p>
    <w:p>
      <w:pPr>
        <w:spacing w:after="160" w:line="268"/>
        <w:jc w:val="both"/>
      </w:pPr>
      <w:r>
        <w:rPr>
          <w:rFonts w:ascii="Calibri" w:cs="Calibri" w:eastAsia="Calibri" w:hAnsi="Calibri"/>
          <w:i/>
          <w:iCs/>
          <w:color w:val="8A7259"/>
          <w:sz w:val="18"/>
          <w:szCs w:val="18"/>
        </w:rPr>
        <w:t xml:space="preserve">Equipment brand and pricing will vary by supplier — confirm current availability and cost before purchasing a kit.</w:t>
      </w:r>
    </w:p>
    <w:p>
      <w:pPr>
        <w:spacing w:after="80" w:before="180"/>
      </w:pPr>
      <w:r>
        <w:rPr>
          <w:rFonts w:ascii="Georgia" w:cs="Georgia" w:eastAsia="Georgia" w:hAnsi="Georgia"/>
          <w:b/>
          <w:bCs/>
          <w:i/>
          <w:iCs/>
          <w:color w:val="3E2C20"/>
          <w:sz w:val="20"/>
          <w:szCs w:val="20"/>
        </w:rPr>
        <w:t xml:space="preserve">Layout</w:t>
      </w:r>
    </w:p>
    <w:p>
      <w:pPr>
        <w:spacing w:after="200" w:line="268"/>
        <w:jc w:val="both"/>
      </w:pPr>
      <w:r>
        <w:rPr>
          <w:rFonts w:ascii="Calibri" w:cs="Calibri" w:eastAsia="Calibri" w:hAnsi="Calibri"/>
          <w:color w:val="14110F"/>
          <w:sz w:val="21"/>
          <w:szCs w:val="21"/>
        </w:rPr>
        <w:t xml:space="preserve">Position the stool centered on the backdrop with clearance on both sides for the 45° angle shots below. Keep the camera at a fixed working distance from the stool (mark the floor with tape) and lock focal length/zoom between visits so framing stays identical. Lights are placed symmetrically left and right of the camera, angled slightly inward toward the client’s face.</w:t>
      </w:r>
    </w:p>
    <w:p>
      <w:pPr>
        <w:pBdr>
          <w:bottom w:val="single" w:color="C9A24B" w:sz="4" w:space="3"/>
        </w:pBdr>
        <w:spacing w:after="110" w:before="260"/>
      </w:pPr>
      <w:r>
        <w:rPr>
          <w:rFonts w:ascii="Georgia" w:cs="Georgia" w:eastAsia="Georgia" w:hAnsi="Georgia"/>
          <w:b/>
          <w:bCs/>
          <w:color w:val="2F3A2B"/>
          <w:spacing w:val="8"/>
          <w:sz w:val="22"/>
          <w:szCs w:val="22"/>
        </w:rPr>
        <w:t xml:space="preserve">POSE PROTOCOL</w:t>
      </w:r>
    </w:p>
    <w:p>
      <w:pPr>
        <w:spacing w:after="140" w:line="268"/>
        <w:jc w:val="both"/>
      </w:pPr>
      <w:r>
        <w:rPr>
          <w:rFonts w:ascii="Calibri" w:cs="Calibri" w:eastAsia="Calibri" w:hAnsi="Calibri"/>
          <w:color w:val="14110F"/>
          <w:sz w:val="21"/>
          <w:szCs w:val="21"/>
        </w:rPr>
        <w:t xml:space="preserve">Capture every marked view for each state below at every documentation visit, in this order. Read the client cue aloud exactly as written — consistent phrasing produces consistent, comparable expressions across visits.</w:t>
      </w:r>
    </w:p>
    <w:tbl>
      <w:tblPr>
        <w:tblW w:type="dxa" w:w="9400"/>
        <w:tblBorders>
          <w:top w:val="single" w:color="8A7259" w:sz="4"/>
          <w:left w:val="single" w:color="8A7259" w:sz="4"/>
          <w:bottom w:val="single" w:color="8A7259" w:sz="4"/>
          <w:right w:val="single" w:color="8A7259" w:sz="4"/>
          <w:insideH w:val="single" w:color="D9CDBB" w:sz="2"/>
          <w:insideV w:val="single" w:color="D9CDBB" w:sz="2"/>
        </w:tblBorders>
      </w:tblPr>
      <w:tblGrid>
        <w:gridCol w:w="1100"/>
        <w:gridCol w:w="3550"/>
        <w:gridCol w:w="950"/>
        <w:gridCol w:w="950"/>
        <w:gridCol w:w="950"/>
        <w:gridCol w:w="950"/>
        <w:gridCol w:w="950"/>
      </w:tblGrid>
      <w:tr>
        <w:trPr>
          <w:tblHeader/>
        </w:trPr>
        <w:tc>
          <w:tcPr>
            <w:tcW w:type="dxa" w:w="1100"/>
            <w:shd w:fill="3E2C20" w:color="auto"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State</w:t>
            </w:r>
          </w:p>
        </w:tc>
        <w:tc>
          <w:tcPr>
            <w:tcW w:type="dxa" w:w="3550"/>
            <w:shd w:fill="3E2C20" w:color="auto"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Client Cue</w:t>
            </w:r>
          </w:p>
        </w:tc>
        <w:tc>
          <w:tcPr>
            <w:tcW w:type="dxa" w:w="950"/>
            <w:shd w:fill="3E2C20" w:color="auto"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Frontal</w:t>
            </w:r>
          </w:p>
        </w:tc>
        <w:tc>
          <w:tcPr>
            <w:tcW w:type="dxa" w:w="950"/>
            <w:shd w:fill="3E2C20" w:color="auto"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45° Left</w:t>
            </w:r>
          </w:p>
        </w:tc>
        <w:tc>
          <w:tcPr>
            <w:tcW w:type="dxa" w:w="950"/>
            <w:shd w:fill="3E2C20" w:color="auto"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45° Right</w:t>
            </w:r>
          </w:p>
        </w:tc>
        <w:tc>
          <w:tcPr>
            <w:tcW w:type="dxa" w:w="950"/>
            <w:shd w:fill="3E2C20" w:color="auto"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Sagittal L</w:t>
            </w:r>
          </w:p>
        </w:tc>
        <w:tc>
          <w:tcPr>
            <w:tcW w:type="dxa" w:w="950"/>
            <w:shd w:fill="3E2C20" w:color="auto"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Sagittal R</w:t>
            </w:r>
          </w:p>
        </w:tc>
      </w:tr>
      <w:tr>
        <w:tc>
          <w:tcPr>
            <w:tcW w:type="dxa" w:w="1100"/>
            <w:shd w:fill="FFFFFF" w:color="auto" w:val="clear"/>
            <w:tcMar>
              <w:top w:type="dxa" w:w="70"/>
              <w:left w:type="dxa" w:w="80"/>
              <w:bottom w:type="dxa" w:w="70"/>
              <w:right w:type="dxa" w:w="80"/>
            </w:tcMar>
            <w:vAlign w:val="center"/>
          </w:tcPr>
          <w:p>
            <w:r>
              <w:rPr>
                <w:rFonts w:ascii="Calibri" w:cs="Calibri" w:eastAsia="Calibri" w:hAnsi="Calibri"/>
                <w:b/>
                <w:bCs/>
                <w:color w:val="2F3A2B"/>
                <w:sz w:val="17"/>
                <w:szCs w:val="17"/>
              </w:rPr>
              <w:t xml:space="preserve">Relaxed</w:t>
            </w:r>
          </w:p>
        </w:tc>
        <w:tc>
          <w:tcPr>
            <w:tcW w:type="dxa" w:w="3550"/>
            <w:shd w:fill="FFFFFF" w:color="auto" w:val="clear"/>
            <w:tcMar>
              <w:top w:type="dxa" w:w="70"/>
              <w:left w:type="dxa" w:w="80"/>
              <w:bottom w:type="dxa" w:w="70"/>
              <w:right w:type="dxa" w:w="80"/>
            </w:tcMar>
            <w:vAlign w:val="center"/>
          </w:tcPr>
          <w:p>
            <w:r>
              <w:rPr>
                <w:rFonts w:ascii="Calibri" w:cs="Calibri" w:eastAsia="Calibri" w:hAnsi="Calibri"/>
                <w:i/>
                <w:iCs/>
                <w:color w:val="14110F"/>
                <w:sz w:val="17"/>
                <w:szCs w:val="17"/>
              </w:rPr>
              <w:t xml:space="preserve">Neutral, natural expression</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r>
      <w:tr>
        <w:tc>
          <w:tcPr>
            <w:tcW w:type="dxa" w:w="1100"/>
            <w:shd w:fill="F3E9CF" w:color="auto" w:val="clear"/>
            <w:tcMar>
              <w:top w:type="dxa" w:w="70"/>
              <w:left w:type="dxa" w:w="80"/>
              <w:bottom w:type="dxa" w:w="70"/>
              <w:right w:type="dxa" w:w="80"/>
            </w:tcMar>
            <w:vAlign w:val="center"/>
          </w:tcPr>
          <w:p>
            <w:r>
              <w:rPr>
                <w:rFonts w:ascii="Calibri" w:cs="Calibri" w:eastAsia="Calibri" w:hAnsi="Calibri"/>
                <w:b/>
                <w:bCs/>
                <w:color w:val="2F3A2B"/>
                <w:sz w:val="17"/>
                <w:szCs w:val="17"/>
              </w:rPr>
              <w:t xml:space="preserve">Active</w:t>
            </w:r>
          </w:p>
        </w:tc>
        <w:tc>
          <w:tcPr>
            <w:tcW w:type="dxa" w:w="3550"/>
            <w:shd w:fill="F3E9CF" w:color="auto" w:val="clear"/>
            <w:tcMar>
              <w:top w:type="dxa" w:w="70"/>
              <w:left w:type="dxa" w:w="80"/>
              <w:bottom w:type="dxa" w:w="70"/>
              <w:right w:type="dxa" w:w="80"/>
            </w:tcMar>
            <w:vAlign w:val="center"/>
          </w:tcPr>
          <w:p>
            <w:r>
              <w:rPr>
                <w:rFonts w:ascii="Calibri" w:cs="Calibri" w:eastAsia="Calibri" w:hAnsi="Calibri"/>
                <w:i/>
                <w:iCs/>
                <w:color w:val="14110F"/>
                <w:sz w:val="17"/>
                <w:szCs w:val="17"/>
              </w:rPr>
              <w:t xml:space="preserve">"Contract your neck muscles with clenched teeth" (expression of sadness)</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r>
      <w:tr>
        <w:tc>
          <w:tcPr>
            <w:tcW w:type="dxa" w:w="1100"/>
            <w:shd w:fill="FFFFFF" w:color="auto" w:val="clear"/>
            <w:tcMar>
              <w:top w:type="dxa" w:w="70"/>
              <w:left w:type="dxa" w:w="80"/>
              <w:bottom w:type="dxa" w:w="70"/>
              <w:right w:type="dxa" w:w="80"/>
            </w:tcMar>
            <w:vAlign w:val="center"/>
          </w:tcPr>
          <w:p>
            <w:r>
              <w:rPr>
                <w:rFonts w:ascii="Calibri" w:cs="Calibri" w:eastAsia="Calibri" w:hAnsi="Calibri"/>
                <w:b/>
                <w:bCs/>
                <w:color w:val="2F3A2B"/>
                <w:sz w:val="17"/>
                <w:szCs w:val="17"/>
              </w:rPr>
              <w:t xml:space="preserve">Relaxed</w:t>
            </w:r>
          </w:p>
        </w:tc>
        <w:tc>
          <w:tcPr>
            <w:tcW w:type="dxa" w:w="3550"/>
            <w:shd w:fill="FFFFFF" w:color="auto" w:val="clear"/>
            <w:tcMar>
              <w:top w:type="dxa" w:w="70"/>
              <w:left w:type="dxa" w:w="80"/>
              <w:bottom w:type="dxa" w:w="70"/>
              <w:right w:type="dxa" w:w="80"/>
            </w:tcMar>
            <w:vAlign w:val="center"/>
          </w:tcPr>
          <w:p>
            <w:r>
              <w:rPr>
                <w:rFonts w:ascii="Calibri" w:cs="Calibri" w:eastAsia="Calibri" w:hAnsi="Calibri"/>
                <w:i/>
                <w:iCs/>
                <w:color w:val="14110F"/>
                <w:sz w:val="17"/>
                <w:szCs w:val="17"/>
              </w:rPr>
              <w:t xml:space="preserve">Neutral, natural expression</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r>
      <w:tr>
        <w:tc>
          <w:tcPr>
            <w:tcW w:type="dxa" w:w="1100"/>
            <w:shd w:fill="F3E9CF" w:color="auto" w:val="clear"/>
            <w:tcMar>
              <w:top w:type="dxa" w:w="70"/>
              <w:left w:type="dxa" w:w="80"/>
              <w:bottom w:type="dxa" w:w="70"/>
              <w:right w:type="dxa" w:w="80"/>
            </w:tcMar>
            <w:vAlign w:val="center"/>
          </w:tcPr>
          <w:p>
            <w:r>
              <w:rPr>
                <w:rFonts w:ascii="Calibri" w:cs="Calibri" w:eastAsia="Calibri" w:hAnsi="Calibri"/>
                <w:b/>
                <w:bCs/>
                <w:color w:val="2F3A2B"/>
                <w:sz w:val="17"/>
                <w:szCs w:val="17"/>
              </w:rPr>
              <w:t xml:space="preserve">Active</w:t>
            </w:r>
          </w:p>
        </w:tc>
        <w:tc>
          <w:tcPr>
            <w:tcW w:type="dxa" w:w="3550"/>
            <w:shd w:fill="F3E9CF" w:color="auto" w:val="clear"/>
            <w:tcMar>
              <w:top w:type="dxa" w:w="70"/>
              <w:left w:type="dxa" w:w="80"/>
              <w:bottom w:type="dxa" w:w="70"/>
              <w:right w:type="dxa" w:w="80"/>
            </w:tcMar>
            <w:vAlign w:val="center"/>
          </w:tcPr>
          <w:p>
            <w:r>
              <w:rPr>
                <w:rFonts w:ascii="Calibri" w:cs="Calibri" w:eastAsia="Calibri" w:hAnsi="Calibri"/>
                <w:i/>
                <w:iCs/>
                <w:color w:val="14110F"/>
                <w:sz w:val="17"/>
                <w:szCs w:val="17"/>
              </w:rPr>
              <w:t xml:space="preserve">"Smile with your teeth showing"</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r>
      <w:tr>
        <w:tc>
          <w:tcPr>
            <w:tcW w:type="dxa" w:w="1100"/>
            <w:shd w:fill="FFFFFF" w:color="auto" w:val="clear"/>
            <w:tcMar>
              <w:top w:type="dxa" w:w="70"/>
              <w:left w:type="dxa" w:w="80"/>
              <w:bottom w:type="dxa" w:w="70"/>
              <w:right w:type="dxa" w:w="80"/>
            </w:tcMar>
            <w:vAlign w:val="center"/>
          </w:tcPr>
          <w:p>
            <w:r>
              <w:rPr>
                <w:rFonts w:ascii="Calibri" w:cs="Calibri" w:eastAsia="Calibri" w:hAnsi="Calibri"/>
                <w:b/>
                <w:bCs/>
                <w:color w:val="2F3A2B"/>
                <w:sz w:val="17"/>
                <w:szCs w:val="17"/>
              </w:rPr>
              <w:t xml:space="preserve">Relaxed</w:t>
            </w:r>
          </w:p>
        </w:tc>
        <w:tc>
          <w:tcPr>
            <w:tcW w:type="dxa" w:w="3550"/>
            <w:shd w:fill="FFFFFF" w:color="auto" w:val="clear"/>
            <w:tcMar>
              <w:top w:type="dxa" w:w="70"/>
              <w:left w:type="dxa" w:w="80"/>
              <w:bottom w:type="dxa" w:w="70"/>
              <w:right w:type="dxa" w:w="80"/>
            </w:tcMar>
            <w:vAlign w:val="center"/>
          </w:tcPr>
          <w:p>
            <w:r>
              <w:rPr>
                <w:rFonts w:ascii="Calibri" w:cs="Calibri" w:eastAsia="Calibri" w:hAnsi="Calibri"/>
                <w:i/>
                <w:iCs/>
                <w:color w:val="14110F"/>
                <w:sz w:val="17"/>
                <w:szCs w:val="17"/>
              </w:rPr>
              <w:t xml:space="preserve">Neutral, natural expression</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r>
      <w:tr>
        <w:tc>
          <w:tcPr>
            <w:tcW w:type="dxa" w:w="1100"/>
            <w:shd w:fill="F3E9CF" w:color="auto" w:val="clear"/>
            <w:tcMar>
              <w:top w:type="dxa" w:w="70"/>
              <w:left w:type="dxa" w:w="80"/>
              <w:bottom w:type="dxa" w:w="70"/>
              <w:right w:type="dxa" w:w="80"/>
            </w:tcMar>
            <w:vAlign w:val="center"/>
          </w:tcPr>
          <w:p>
            <w:r>
              <w:rPr>
                <w:rFonts w:ascii="Calibri" w:cs="Calibri" w:eastAsia="Calibri" w:hAnsi="Calibri"/>
                <w:b/>
                <w:bCs/>
                <w:color w:val="2F3A2B"/>
                <w:sz w:val="17"/>
                <w:szCs w:val="17"/>
              </w:rPr>
              <w:t xml:space="preserve">Active</w:t>
            </w:r>
          </w:p>
        </w:tc>
        <w:tc>
          <w:tcPr>
            <w:tcW w:type="dxa" w:w="3550"/>
            <w:shd w:fill="F3E9CF" w:color="auto" w:val="clear"/>
            <w:tcMar>
              <w:top w:type="dxa" w:w="70"/>
              <w:left w:type="dxa" w:w="80"/>
              <w:bottom w:type="dxa" w:w="70"/>
              <w:right w:type="dxa" w:w="80"/>
            </w:tcMar>
            <w:vAlign w:val="center"/>
          </w:tcPr>
          <w:p>
            <w:r>
              <w:rPr>
                <w:rFonts w:ascii="Calibri" w:cs="Calibri" w:eastAsia="Calibri" w:hAnsi="Calibri"/>
                <w:i/>
                <w:iCs/>
                <w:color w:val="14110F"/>
                <w:sz w:val="17"/>
                <w:szCs w:val="17"/>
              </w:rPr>
              <w:t xml:space="preserve">"Squint like you’re in a sandstorm"</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r>
      <w:tr>
        <w:tc>
          <w:tcPr>
            <w:tcW w:type="dxa" w:w="1100"/>
            <w:shd w:fill="FFFFFF" w:color="auto" w:val="clear"/>
            <w:tcMar>
              <w:top w:type="dxa" w:w="70"/>
              <w:left w:type="dxa" w:w="80"/>
              <w:bottom w:type="dxa" w:w="70"/>
              <w:right w:type="dxa" w:w="80"/>
            </w:tcMar>
            <w:vAlign w:val="center"/>
          </w:tcPr>
          <w:p>
            <w:r>
              <w:rPr>
                <w:rFonts w:ascii="Calibri" w:cs="Calibri" w:eastAsia="Calibri" w:hAnsi="Calibri"/>
                <w:b/>
                <w:bCs/>
                <w:color w:val="2F3A2B"/>
                <w:sz w:val="17"/>
                <w:szCs w:val="17"/>
              </w:rPr>
              <w:t xml:space="preserve">Active</w:t>
            </w:r>
          </w:p>
        </w:tc>
        <w:tc>
          <w:tcPr>
            <w:tcW w:type="dxa" w:w="3550"/>
            <w:shd w:fill="FFFFFF" w:color="auto" w:val="clear"/>
            <w:tcMar>
              <w:top w:type="dxa" w:w="70"/>
              <w:left w:type="dxa" w:w="80"/>
              <w:bottom w:type="dxa" w:w="70"/>
              <w:right w:type="dxa" w:w="80"/>
            </w:tcMar>
            <w:vAlign w:val="center"/>
          </w:tcPr>
          <w:p>
            <w:r>
              <w:rPr>
                <w:rFonts w:ascii="Calibri" w:cs="Calibri" w:eastAsia="Calibri" w:hAnsi="Calibri"/>
                <w:i/>
                <w:iCs/>
                <w:color w:val="14110F"/>
                <w:sz w:val="17"/>
                <w:szCs w:val="17"/>
              </w:rPr>
              <w:t xml:space="preserve">"Raise your eyebrows"</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c>
          <w:tcPr>
            <w:tcW w:type="dxa" w:w="950"/>
            <w:shd w:fill="FFFFF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r>
      <w:tr>
        <w:tc>
          <w:tcPr>
            <w:tcW w:type="dxa" w:w="1100"/>
            <w:shd w:fill="F3E9CF" w:color="auto" w:val="clear"/>
            <w:tcMar>
              <w:top w:type="dxa" w:w="70"/>
              <w:left w:type="dxa" w:w="80"/>
              <w:bottom w:type="dxa" w:w="70"/>
              <w:right w:type="dxa" w:w="80"/>
            </w:tcMar>
            <w:vAlign w:val="center"/>
          </w:tcPr>
          <w:p>
            <w:r>
              <w:rPr>
                <w:rFonts w:ascii="Calibri" w:cs="Calibri" w:eastAsia="Calibri" w:hAnsi="Calibri"/>
                <w:b/>
                <w:bCs/>
                <w:color w:val="2F3A2B"/>
                <w:sz w:val="17"/>
                <w:szCs w:val="17"/>
              </w:rPr>
              <w:t xml:space="preserve">Active</w:t>
            </w:r>
          </w:p>
        </w:tc>
        <w:tc>
          <w:tcPr>
            <w:tcW w:type="dxa" w:w="3550"/>
            <w:shd w:fill="F3E9CF" w:color="auto" w:val="clear"/>
            <w:tcMar>
              <w:top w:type="dxa" w:w="70"/>
              <w:left w:type="dxa" w:w="80"/>
              <w:bottom w:type="dxa" w:w="70"/>
              <w:right w:type="dxa" w:w="80"/>
            </w:tcMar>
            <w:vAlign w:val="center"/>
          </w:tcPr>
          <w:p>
            <w:r>
              <w:rPr>
                <w:rFonts w:ascii="Calibri" w:cs="Calibri" w:eastAsia="Calibri" w:hAnsi="Calibri"/>
                <w:i/>
                <w:iCs/>
                <w:color w:val="14110F"/>
                <w:sz w:val="17"/>
                <w:szCs w:val="17"/>
              </w:rPr>
              <w:t xml:space="preserve">"Scrunch your nose"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bCs/>
                <w:color w:val="7A5C2A"/>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c>
          <w:tcPr>
            <w:tcW w:type="dxa" w:w="950"/>
            <w:shd w:fill="F3E9CF" w:color="auto" w:val="clear"/>
            <w:tcMar>
              <w:top w:type="dxa" w:w="70"/>
              <w:left w:type="dxa" w:w="40"/>
              <w:bottom w:type="dxa" w:w="70"/>
              <w:right w:type="dxa" w:w="40"/>
            </w:tcMar>
            <w:vAlign w:val="center"/>
          </w:tcPr>
          <w:p>
            <w:pPr>
              <w:jc w:val="center"/>
            </w:pPr>
            <w:r>
              <w:rPr>
                <w:rFonts w:ascii="Calibri" w:cs="Calibri" w:eastAsia="Calibri" w:hAnsi="Calibri"/>
                <w:b w:val="false"/>
                <w:bCs w:val="false"/>
                <w:color w:val="8A7259"/>
                <w:sz w:val="18"/>
                <w:szCs w:val="18"/>
              </w:rPr>
              <w:t xml:space="preserve">—</w:t>
            </w:r>
          </w:p>
        </w:tc>
      </w:tr>
    </w:tbl>
    <w:p>
      <w:pPr>
        <w:spacing w:after="60" w:line="268"/>
        <w:jc w:val="center"/>
      </w:pPr>
      <w:r>
        <w:rPr>
          <w:rFonts w:ascii="Calibri" w:cs="Calibri" w:eastAsia="Calibri" w:hAnsi="Calibri"/>
          <w:i/>
          <w:iCs/>
          <w:color w:val="8A7259"/>
          <w:sz w:val="18"/>
          <w:szCs w:val="18"/>
        </w:rPr>
        <w:t xml:space="preserve">A completed session captures 5 relaxed views plus 8 active-expression views — 13 photographs total.</w:t>
      </w:r>
    </w:p>
    <w:p>
      <w:pPr>
        <w:pBdr>
          <w:bottom w:val="single" w:color="C9A24B" w:sz="4" w:space="3"/>
        </w:pBdr>
        <w:spacing w:after="110" w:before="260"/>
      </w:pPr>
      <w:r>
        <w:rPr>
          <w:rFonts w:ascii="Georgia" w:cs="Georgia" w:eastAsia="Georgia" w:hAnsi="Georgia"/>
          <w:b/>
          <w:bCs/>
          <w:color w:val="2F3A2B"/>
          <w:spacing w:val="8"/>
          <w:sz w:val="22"/>
          <w:szCs w:val="22"/>
        </w:rPr>
        <w:t xml:space="preserve">BEFORE YOU SHOOT</w:t>
      </w:r>
    </w:p>
    <w:p>
      <w:pPr>
        <w:pStyle w:val="ListParagraph"/>
        <w:numPr>
          <w:ilvl w:val="0"/>
          <w:numId w:val="2"/>
        </w:numPr>
        <w:spacing w:after="90"/>
      </w:pPr>
      <w:r>
        <w:rPr>
          <w:rFonts w:ascii="Calibri" w:cs="Calibri" w:eastAsia="Calibri" w:hAnsi="Calibri"/>
          <w:color w:val="14110F"/>
          <w:sz w:val="21"/>
          <w:szCs w:val="21"/>
        </w:rPr>
        <w:t xml:space="preserve">Confirm the client has signed a current Photography / Video Model Release on file (see separate form) before any image is captured.</w:t>
      </w:r>
    </w:p>
    <w:p>
      <w:pPr>
        <w:pStyle w:val="ListParagraph"/>
        <w:numPr>
          <w:ilvl w:val="0"/>
          <w:numId w:val="2"/>
        </w:numPr>
        <w:spacing w:after="90"/>
      </w:pPr>
      <w:r>
        <w:rPr>
          <w:rFonts w:ascii="Calibri" w:cs="Calibri" w:eastAsia="Calibri" w:hAnsi="Calibri"/>
          <w:color w:val="14110F"/>
          <w:sz w:val="21"/>
          <w:szCs w:val="21"/>
        </w:rPr>
        <w:t xml:space="preserve">Remove glasses, hair, and jewelry from the treatment area; pull hair fully off the face and neck.</w:t>
      </w:r>
    </w:p>
    <w:p>
      <w:pPr>
        <w:pStyle w:val="ListParagraph"/>
        <w:numPr>
          <w:ilvl w:val="0"/>
          <w:numId w:val="2"/>
        </w:numPr>
        <w:spacing w:after="90"/>
      </w:pPr>
      <w:r>
        <w:rPr>
          <w:rFonts w:ascii="Calibri" w:cs="Calibri" w:eastAsia="Calibri" w:hAnsi="Calibri"/>
          <w:color w:val="14110F"/>
          <w:sz w:val="21"/>
          <w:szCs w:val="21"/>
        </w:rPr>
        <w:t xml:space="preserve">Ask the client to remove makeup for baseline and progress photos whenever possible.</w:t>
      </w:r>
    </w:p>
    <w:p>
      <w:pPr>
        <w:pStyle w:val="ListParagraph"/>
        <w:numPr>
          <w:ilvl w:val="0"/>
          <w:numId w:val="2"/>
        </w:numPr>
        <w:spacing w:after="90"/>
      </w:pPr>
      <w:r>
        <w:rPr>
          <w:rFonts w:ascii="Calibri" w:cs="Calibri" w:eastAsia="Calibri" w:hAnsi="Calibri"/>
          <w:color w:val="14110F"/>
          <w:sz w:val="21"/>
          <w:szCs w:val="21"/>
        </w:rPr>
        <w:t xml:space="preserve">Label each image set with the client’s name/ID and visit date immediately upon capture.</w:t>
      </w:r>
    </w:p>
    <w:sectPr>
      <w:headerReference w:type="default" r:id="rId7"/>
      <w:footerReference w:type="default" r:id="rId8"/>
      <w:pgSz w:w="12240" w:h="15840" w:orient="portrait"/>
      <w:pgMar w:top="1250" w:right="1080" w:bottom="12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4B" w:sz="4" w:space="4"/>
      </w:pBdr>
      <w:spacing w:after="20" w:before="60"/>
      <w:jc w:val="center"/>
    </w:pPr>
    <w:r>
      <w:rPr>
        <w:rFonts w:ascii="Calibri" w:cs="Calibri" w:eastAsia="Calibri" w:hAnsi="Calibri"/>
        <w:color w:val="5E5548"/>
        <w:sz w:val="14"/>
        <w:szCs w:val="14"/>
      </w:rPr>
      <w:t xml:space="preserve">525 E Olympia Ave, Unit 9, Punta Gorda, FL 33950   •   (844) 941-7673   •   info@houseofrosefl.com   •   houseofrosefl.com</w:t>
    </w:r>
  </w:p>
  <w:p>
    <w:pPr>
      <w:jc w:val="center"/>
    </w:pPr>
    <w:r>
      <w:rPr>
        <w:rFonts w:ascii="Calibri" w:cs="Calibri" w:eastAsia="Calibri" w:hAnsi="Calibri"/>
        <w:i/>
        <w:iCs/>
        <w:color w:val="8A7259"/>
        <w:sz w:val="12"/>
        <w:szCs w:val="12"/>
      </w:rPr>
      <w:t xml:space="preserve">Clinical Reference — Provider Use Only</w:t>
    </w:r>
    <w:r>
      <w:rPr>
        <w:rFonts w:ascii="Calibri" w:cs="Calibri" w:eastAsia="Calibri" w:hAnsi="Calibri"/>
        <w:color w:val="8A7259"/>
        <w:sz w:val="12"/>
        <w:szCs w:val="12"/>
      </w:rPr>
      <w:t xml:space="preserve">   |   Page </w:t>
    </w:r>
    <w:r>
      <w:rPr>
        <w:rFonts w:ascii="Calibri" w:cs="Calibri" w:eastAsia="Calibri" w:hAnsi="Calibri"/>
        <w:color w:val="8A7259"/>
        <w:sz w:val="12"/>
        <w:szCs w:val="12"/>
      </w:rPr>
      <w:fldChar w:fldCharType="begin"/>
      <w:instrText xml:space="preserve">PAGE</w:instrText>
      <w:fldChar w:fldCharType="separate"/>
      <w:fldChar w:fldCharType="end"/>
    </w:r>
    <w:r>
      <w:rPr>
        <w:rFonts w:ascii="Calibri" w:cs="Calibri" w:eastAsia="Calibri" w:hAnsi="Calibri"/>
        <w:color w:val="8A7259"/>
        <w:sz w:val="12"/>
        <w:szCs w:val="12"/>
      </w:rPr>
      <w:t xml:space="preserve"> of </w:t>
    </w:r>
    <w:r>
      <w:rPr>
        <w:rFonts w:ascii="Calibri" w:cs="Calibri" w:eastAsia="Calibri" w:hAnsi="Calibri"/>
        <w:color w:val="8A7259"/>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285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323850"/>
                  </a:xfrm>
                  <a:prstGeom prst="rect">
                    <a:avLst/>
                  </a:prstGeom>
                </pic:spPr>
              </pic:pic>
            </a:graphicData>
          </a:graphic>
        </wp:inline>
      </w:drawing>
    </w:r>
  </w:p>
  <w:p>
    <w:pPr>
      <w:spacing w:after="20"/>
      <w:jc w:val="center"/>
    </w:pPr>
    <w:r>
      <w:rPr>
        <w:rFonts w:ascii="Georgia" w:cs="Georgia" w:eastAsia="Georgia" w:hAnsi="Georgia"/>
        <w:b/>
        <w:bCs/>
        <w:color w:val="14110F"/>
        <w:spacing w:val="24"/>
        <w:sz w:val="19"/>
        <w:szCs w:val="19"/>
      </w:rPr>
      <w:t xml:space="preserve">HOUSE OF ROSE AESTHETICS</w:t>
    </w:r>
  </w:p>
  <w:p>
    <w:pPr>
      <w:pBdr>
        <w:bottom w:val="single" w:color="C9A24B" w:sz="6" w:space="4"/>
      </w:pBdr>
      <w:spacing w:after="100"/>
      <w:jc w:val="center"/>
    </w:pPr>
    <w:r>
      <w:rPr>
        <w:rFonts w:ascii="Calibri" w:cs="Calibri" w:eastAsia="Calibri" w:hAnsi="Calibri"/>
        <w:b/>
        <w:bCs/>
        <w:color w:val="7A5C2A"/>
        <w:spacing w:val="16"/>
        <w:sz w:val="14"/>
        <w:szCs w:val="14"/>
      </w:rPr>
      <w:t xml:space="preserve">PROVIDER REFERENCE — PHOTOGRAPHY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7A5C2A"/>
      </w:rPr>
    </w:lvl>
    <w:lvl w:ilvl="1" w15:tentative="1">
      <w:start w:val="1"/>
      <w:numFmt w:val="bullet"/>
      <w:lvlText w:val="–"/>
      <w:lvlJc w:val="left"/>
      <w:pPr>
        <w:ind w:left="720" w:hanging="260"/>
      </w:pPr>
      <w:rPr>
        <w:color w:val="7A5C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4b1f1d6b3c387c5f51e89e66a076bb0b44d883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2026-07-13T01:55:53.874Z</dcterms:created>
  <dcterms:modified xsi:type="dcterms:W3CDTF">2026-07-13T01:55:53.874Z</dcterms:modified>
</cp:coreProperties>
</file>

<file path=docProps/custom.xml><?xml version="1.0" encoding="utf-8"?>
<Properties xmlns="http://schemas.openxmlformats.org/officeDocument/2006/custom-properties" xmlns:vt="http://schemas.openxmlformats.org/officeDocument/2006/docPropsVTypes"/>
</file>