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14110F"/>
          <w:sz w:val="32"/>
          <w:szCs w:val="32"/>
        </w:rPr>
        <w:t xml:space="preserve">Micro-needling with PRF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7A5C2A"/>
          <w:sz w:val="20"/>
          <w:szCs w:val="20"/>
        </w:rPr>
        <w:t xml:space="preserve">Pre- &amp; Post-Care Instructions</w:t>
      </w:r>
    </w:p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BEFORE YOUR TREATMENT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Discontinue Retin-A, retinols, and other Vitamin A creams for 3 days before your appointment.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Avoid alcohol, caffeine, and cigarettes for 3 days before and after treatment. Smoking slows healing — expect earlier complications and longer recovery if you smoke.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Avoid aspirin, Motrin, ibuprofen, Aleve, and other NSAIDs, as well as gingko biloba, garlic, flax oil, cod liver oil, Vitamin A, Vitamin E, or other essential fatty acid supplements, for 3 days to 1 week before and after treatment — we are intentionally creating a controlled inflammatory response, and these can affect it.</w:t>
      </w:r>
    </w:p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AFTER YOUR TREATMENT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Drink at least 64 oz. of water the day of treatment and daily for one week after.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Do not touch, press, rub, or manipulate the treated area for at least 8 hours.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Ice may be applied for 10 minutes on / 10 minutes off to reduce swelling or bruising.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No sunscreen or makeup for 12 hours following treatment.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Wash your face no sooner than 6 hours after treatment. Use a gentle cleanser (such as Cetaphil) and lukewarm water — a shower can make it easier to gently massage the face while washing and remove all dried serum. This improves how the skin looks and lets subsequent products absorb better.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Between 12–72 hours post-treatment, minimal makeup may be applied. Continue using a gentle cleanser, a hyaluronic acid serum, and a physical (mineral) sunscreen of SPF 25 or higher. For a more aggressive treatment, your provider may recommend an occlusive balm such as Aquaphor.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After 48–72 hours, you may return to your regular skincare routine. Retinol products are strongly recommended once you resume for optimal long-term results.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Avoid alcohol-based toners for 10–14 days and limit excessive sun exposure for 10 days.</w:t>
      </w:r>
    </w:p>
    <w:p>
      <w:pPr>
        <w:spacing w:after="0" w:before="1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tcBorders>
              <w:top w:val="single" w:color="C9A24B" w:sz="4"/>
              <w:left w:val="single" w:color="C9A24B" w:sz="4"/>
              <w:bottom w:val="single" w:color="C9A24B" w:sz="4"/>
              <w:right w:val="single" w:color="C9A24B" w:sz="4"/>
            </w:tcBorders>
            <w:shd w:fill="F3E9C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2C20"/>
                <w:sz w:val="20"/>
                <w:szCs w:val="20"/>
              </w:rPr>
              <w:t xml:space="preserve">What to Expect</w:t>
            </w:r>
          </w:p>
          <w:p>
            <w:r>
              <w:rPr>
                <w:rFonts w:ascii="Calibri" w:cs="Calibri" w:eastAsia="Calibri" w:hAnsi="Calibri"/>
                <w:color w:val="14110F"/>
                <w:sz w:val="19"/>
                <w:szCs w:val="19"/>
              </w:rPr>
              <w:t xml:space="preserve">Mild bruising, redness, itching, soreness, and swelling are normal and typically resolve within 3–10 days. Arnica and bromelain may help reduce bruising and swelling; Tylenol may be used for discomfort.</w:t>
            </w:r>
          </w:p>
        </w:tc>
      </w:tr>
    </w:tbl>
    <w:p>
      <w:pPr>
        <w:spacing w:after="160" w:before="0"/>
      </w:pPr>
    </w:p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YOUR TREATMENT SERIES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Individual treatment courses vary based on your goals and skin condition: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Acne scarring: typically 5–8 treatments, often combined with TCA CROSS (3 treatments), spaced 4–5 weeks apart.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Stretch marks, surgical scars, and keloid scars: typically 6–8 treatments, spaced every 5–6 weeks. More time between sessions allows fuller recovery from the more aggressive stimulation these areas require. If a scar or stretch mark is 6 months old or younger, sessions may be spaced closer together.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Scalp treatments: shampoo and condition daily starting the evening of treatment or the next morning.</w:t>
      </w:r>
    </w:p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WHAT TO AVOID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To protect proper healing, please observe the following: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No AHAs, BHAs, retinol (Vitamin A), or low-pH Vitamin C — or anything "active" — on the skin for at least 2 hours post-treatment.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Avoid direct sunlight, tanning beds, and heat exposure for 3 days.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No swimming for at least 24 hours post-treatment.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4110F"/>
          <w:sz w:val="21"/>
          <w:szCs w:val="21"/>
        </w:rPr>
        <w:t xml:space="preserve">No exercise or strenuous activity for 3 days post-treatment — sweat and gym environments carry bacteria that can cause adverse reactions in freshly treated skin.</w:t>
      </w:r>
    </w:p>
    <w:p>
      <w:pPr>
        <w:spacing w:after="40" w:line="268"/>
        <w:jc w:val="center"/>
      </w:pPr>
      <w:r>
        <w:rPr>
          <w:rFonts w:ascii="Calibri" w:cs="Calibri" w:eastAsia="Calibri" w:hAnsi="Calibri"/>
          <w:i/>
          <w:iCs/>
          <w:color w:val="7A5C2A"/>
          <w:sz w:val="19"/>
          <w:szCs w:val="19"/>
        </w:rPr>
        <w:t xml:space="preserve">Questions or concerns after your treatment? Call or text us at (844) 941-7673, or email info@houseofrosefl.com — we are here to help.</w:t>
      </w:r>
    </w:p>
    <w:sectPr>
      <w:headerReference w:type="default" r:id="rId7"/>
      <w:footerReference w:type="default" r:id="rId8"/>
      <w:pgSz w:w="12240" w:h="15840" w:orient="portrait"/>
      <w:pgMar w:top="115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4B" w:sz="4" w:space="4"/>
      </w:pBdr>
      <w:spacing w:after="20" w:before="60"/>
      <w:jc w:val="center"/>
    </w:pPr>
    <w:r>
      <w:rPr>
        <w:rFonts w:ascii="Calibri" w:cs="Calibri" w:eastAsia="Calibri" w:hAnsi="Calibri"/>
        <w:color w:val="5E5548"/>
        <w:sz w:val="14"/>
        <w:szCs w:val="14"/>
      </w:rPr>
      <w:t xml:space="preserve">525 E Olympia Ave, Unit 9, Punta Gorda, FL 33950   •   (844) 941-7673   •   info@houseofrosefl.com   •   houseofrosefl.com</w:t>
    </w:r>
  </w:p>
  <w:p>
    <w:pPr>
      <w:jc w:val="center"/>
    </w:pPr>
    <w:r>
      <w:rPr>
        <w:rFonts w:ascii="Calibri" w:cs="Calibri" w:eastAsia="Calibri" w:hAnsi="Calibri"/>
        <w:i/>
        <w:iCs/>
        <w:color w:val="8A7259"/>
        <w:sz w:val="12"/>
        <w:szCs w:val="12"/>
      </w:rPr>
      <w:t xml:space="preserve">Patient Copy — Please Keep for Reference</w:t>
    </w:r>
    <w:r>
      <w:rPr>
        <w:rFonts w:ascii="Calibri" w:cs="Calibri" w:eastAsia="Calibri" w:hAnsi="Calibri"/>
        <w:color w:val="8A7259"/>
        <w:sz w:val="12"/>
        <w:szCs w:val="12"/>
      </w:rPr>
      <w:t xml:space="preserve">   |   Page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7259"/>
        <w:sz w:val="12"/>
        <w:szCs w:val="12"/>
      </w:rPr>
      <w:t xml:space="preserve"> of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285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Georgia" w:cs="Georgia" w:eastAsia="Georgia" w:hAnsi="Georgia"/>
        <w:b/>
        <w:bCs/>
        <w:color w:val="14110F"/>
        <w:spacing w:val="24"/>
        <w:sz w:val="19"/>
        <w:szCs w:val="19"/>
      </w:rPr>
      <w:t xml:space="preserve">HOUSE OF ROSE AESTHETICS</w:t>
    </w:r>
  </w:p>
  <w:p>
    <w:pPr>
      <w:pBdr>
        <w:bottom w:val="single" w:color="C9A24B" w:sz="6" w:space="4"/>
      </w:pBdr>
      <w:spacing w:after="100"/>
      <w:jc w:val="center"/>
    </w:pPr>
    <w:r>
      <w:rPr>
        <w:rFonts w:ascii="Calibri" w:cs="Calibri" w:eastAsia="Calibri" w:hAnsi="Calibri"/>
        <w:b/>
        <w:bCs/>
        <w:color w:val="7A5C2A"/>
        <w:spacing w:val="16"/>
        <w:sz w:val="14"/>
        <w:szCs w:val="14"/>
      </w:rPr>
      <w:t xml:space="preserve">PRE- &amp; POST-CARE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7A5C2A"/>
      </w:rPr>
    </w:lvl>
    <w:lvl w:ilvl="1" w15:tentative="1">
      <w:start w:val="1"/>
      <w:numFmt w:val="bullet"/>
      <w:lvlText w:val="–"/>
      <w:lvlJc w:val="left"/>
      <w:pPr>
        <w:ind w:left="720" w:hanging="260"/>
      </w:pPr>
      <w:rPr>
        <w:color w:val="7A5C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b1f1d6b3c387c5f51e89e66a076bb0b44d883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2026-07-13T02:02:27.602Z</dcterms:created>
  <dcterms:modified xsi:type="dcterms:W3CDTF">2026-07-13T02:02:27.602Z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