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val="false"/>
          <w:i w:val="false"/>
          <w:color w:val="1A1A1A"/>
          <w:sz w:val="21"/>
          <w:szCs w:val="21"/>
        </w:rPr>
        <w:t>Ghorbani, M., &amp; Amini, M. A. (2025). The Historiography of Earth Science in Iran: Introducing a Number of Contemporary Pioneers.</w:t>
      </w:r>
    </w:p>
    <w:p>
      <w:pPr>
        <w:pStyle w:val="Normal"/>
        <w:spacing w:lineRule="auto" w:line="240" w:before="0" w:after="0"/>
        <w:rPr/>
      </w:pPr>
      <w:r>
        <w:rPr>
          <w:rFonts w:cs="Times New Roman"/>
          <w:b w:val="false"/>
          <w:i/>
          <w:color w:val="4D4D4D"/>
          <w:sz w:val="21"/>
          <w:szCs w:val="21"/>
        </w:rPr>
        <w:t>Co-author</w:t>
      </w:r>
    </w:p>
    <w:p>
      <w:pPr>
        <w:pStyle w:val="Normal"/>
        <w:spacing w:lineRule="auto" w:line="240" w:before="0" w:after="0"/>
        <w:rPr/>
      </w:pPr>
      <w:r>
        <w:rPr>
          <w:rFonts w:cs="Times New Roman"/>
          <w:b w:val="false"/>
          <w:i w:val="false"/>
          <w:color w:val="4D4D4D"/>
          <w:sz w:val="16"/>
          <w:szCs w:val="16"/>
        </w:rPr>
        <w:t>ISBN: 978-600-6058-43-6 (second edition onward: 978-600-6058-60-3)</w:t>
      </w:r>
    </w:p>
    <w:p>
      <w:pPr>
        <w:pStyle w:val="Normal"/>
        <w:spacing w:lineRule="auto" w:line="240" w:before="40" w:after="0"/>
        <w:jc w:val="both"/>
        <w:rPr/>
      </w:pPr>
      <w:r>
        <w:rPr>
          <w:rFonts w:cs="Times New Roman"/>
          <w:b w:val="false"/>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0"/>
        <w:rPr/>
      </w:pPr>
      <w:r>
        <w:rPr>
          <w:rFonts w:cs="Times New Roman"/>
          <w:b w:val="false"/>
          <w:i/>
          <w:color w:val="4D4D4D"/>
          <w:sz w:val="21"/>
          <w:szCs w:val="21"/>
        </w:rPr>
        <w:t>Scientific Editor</w:t>
      </w:r>
    </w:p>
    <w:p>
      <w:pPr>
        <w:pStyle w:val="Normal"/>
        <w:spacing w:lineRule="auto" w:line="240" w:before="0" w:after="0"/>
        <w:rPr/>
      </w:pPr>
      <w:r>
        <w:rPr>
          <w:rFonts w:cs="Times New Roman"/>
          <w:b w:val="false"/>
          <w:i w:val="false"/>
          <w:color w:val="4D4D4D"/>
          <w:sz w:val="16"/>
          <w:szCs w:val="16"/>
        </w:rPr>
        <w:t xml:space="preserve">ISBN: </w:t>
      </w:r>
    </w:p>
    <w:p>
      <w:pPr>
        <w:pStyle w:val="Normal"/>
        <w:spacing w:lineRule="auto" w:line="240" w:before="40" w:after="0"/>
        <w:jc w:val="both"/>
        <w:rPr/>
      </w:pPr>
      <w:r>
        <w:rPr>
          <w:rFonts w:cs="Times New Roman"/>
          <w:b w:val="false"/>
          <w:i w:val="false"/>
          <w:color w:val="1A1A1A"/>
          <w:sz w:val="21"/>
          <w:szCs w:val="21"/>
        </w:rPr>
        <w:t>Momenzadeh, M. (2025). The Mythical City of Zabol: The Burnt City.</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978-600-6058-44-3</w:t>
      </w:r>
    </w:p>
    <w:p>
      <w:pPr>
        <w:pStyle w:val="Normal"/>
        <w:spacing w:lineRule="auto" w:line="240" w:before="40" w:after="0"/>
        <w:jc w:val="both"/>
        <w:rPr/>
      </w:pPr>
      <w:r>
        <w:rPr>
          <w:rFonts w:cs="Times New Roman"/>
          <w:b w:val="false"/>
          <w:i w:val="false"/>
          <w:color w:val="1A1A1A"/>
          <w:sz w:val="21"/>
          <w:szCs w:val="21"/>
        </w:rPr>
        <w:t>Salmati, R. (2025). A Comprehensive Guide to Geological Mapping at Scales of 1:50,000 and Larger.</w:t>
      </w:r>
    </w:p>
    <w:p>
      <w:pPr>
        <w:pStyle w:val="Normal"/>
        <w:spacing w:lineRule="auto" w:line="240" w:before="0" w:after="0"/>
        <w:rPr/>
      </w:pPr>
      <w:r>
        <w:rPr>
          <w:rFonts w:cs="Times New Roman"/>
          <w:b w:val="false"/>
          <w:i/>
          <w:color w:val="4D4D4D"/>
          <w:sz w:val="21"/>
          <w:szCs w:val="21"/>
        </w:rPr>
        <w:t>Editor</w:t>
      </w:r>
    </w:p>
    <w:p>
      <w:pPr>
        <w:pStyle w:val="Normal"/>
        <w:spacing w:lineRule="auto" w:line="240" w:before="0" w:after="0"/>
        <w:rPr/>
      </w:pPr>
      <w:r>
        <w:rPr>
          <w:rFonts w:cs="Times New Roman"/>
          <w:b w:val="false"/>
          <w:i w:val="false"/>
          <w:color w:val="4D4D4D"/>
          <w:sz w:val="16"/>
          <w:szCs w:val="16"/>
        </w:rPr>
        <w:t>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Co-presented with Dr. Mansour Ghorbani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Co-authored with Ziba Delpasand and Fariborz Masoudi · 10 pages · Persian  ·  National Sci-Doc ID: GSI43_151  ·  </w:t>
      </w:r>
      <w:hyperlink r:id="rId4">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Sole author · 13 pages · Persian  ·  National Sci-Doc ID: GSI43_064  ·  </w:t>
      </w:r>
      <w:hyperlink r:id="rId5">
        <w:r>
          <w:rPr>
            <w:rStyle w:val="ListLabel11"/>
            <w:rFonts w:cs="Times New Roman"/>
            <w:color w:val="4D4D4D"/>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Co-authored with Shohreh Salkhordeh · 15 pages · Persian  ·  National Sci-Doc ID: GSI42_161  ·  </w:t>
      </w:r>
      <w:hyperlink r:id="rId6">
        <w:r>
          <w:rPr>
            <w:rStyle w:val="ListLabel11"/>
            <w:rFonts w:cs="Times New Roman"/>
            <w:color w:val="4D4D4D"/>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SKILLS</w:t>
      </w:r>
    </w:p>
    <w:p>
      <w:pPr>
        <w:pStyle w:val="Normal"/>
        <w:spacing w:lineRule="auto" w:line="240" w:before="20" w:after="0"/>
        <w:jc w:val="both"/>
        <w:rPr/>
      </w:pPr>
      <w:r>
        <w:rPr>
          <w:rFonts w:cs="Times New Roman"/>
          <w:b/>
          <w:i w:val="false"/>
          <w:color w:val="1A1A1A"/>
          <w:sz w:val="21"/>
          <w:szCs w:val="21"/>
        </w:rPr>
        <w:t xml:space="preserve">Programming Languages:  </w:t>
      </w:r>
      <w:r>
        <w:rPr>
          <w:rFonts w:cs="Times New Roman"/>
          <w:b w:val="false"/>
          <w:i w:val="false"/>
          <w:color w:val="1A1A1A"/>
          <w:sz w:val="21"/>
          <w:szCs w:val="21"/>
        </w:rPr>
        <w:t>Python  •  JavaScript  •  PHP  •  C#  •  SQL</w:t>
      </w:r>
    </w:p>
    <w:p>
      <w:pPr>
        <w:pStyle w:val="Normal"/>
        <w:spacing w:lineRule="auto" w:line="240" w:before="20" w:after="0"/>
        <w:jc w:val="both"/>
        <w:rPr/>
      </w:pPr>
      <w:r>
        <w:rPr>
          <w:rFonts w:cs="Times New Roman"/>
          <w:b/>
          <w:i w:val="false"/>
          <w:color w:val="1A1A1A"/>
          <w:sz w:val="21"/>
          <w:szCs w:val="21"/>
        </w:rPr>
        <w:t xml:space="preserve">Other Skills:  </w:t>
      </w:r>
      <w:r>
        <w:rPr>
          <w:rFonts w:cs="Times New Roman"/>
          <w:b w:val="false"/>
          <w:i w:val="false"/>
          <w:color w:val="1A1A1A"/>
          <w:sz w:val="21"/>
          <w:szCs w:val="21"/>
        </w:rPr>
        <w:t>Scientific Editing  •  Academic Publishing  •  LaTeX  •  Git  •  Docker</w:t>
      </w:r>
    </w:p>
    <w:p>
      <w:pPr>
        <w:pStyle w:val="Normal"/>
        <w:pBdr>
          <w:bottom w:val="single" w:sz="4" w:space="2" w:color="333333"/>
        </w:pBdr>
        <w:spacing w:lineRule="auto" w:line="240" w:before="60" w:after="60"/>
        <w:rPr/>
      </w:pPr>
      <w:r>
        <w:rPr>
          <w:rFonts w:cs="Times New Roman"/>
          <w:b/>
          <w:i w:val="false"/>
          <w:color w:val="1F4E79"/>
          <w:sz w:val="23"/>
          <w:szCs w:val="23"/>
        </w:rPr>
        <w:t>SOFTWARE</w:t>
      </w:r>
    </w:p>
    <w:p>
      <w:pPr>
        <w:pStyle w:val="Normal"/>
        <w:spacing w:lineRule="auto" w:line="240" w:before="20" w:after="0"/>
        <w:jc w:val="both"/>
        <w:rPr/>
      </w:pPr>
      <w:r>
        <w:rPr>
          <w:rFonts w:cs="Times New Roman"/>
          <w:b/>
          <w:i w:val="false"/>
          <w:color w:val="1A1A1A"/>
          <w:sz w:val="21"/>
          <w:szCs w:val="21"/>
        </w:rPr>
        <w:t xml:space="preserve">Geological Software:  </w:t>
      </w:r>
      <w:r>
        <w:rPr>
          <w:rFonts w:cs="Times New Roman"/>
          <w:b w:val="false"/>
          <w:i w:val="false"/>
          <w:color w:val="1A1A1A"/>
          <w:sz w:val="21"/>
          <w:szCs w:val="21"/>
        </w:rPr>
        <w:t>ArcGIS  •  QGIS  •  RockWorks  •  Surfer</w:t>
      </w:r>
    </w:p>
    <w:p>
      <w:pPr>
        <w:pStyle w:val="Normal"/>
        <w:spacing w:lineRule="auto" w:line="240" w:before="20" w:after="0"/>
        <w:jc w:val="both"/>
        <w:rPr/>
      </w:pPr>
      <w:r>
        <w:rPr>
          <w:rFonts w:cs="Times New Roman"/>
          <w:b/>
          <w:i w:val="false"/>
          <w:color w:val="1A1A1A"/>
          <w:sz w:val="21"/>
          <w:szCs w:val="21"/>
        </w:rPr>
        <w:t xml:space="preserve">Web Technologies:  </w:t>
      </w:r>
      <w:r>
        <w:rPr>
          <w:rFonts w:cs="Times New Roman"/>
          <w:b w:val="false"/>
          <w:i w:val="false"/>
          <w:color w:val="1A1A1A"/>
          <w:sz w:val="21"/>
          <w:szCs w:val="21"/>
        </w:rPr>
        <w:t>HTML5  •  CSS3  •  Bootstrap  •  WordPress  •  Laravel</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60"/>
        <w:jc w:val="both"/>
        <w:rPr/>
      </w:pPr>
      <w:r>
        <w:rPr>
          <w:rFonts w:cs="Times New Roman"/>
          <w:b w:val="false"/>
          <w:i w:val="false"/>
          <w:color w:val="1A1A1A"/>
          <w:sz w:val="21"/>
          <w:szCs w:val="21"/>
        </w:rPr>
        <w:t>Persian – Native   |   English – Professional Working Proficiency   |   French – Learning</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Secretary and Website Administrator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VOLUNTEER ACTIVITIES</w:t>
      </w:r>
    </w:p>
    <w:p>
      <w:pPr>
        <w:pStyle w:val="Normal"/>
        <w:tabs>
          <w:tab w:val="clear" w:pos="720"/>
          <w:tab w:val="right" w:pos="10318" w:leader="none"/>
        </w:tabs>
        <w:spacing w:lineRule="auto" w:line="240" w:before="0" w:after="0"/>
        <w:rPr/>
      </w:pPr>
      <w:r>
        <w:rPr>
          <w:rFonts w:cs="Times New Roman"/>
          <w:b/>
          <w:i w:val="false"/>
          <w:color w:val="1A1A1A"/>
          <w:sz w:val="21"/>
          <w:szCs w:val="21"/>
        </w:rPr>
        <w:t>Member, Iran Organ Donation Association</w:t>
      </w:r>
    </w:p>
    <w:p>
      <w:pPr>
        <w:pStyle w:val="Normal"/>
        <w:spacing w:lineRule="auto" w:line="240" w:before="0" w:after="0"/>
        <w:jc w:val="both"/>
        <w:rPr/>
      </w:pPr>
      <w:r>
        <w:rPr>
          <w:rFonts w:cs="Times New Roman"/>
          <w:b w:val="false"/>
          <w:i/>
          <w:color w:val="4D4D4D"/>
          <w:sz w:val="21"/>
          <w:szCs w:val="21"/>
        </w:rPr>
        <w:t>Membership number to be added</w:t>
      </w:r>
    </w:p>
    <w:sectPr>
      <w:footerReference w:type="even" r:id="rId7"/>
      <w:footerReference w:type="default" r:id="rId8"/>
      <w:footerReference w:type="first" r:id="rId9"/>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August 30,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