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ESTATUTOS SOCIALES - PÁGINA 1</w:t>
      </w:r>
    </w:p>
    <w:p>
      <w:r>
        <w:t>Capítulo Primero: De la denominación, domicilio, objeto social y duración de la compañía.</w:t>
      </w:r>
    </w:p>
    <w:p>
      <w:r>
        <w:br w:type="page"/>
      </w:r>
    </w:p>
    <w:p>
      <w:r>
        <w:rPr>
          <w:b/>
          <w:sz w:val="32"/>
        </w:rPr>
        <w:t>ESTATUTOS SOCIALES - PÁGINA 2</w:t>
      </w:r>
    </w:p>
    <w:p>
      <w:r>
        <w:t>Capítulo Segundo: Del capital social, las acciones y los derechos de los accionistas fundadores.</w:t>
      </w:r>
    </w:p>
    <w:p>
      <w:r>
        <w:br w:type="page"/>
      </w:r>
    </w:p>
    <w:p>
      <w:r>
        <w:rPr>
          <w:b/>
          <w:sz w:val="32"/>
        </w:rPr>
        <w:t>ESTATUTOS SOCIALES - PÁGINA 3</w:t>
      </w:r>
    </w:p>
    <w:p>
      <w:r>
        <w:t>Capítulo Tercero: De la Junta General de Accionistas, la administración y la disolución legal.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Copia Certificada Digital • Confidencial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EXPEDIENTE JUDICIAL OFICIAL • SECCIÓN CIVIL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
</Relationships>
</file>